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451"/>
        <w:gridCol w:w="8998"/>
      </w:tblGrid>
      <w:tr>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b/>
                <w:b/>
                <w:sz w:val="22"/>
                <w:szCs w:val="22"/>
              </w:rPr>
            </w:pPr>
            <w:r>
              <w:rPr>
                <w:rFonts w:cs="Arial" w:ascii="Arial" w:hAnsi="Arial"/>
                <w:b/>
                <w:sz w:val="22"/>
                <w:szCs w:val="22"/>
              </w:rPr>
              <w:t>Programme Leader (Post 3)</w:t>
            </w:r>
          </w:p>
        </w:tc>
      </w:tr>
    </w:tbl>
    <w:p>
      <w:pPr>
        <w:pStyle w:val="Normal"/>
        <w:rPr>
          <w:rFonts w:cs="Arial"/>
          <w:b/>
          <w:b/>
          <w:bCs/>
          <w:sz w:val="22"/>
          <w:szCs w:val="22"/>
          <w:u w:val="single"/>
        </w:rPr>
      </w:pPr>
      <w:r>
        <w:rPr>
          <w:rFonts w:cs="Arial"/>
          <w:b/>
          <w:bCs/>
          <w:sz w:val="22"/>
          <w:szCs w:val="22"/>
          <w:u w:val="single"/>
        </w:rPr>
      </w:r>
    </w:p>
    <w:tbl>
      <w:tblPr>
        <w:tblW w:w="10449" w:type="dxa"/>
        <w:jc w:val="left"/>
        <w:tblInd w:w="-717" w:type="dxa"/>
        <w:tblCellMar>
          <w:top w:w="0" w:type="dxa"/>
          <w:left w:w="108" w:type="dxa"/>
          <w:bottom w:w="0" w:type="dxa"/>
          <w:right w:w="108" w:type="dxa"/>
        </w:tblCellMar>
      </w:tblPr>
      <w:tblGrid>
        <w:gridCol w:w="1575"/>
        <w:gridCol w:w="2745"/>
        <w:gridCol w:w="2179"/>
        <w:gridCol w:w="3950"/>
      </w:tblGrid>
      <w:tr>
        <w:trPr/>
        <w:tc>
          <w:tcPr>
            <w:tcW w:w="1575"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Education, Skills &amp; Early Years</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Lifelong Learning service</w:t>
            </w:r>
          </w:p>
        </w:tc>
      </w:tr>
      <w:tr>
        <w:trPr/>
        <w:tc>
          <w:tcPr>
            <w:tcW w:w="1575"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b/>
                <w:b/>
                <w:szCs w:val="22"/>
              </w:rPr>
            </w:pPr>
            <w:r>
              <w:rPr>
                <w:rFonts w:cs="Arial"/>
                <w:b/>
                <w:szCs w:val="22"/>
              </w:rPr>
              <w:t>JNC Prof Rate pts 19-22</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snapToGrid w:val="false"/>
              <w:rPr>
                <w:rFonts w:cs="Arial"/>
                <w:szCs w:val="22"/>
              </w:rPr>
            </w:pPr>
            <w:r>
              <w:rPr>
                <w:rFonts w:cs="Arial"/>
                <w:szCs w:val="22"/>
              </w:rPr>
            </w:r>
          </w:p>
        </w:tc>
      </w:tr>
    </w:tbl>
    <w:p>
      <w:pPr>
        <w:pStyle w:val="Normal"/>
        <w:rPr>
          <w:rFonts w:cs="Arial"/>
          <w:sz w:val="22"/>
          <w:szCs w:val="22"/>
        </w:rPr>
      </w:pPr>
      <w:r>
        <w:rPr>
          <w:rFonts w:cs="Arial"/>
          <w:sz w:val="22"/>
          <w:szCs w:val="22"/>
        </w:rPr>
      </w:r>
    </w:p>
    <w:tbl>
      <w:tblPr>
        <w:tblW w:w="10358" w:type="dxa"/>
        <w:jc w:val="left"/>
        <w:tblInd w:w="-719"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cs="Arial"/>
                <w:bCs/>
                <w:sz w:val="22"/>
                <w:szCs w:val="22"/>
              </w:rPr>
            </w:pPr>
            <w:r>
              <w:rPr>
                <w:rFonts w:cs="Arial"/>
                <w:bCs/>
                <w:sz w:val="22"/>
                <w:szCs w:val="22"/>
              </w:rPr>
            </w:r>
          </w:p>
          <w:p>
            <w:pPr>
              <w:pStyle w:val="Normal"/>
              <w:jc w:val="both"/>
              <w:rPr>
                <w:rFonts w:cs="Arial"/>
                <w:sz w:val="22"/>
                <w:szCs w:val="22"/>
              </w:rPr>
            </w:pPr>
            <w:r>
              <w:rPr>
                <w:rFonts w:cs="Arial"/>
                <w:sz w:val="22"/>
                <w:szCs w:val="22"/>
              </w:rPr>
              <w:t xml:space="preserve">To assist the Curriculum Manager to develop, deliver and monitor all aspects of ESOL across the Service.  </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 xml:space="preserve">To assist in the management and support of part-time teaching staff in the team. To deliver the contracted teaching hours to learners and to comply with the administrative tasks and quality assurance associated with the post. To take responsibility for identified budgets within the curriculum.  </w:t>
            </w:r>
          </w:p>
          <w:p>
            <w:pPr>
              <w:pStyle w:val="Normal"/>
              <w:jc w:val="both"/>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b/>
                <w:b/>
                <w:bCs/>
                <w:sz w:val="22"/>
                <w:szCs w:val="22"/>
              </w:rPr>
            </w:pPr>
            <w:r>
              <w:rPr>
                <w:rFonts w:cs="Arial"/>
                <w:b/>
                <w:bCs/>
                <w:sz w:val="22"/>
                <w:szCs w:val="22"/>
              </w:rPr>
              <w:t>General Responsibilities</w:t>
            </w:r>
          </w:p>
          <w:p>
            <w:pPr>
              <w:pStyle w:val="Normal"/>
              <w:jc w:val="both"/>
              <w:rPr>
                <w:rFonts w:cs="Arial"/>
                <w:sz w:val="22"/>
                <w:szCs w:val="22"/>
              </w:rPr>
            </w:pPr>
            <w:r>
              <w:rPr>
                <w:rFonts w:cs="Arial"/>
                <w:sz w:val="22"/>
                <w:szCs w:val="22"/>
              </w:rPr>
            </w:r>
          </w:p>
        </w:tc>
      </w:tr>
      <w:tr>
        <w:trPr>
          <w:trHeight w:val="555"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3"/>
              </w:numPr>
              <w:spacing w:before="0" w:after="200"/>
              <w:contextualSpacing/>
              <w:jc w:val="both"/>
              <w:rPr>
                <w:rFonts w:ascii="Arial" w:hAnsi="Arial" w:eastAsia="Times New Roman" w:cs="Arial"/>
              </w:rPr>
            </w:pPr>
            <w:r>
              <w:rPr>
                <w:rFonts w:eastAsia="Times New Roman" w:cs="Arial" w:ascii="Arial" w:hAnsi="Arial"/>
              </w:rPr>
              <w:t>To assist in the identification of new developments, initiatives and policies within the Service and promote the responsiveness and development of the Service</w:t>
            </w:r>
          </w:p>
        </w:tc>
      </w:tr>
      <w:tr>
        <w:trPr>
          <w:trHeight w:val="555"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3"/>
              </w:numPr>
              <w:spacing w:before="0" w:after="200"/>
              <w:contextualSpacing/>
              <w:jc w:val="both"/>
              <w:rPr>
                <w:rFonts w:ascii="Arial" w:hAnsi="Arial" w:eastAsia="Times New Roman" w:cs="Arial"/>
              </w:rPr>
            </w:pPr>
            <w:r>
              <w:rPr>
                <w:rFonts w:eastAsia="Times New Roman" w:cs="Arial" w:ascii="Arial" w:hAnsi="Arial"/>
              </w:rPr>
              <w:t>To assist with data and financial monitoring procedures.</w:t>
            </w:r>
          </w:p>
        </w:tc>
      </w:tr>
      <w:tr>
        <w:trPr>
          <w:trHeight w:val="555"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3"/>
              </w:numPr>
              <w:spacing w:before="0" w:after="200"/>
              <w:contextualSpacing/>
              <w:jc w:val="both"/>
              <w:rPr>
                <w:rFonts w:ascii="Arial" w:hAnsi="Arial" w:eastAsia="Times New Roman" w:cs="Arial"/>
              </w:rPr>
            </w:pPr>
            <w:r>
              <w:rPr>
                <w:rFonts w:eastAsia="Times New Roman" w:cs="Arial" w:ascii="Arial" w:hAnsi="Arial"/>
              </w:rPr>
              <w:t>To contribute to planning and reviewing the Self-Assessment Report and Quality Improvement Plan of the team in line with the Service Plan and Directorate and Corporate objectives.</w:t>
            </w:r>
          </w:p>
        </w:tc>
      </w:tr>
      <w:tr>
        <w:trPr>
          <w:trHeight w:val="555"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3"/>
              </w:numPr>
              <w:spacing w:before="0" w:after="200"/>
              <w:contextualSpacing/>
              <w:jc w:val="both"/>
              <w:rPr>
                <w:rFonts w:ascii="Arial" w:hAnsi="Arial" w:eastAsia="Times New Roman" w:cs="Arial"/>
              </w:rPr>
            </w:pPr>
            <w:r>
              <w:rPr>
                <w:rFonts w:eastAsia="Times New Roman" w:cs="Arial" w:ascii="Arial" w:hAnsi="Arial"/>
              </w:rPr>
              <w:t>To assist in the management of the staff team and identification of staff development and training needs.</w:t>
            </w:r>
          </w:p>
        </w:tc>
      </w:tr>
      <w:tr>
        <w:trPr>
          <w:trHeight w:val="555"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3"/>
              </w:numPr>
              <w:spacing w:before="0" w:after="200"/>
              <w:contextualSpacing/>
              <w:jc w:val="both"/>
              <w:rPr>
                <w:rFonts w:ascii="Arial" w:hAnsi="Arial" w:eastAsia="Times New Roman" w:cs="Arial"/>
              </w:rPr>
            </w:pPr>
            <w:r>
              <w:rPr>
                <w:rFonts w:eastAsia="Times New Roman" w:cs="Arial" w:ascii="Arial" w:hAnsi="Arial"/>
              </w:rPr>
              <w:t>To ensure the implementation of Service policies, prepare reports and represent the Service at meetings as required.</w:t>
            </w:r>
          </w:p>
        </w:tc>
      </w:tr>
      <w:tr>
        <w:trPr>
          <w:trHeight w:val="555"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3"/>
              </w:numPr>
              <w:jc w:val="both"/>
              <w:rPr>
                <w:rFonts w:ascii="Arial" w:hAnsi="Arial" w:eastAsia="Times New Roman" w:cs="Arial"/>
              </w:rPr>
            </w:pPr>
            <w:r>
              <w:rPr>
                <w:rFonts w:eastAsia="Times New Roman" w:cs="Arial" w:ascii="Arial" w:hAnsi="Arial"/>
              </w:rPr>
              <w:t>To respond to contacts with local and regional organisations, members of the public, and attend meetings as required.</w:t>
            </w:r>
          </w:p>
          <w:p>
            <w:pPr>
              <w:pStyle w:val="Normal"/>
              <w:jc w:val="both"/>
              <w:rPr>
                <w:rFonts w:cs="Arial"/>
                <w:b/>
                <w:b/>
                <w:bCs/>
                <w:sz w:val="22"/>
                <w:szCs w:val="22"/>
              </w:rPr>
            </w:pPr>
            <w:r>
              <w:rPr>
                <w:rFonts w:cs="Arial"/>
                <w:b/>
                <w:bCs/>
                <w:sz w:val="22"/>
                <w:szCs w:val="22"/>
              </w:rPr>
              <w:t>Operational Responsibilities</w:t>
            </w:r>
          </w:p>
          <w:p>
            <w:pPr>
              <w:pStyle w:val="Normal"/>
              <w:jc w:val="both"/>
              <w:rPr>
                <w:rFonts w:cs="Arial"/>
                <w:sz w:val="22"/>
                <w:szCs w:val="22"/>
              </w:rPr>
            </w:pPr>
            <w:r>
              <w:rPr>
                <w:rFonts w:cs="Arial"/>
                <w:sz w:val="22"/>
                <w:szCs w:val="22"/>
              </w:rPr>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contribute to the development of the curriculum areas to deliver a programme which is innovative, planned, evaluated and meets the needs of the Residents of Oldham.</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assist the Curriculum Manager in delivering a curriculum which is responsive to the government agendas.</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contribute to the management and supervision of a team of cross-curricular staff, within the curriculum specialism of ESOL programmes across the Service.</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contribute to the delivery of a Whole Organisation Approach to Skills for Life across the Service</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assist the Curriculum Manager in ensuring that there is an appropriate level of part-time tutors to cover classes within the curriculum areas across the Service and that in liaison with the Senior Manager / Curriculum Manager, a quality curriculum is delivered.</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contribute to the accurate projection and achievement of Greater Manchester Combined Authority (GMCA) targets and the generation of agreed income targets where appropriate.</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ensure that quality standards consistent with the requirements of Greater Manchester Combined Authority (GMCA), Ofsted and other relevant agencies are achieved, and that continuous improvement is maintained in liaison with the Curriculum Manager.</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undertake the internal standardisation and moderation within the curriculum area and liaise with external moderators and awarding bodies.</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contribute to regular self-assessment, quality improvement and observation of teaching, learning and assessment processes in line with service standards.</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undertake a teaching timetable of a minimum of 240 hours and a maximum of 480 hours (or pro-rata) per year.</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participate in the Appraisal Scheme and contribute to staff and curriculum development within the curriculum areas across the Service in liaison with the relevant Senior Manager / Curriculum Manager.</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develop and implement appropriate methods of recognising and recording learners progress and achievements.</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ensure compliance with Safe Learner policies and procedures, including safeguarding and health and safety.</w:t>
            </w:r>
          </w:p>
          <w:p>
            <w:pPr>
              <w:pStyle w:val="ListParagraph"/>
              <w:numPr>
                <w:ilvl w:val="0"/>
                <w:numId w:val="3"/>
              </w:numPr>
              <w:spacing w:lineRule="auto" w:line="240" w:before="0" w:after="200"/>
              <w:ind w:left="714" w:right="0" w:hanging="357"/>
              <w:contextualSpacing/>
              <w:jc w:val="both"/>
              <w:rPr>
                <w:rFonts w:ascii="Arial" w:hAnsi="Arial" w:eastAsia="Times New Roman" w:cs="Arial"/>
              </w:rPr>
            </w:pPr>
            <w:r>
              <w:rPr>
                <w:rFonts w:eastAsia="Times New Roman" w:cs="Arial" w:ascii="Arial" w:hAnsi="Arial"/>
              </w:rPr>
              <w:t>To ensure that the principles of social inclusion and access are embedded within the curriculum areas in liaison with the relevant Senior Manager</w:t>
            </w:r>
          </w:p>
          <w:p>
            <w:pPr>
              <w:pStyle w:val="ListParagraph"/>
              <w:numPr>
                <w:ilvl w:val="0"/>
                <w:numId w:val="3"/>
              </w:numPr>
              <w:spacing w:lineRule="auto" w:line="240" w:before="200" w:after="200"/>
              <w:ind w:left="714" w:right="0" w:hanging="357"/>
              <w:contextualSpacing/>
              <w:jc w:val="both"/>
              <w:rPr>
                <w:rFonts w:ascii="Arial" w:hAnsi="Arial" w:eastAsia="Times New Roman" w:cs="Arial"/>
              </w:rPr>
            </w:pPr>
            <w:r>
              <w:rPr>
                <w:rFonts w:eastAsia="Times New Roman" w:cs="Arial" w:ascii="Arial" w:hAnsi="Arial"/>
              </w:rPr>
              <w:t>To contribute to the development and implementation of learner support.</w:t>
            </w:r>
          </w:p>
          <w:p>
            <w:pPr>
              <w:pStyle w:val="ListParagraph"/>
              <w:numPr>
                <w:ilvl w:val="0"/>
                <w:numId w:val="3"/>
              </w:numPr>
              <w:spacing w:lineRule="auto" w:line="240" w:before="200" w:after="200"/>
              <w:ind w:left="714" w:right="0" w:hanging="357"/>
              <w:contextualSpacing/>
              <w:jc w:val="both"/>
              <w:rPr>
                <w:rFonts w:ascii="Arial" w:hAnsi="Arial" w:eastAsia="Times New Roman" w:cs="Arial"/>
              </w:rPr>
            </w:pPr>
            <w:r>
              <w:rPr>
                <w:rFonts w:eastAsia="Times New Roman" w:cs="Arial" w:ascii="Arial" w:hAnsi="Arial"/>
              </w:rPr>
              <w:t xml:space="preserve">To contribute to the promotion, publicity and marketing of the Curriculum and the Service. </w:t>
            </w:r>
          </w:p>
          <w:p>
            <w:pPr>
              <w:pStyle w:val="ListParagraph"/>
              <w:numPr>
                <w:ilvl w:val="0"/>
                <w:numId w:val="3"/>
              </w:numPr>
              <w:spacing w:lineRule="auto" w:line="240" w:before="200" w:after="200"/>
              <w:ind w:left="714" w:right="0" w:hanging="357"/>
              <w:contextualSpacing/>
              <w:jc w:val="both"/>
              <w:rPr>
                <w:rFonts w:ascii="Arial" w:hAnsi="Arial" w:eastAsia="Times New Roman" w:cs="Arial"/>
              </w:rPr>
            </w:pPr>
            <w:r>
              <w:rPr>
                <w:rFonts w:eastAsia="Times New Roman" w:cs="Arial" w:ascii="Arial" w:hAnsi="Arial"/>
              </w:rPr>
              <w:t>To provide appropriate advice and guidance to learners to ensure learner success rates.</w:t>
            </w:r>
          </w:p>
          <w:p>
            <w:pPr>
              <w:pStyle w:val="ListParagraph"/>
              <w:numPr>
                <w:ilvl w:val="0"/>
                <w:numId w:val="3"/>
              </w:numPr>
              <w:spacing w:lineRule="auto" w:line="240" w:before="200" w:after="200"/>
              <w:ind w:left="714" w:right="0" w:hanging="357"/>
              <w:contextualSpacing/>
              <w:jc w:val="both"/>
              <w:rPr>
                <w:rFonts w:ascii="Arial" w:hAnsi="Arial" w:eastAsia="Times New Roman" w:cs="Arial"/>
              </w:rPr>
            </w:pPr>
            <w:r>
              <w:rPr>
                <w:rFonts w:eastAsia="Times New Roman" w:cs="Arial" w:ascii="Arial" w:hAnsi="Arial"/>
              </w:rPr>
              <w:t>To work with relevant partners to enhance learner opportunities and raise the profile of the Service.</w:t>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522"/>
        <w:gridCol w:w="9927"/>
      </w:tblGrid>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2.</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3.</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4.</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70" w:hRule="atLeast"/>
        </w:trPr>
        <w:tc>
          <w:tcPr>
            <w:tcW w:w="522"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5.</w:t>
            </w:r>
          </w:p>
        </w:tc>
        <w:tc>
          <w:tcPr>
            <w:tcW w:w="9927"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rial"/>
                <w:b/>
                <w:sz w:val="22"/>
                <w:szCs w:val="22"/>
              </w:rPr>
              <w:t>Contacts:</w:t>
            </w:r>
            <w:r>
              <w:rPr>
                <w:rFonts w:cs="Arial"/>
                <w:sz w:val="22"/>
                <w:szCs w:val="22"/>
              </w:rPr>
              <w:t xml:space="preserve"> </w:t>
            </w:r>
          </w:p>
          <w:p>
            <w:pPr>
              <w:pStyle w:val="Normal"/>
              <w:jc w:val="both"/>
              <w:rPr>
                <w:rFonts w:cs="Arial"/>
                <w:sz w:val="22"/>
                <w:szCs w:val="22"/>
              </w:rPr>
            </w:pPr>
            <w:r>
              <w:rPr>
                <w:rFonts w:cs="Arial"/>
                <w:sz w:val="22"/>
                <w:szCs w:val="22"/>
              </w:rPr>
              <w:t>Members of the public</w:t>
            </w:r>
          </w:p>
          <w:p>
            <w:pPr>
              <w:pStyle w:val="Normal"/>
              <w:jc w:val="both"/>
              <w:rPr>
                <w:rFonts w:cs="Arial"/>
                <w:sz w:val="22"/>
                <w:szCs w:val="22"/>
              </w:rPr>
            </w:pPr>
            <w:r>
              <w:rPr>
                <w:rFonts w:cs="Arial"/>
                <w:sz w:val="22"/>
                <w:szCs w:val="22"/>
              </w:rPr>
              <w:t>Users of the service</w:t>
            </w:r>
          </w:p>
          <w:p>
            <w:pPr>
              <w:pStyle w:val="Normal"/>
              <w:jc w:val="both"/>
              <w:rPr>
                <w:rFonts w:cs="Arial"/>
                <w:sz w:val="22"/>
                <w:szCs w:val="22"/>
              </w:rPr>
            </w:pPr>
            <w:r>
              <w:rPr>
                <w:rFonts w:cs="Arial"/>
                <w:sz w:val="22"/>
                <w:szCs w:val="22"/>
              </w:rPr>
              <w:t>Schools and Children’s Centres</w:t>
            </w:r>
          </w:p>
          <w:p>
            <w:pPr>
              <w:pStyle w:val="Normal"/>
              <w:jc w:val="both"/>
              <w:rPr>
                <w:rFonts w:cs="Arial"/>
                <w:sz w:val="22"/>
                <w:szCs w:val="22"/>
              </w:rPr>
            </w:pPr>
            <w:r>
              <w:rPr>
                <w:rFonts w:cs="Arial"/>
                <w:sz w:val="22"/>
                <w:szCs w:val="22"/>
              </w:rPr>
              <w:t>District / Neighbourhood Teams</w:t>
            </w:r>
          </w:p>
          <w:p>
            <w:pPr>
              <w:pStyle w:val="Normal"/>
              <w:jc w:val="both"/>
              <w:rPr>
                <w:rFonts w:cs="Arial"/>
                <w:sz w:val="22"/>
                <w:szCs w:val="22"/>
              </w:rPr>
            </w:pPr>
            <w:r>
              <w:rPr>
                <w:rFonts w:cs="Arial"/>
                <w:sz w:val="22"/>
                <w:szCs w:val="22"/>
              </w:rPr>
              <w:t>Officers of the Education, Skills &amp; Early Years Directorate and other directorates</w:t>
            </w:r>
          </w:p>
          <w:p>
            <w:pPr>
              <w:pStyle w:val="Normal"/>
              <w:jc w:val="both"/>
              <w:rPr>
                <w:rFonts w:cs="Arial"/>
                <w:sz w:val="22"/>
                <w:szCs w:val="22"/>
              </w:rPr>
            </w:pPr>
            <w:r>
              <w:rPr>
                <w:rFonts w:cs="Arial"/>
                <w:sz w:val="22"/>
                <w:szCs w:val="22"/>
              </w:rPr>
              <w:t>Community Groups and organisations</w:t>
            </w:r>
          </w:p>
          <w:p>
            <w:pPr>
              <w:pStyle w:val="Normal"/>
              <w:ind w:left="1560" w:right="0" w:hanging="1560"/>
              <w:jc w:val="both"/>
              <w:rPr>
                <w:rFonts w:cs="Arial"/>
                <w:sz w:val="22"/>
                <w:szCs w:val="22"/>
              </w:rPr>
            </w:pPr>
            <w:r>
              <w:rPr>
                <w:rFonts w:cs="Arial"/>
                <w:sz w:val="22"/>
                <w:szCs w:val="22"/>
              </w:rPr>
              <w:t>Other public agencies locally and nationally</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center"/>
        <w:tblInd w:w="0"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9" w:type="dxa"/>
        <w:jc w:val="center"/>
        <w:tblInd w:w="0" w:type="dxa"/>
        <w:tblCellMar>
          <w:top w:w="0" w:type="dxa"/>
          <w:left w:w="108" w:type="dxa"/>
          <w:bottom w:w="0" w:type="dxa"/>
          <w:right w:w="108" w:type="dxa"/>
        </w:tblCellMar>
      </w:tblPr>
      <w:tblGrid>
        <w:gridCol w:w="2106"/>
        <w:gridCol w:w="8343"/>
      </w:tblGrid>
      <w:tr>
        <w:trPr>
          <w:trHeight w:val="518"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b w:val="false"/>
                <w:b w:val="false"/>
                <w:szCs w:val="22"/>
              </w:rPr>
            </w:pPr>
            <w:r>
              <w:rPr>
                <w:rFonts w:cs="Arial"/>
                <w:b w:val="false"/>
                <w:szCs w:val="22"/>
              </w:rPr>
              <w:t>Curriculum Manager</w:t>
            </w:r>
          </w:p>
        </w:tc>
      </w:tr>
      <w:tr>
        <w:trPr>
          <w:trHeight w:val="517" w:hRule="atLeast"/>
        </w:trPr>
        <w:tc>
          <w:tcPr>
            <w:tcW w:w="2106" w:type="dxa"/>
            <w:tcBorders>
              <w:top w:val="single" w:sz="4" w:space="0" w:color="000000"/>
              <w:left w:val="single" w:sz="4" w:space="0" w:color="000000"/>
              <w:bottom w:val="single" w:sz="4" w:space="0" w:color="000000"/>
            </w:tcBorders>
            <w:shd w:fill="auto" w:val="clear"/>
          </w:tcPr>
          <w:p>
            <w:pPr>
              <w:pStyle w:val="Normal"/>
              <w:rPr>
                <w:rFonts w:cs="Arial"/>
                <w:b/>
                <w:b/>
                <w:sz w:val="22"/>
                <w:szCs w:val="22"/>
              </w:rPr>
            </w:pPr>
            <w:r>
              <w:rPr>
                <w:rFonts w:cs="Arial"/>
                <w:b/>
                <w:sz w:val="22"/>
                <w:szCs w:val="22"/>
              </w:rPr>
              <w:t>Responsible for:</w:t>
            </w:r>
          </w:p>
        </w:tc>
        <w:tc>
          <w:tcPr>
            <w:tcW w:w="8343"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Teaching staff</w:t>
            </w:r>
            <w:bookmarkStart w:id="0" w:name="_Hlk95121094"/>
            <w:bookmarkEnd w:id="0"/>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Basic DBS required – there isn’t any regulated activity in this role</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50" w:type="dxa"/>
        <w:jc w:val="left"/>
        <w:tblInd w:w="-7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rFonts w:ascii="Arial" w:hAnsi="Arial" w:eastAsia="Arial" w:cs="Arial"/>
              </w:rPr>
            </w:pPr>
            <w:r>
              <w:rPr>
                <w:rFonts w:eastAsia="Arial" w:cs="Arial" w:ascii="Arial" w:hAnsi="Arial"/>
              </w:rPr>
              <w:t>Work with a Resident Focus</w:t>
            </w:r>
          </w:p>
          <w:p>
            <w:pPr>
              <w:pStyle w:val="ListParagraph"/>
              <w:numPr>
                <w:ilvl w:val="0"/>
                <w:numId w:val="2"/>
              </w:numPr>
              <w:rPr>
                <w:rFonts w:ascii="Arial" w:hAnsi="Arial" w:eastAsia="Arial" w:cs="Arial"/>
              </w:rPr>
            </w:pPr>
            <w:r>
              <w:rPr>
                <w:rFonts w:eastAsia="Arial" w:cs="Arial" w:ascii="Arial" w:hAnsi="Arial"/>
              </w:rPr>
              <w:t>Support Local Leaders</w:t>
            </w:r>
          </w:p>
          <w:p>
            <w:pPr>
              <w:pStyle w:val="ListParagraph"/>
              <w:numPr>
                <w:ilvl w:val="0"/>
                <w:numId w:val="2"/>
              </w:numPr>
              <w:rPr>
                <w:rFonts w:ascii="Arial" w:hAnsi="Arial" w:eastAsia="Arial" w:cs="Arial"/>
              </w:rPr>
            </w:pPr>
            <w:r>
              <w:rPr>
                <w:rFonts w:eastAsia="Arial" w:cs="Arial" w:ascii="Arial" w:hAnsi="Arial"/>
              </w:rPr>
              <w:t>Committed to the Borough</w:t>
            </w:r>
          </w:p>
          <w:p>
            <w:pPr>
              <w:pStyle w:val="ListParagraph"/>
              <w:numPr>
                <w:ilvl w:val="0"/>
                <w:numId w:val="2"/>
              </w:numPr>
              <w:rPr>
                <w:rFonts w:ascii="Arial" w:hAnsi="Arial" w:eastAsia="Arial" w:cs="Arial"/>
              </w:rPr>
            </w:pPr>
            <w:r>
              <w:rPr>
                <w:rFonts w:eastAsia="Arial" w:cs="Arial" w:ascii="Arial" w:hAnsi="Arial"/>
              </w:rPr>
              <w:t>Take Ownership and Drive Change</w:t>
            </w:r>
          </w:p>
          <w:p>
            <w:pPr>
              <w:pStyle w:val="ListParagraph"/>
              <w:numPr>
                <w:ilvl w:val="0"/>
                <w:numId w:val="2"/>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99" w:type="dxa"/>
        <w:jc w:val="left"/>
        <w:tblInd w:w="-606" w:type="dxa"/>
        <w:tblCellMar>
          <w:top w:w="0" w:type="dxa"/>
          <w:left w:w="108" w:type="dxa"/>
          <w:bottom w:w="0" w:type="dxa"/>
          <w:right w:w="108" w:type="dxa"/>
        </w:tblCellMar>
      </w:tblPr>
      <w:tblGrid>
        <w:gridCol w:w="2913"/>
        <w:gridCol w:w="2307"/>
        <w:gridCol w:w="2310"/>
        <w:gridCol w:w="2969"/>
      </w:tblGrid>
      <w:tr>
        <w:trPr/>
        <w:tc>
          <w:tcPr>
            <w:tcW w:w="2913"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PREPARED</w:t>
            </w:r>
          </w:p>
          <w:p>
            <w:pPr>
              <w:pStyle w:val="Normal"/>
              <w:jc w:val="both"/>
              <w:rPr>
                <w:rFonts w:cs="Arial"/>
                <w:sz w:val="22"/>
                <w:szCs w:val="22"/>
              </w:rPr>
            </w:pPr>
            <w:r>
              <w:rPr>
                <w:rFonts w:cs="Arial"/>
                <w:sz w:val="22"/>
                <w:szCs w:val="22"/>
              </w:rPr>
            </w:r>
          </w:p>
        </w:tc>
        <w:tc>
          <w:tcPr>
            <w:tcW w:w="2307" w:type="dxa"/>
            <w:tcBorders>
              <w:top w:val="single" w:sz="4" w:space="0" w:color="000000"/>
              <w:left w:val="single" w:sz="4" w:space="0" w:color="000000"/>
              <w:bottom w:val="single" w:sz="4" w:space="0" w:color="000000"/>
            </w:tcBorders>
            <w:shd w:fill="auto" w:val="clear"/>
          </w:tcPr>
          <w:p>
            <w:pPr>
              <w:pStyle w:val="Normal"/>
              <w:snapToGrid w:val="false"/>
              <w:jc w:val="both"/>
              <w:rPr>
                <w:rFonts w:cs="Arial"/>
                <w:sz w:val="22"/>
                <w:szCs w:val="22"/>
              </w:rPr>
            </w:pPr>
            <w:r>
              <w:rPr>
                <w:rFonts w:cs="Arial"/>
                <w:sz w:val="22"/>
                <w:szCs w:val="22"/>
              </w:rPr>
            </w:r>
          </w:p>
        </w:tc>
        <w:tc>
          <w:tcPr>
            <w:tcW w:w="231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cs="Arial"/>
                <w:sz w:val="22"/>
                <w:szCs w:val="22"/>
              </w:rPr>
            </w:pPr>
            <w:r>
              <w:rPr>
                <w:rFonts w:cs="Arial"/>
                <w:sz w:val="22"/>
                <w:szCs w:val="22"/>
              </w:rPr>
            </w:r>
          </w:p>
        </w:tc>
      </w:tr>
      <w:tr>
        <w:trPr/>
        <w:tc>
          <w:tcPr>
            <w:tcW w:w="2913"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REVIEWED</w:t>
            </w:r>
          </w:p>
        </w:tc>
        <w:tc>
          <w:tcPr>
            <w:tcW w:w="2307"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Jan 2011</w:t>
            </w:r>
          </w:p>
        </w:tc>
        <w:tc>
          <w:tcPr>
            <w:tcW w:w="2310"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SMT</w:t>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SMT</w:t>
            </w:r>
          </w:p>
        </w:tc>
      </w:tr>
      <w:tr>
        <w:trPr/>
        <w:tc>
          <w:tcPr>
            <w:tcW w:w="2913"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REVIEWED</w:t>
            </w:r>
          </w:p>
          <w:p>
            <w:pPr>
              <w:pStyle w:val="Normal"/>
              <w:jc w:val="both"/>
              <w:rPr>
                <w:rFonts w:cs="Arial"/>
                <w:sz w:val="22"/>
                <w:szCs w:val="22"/>
              </w:rPr>
            </w:pPr>
            <w:r>
              <w:rPr>
                <w:rFonts w:cs="Arial"/>
                <w:sz w:val="22"/>
                <w:szCs w:val="22"/>
              </w:rPr>
            </w:r>
          </w:p>
        </w:tc>
        <w:tc>
          <w:tcPr>
            <w:tcW w:w="2307"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May 2014</w:t>
            </w:r>
          </w:p>
        </w:tc>
        <w:tc>
          <w:tcPr>
            <w:tcW w:w="2310"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SMT</w:t>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SMT</w:t>
            </w:r>
          </w:p>
        </w:tc>
      </w:tr>
      <w:tr>
        <w:trPr/>
        <w:tc>
          <w:tcPr>
            <w:tcW w:w="2913"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REVIEWED</w:t>
            </w:r>
          </w:p>
        </w:tc>
        <w:tc>
          <w:tcPr>
            <w:tcW w:w="2307"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May 2015</w:t>
            </w:r>
          </w:p>
        </w:tc>
        <w:tc>
          <w:tcPr>
            <w:tcW w:w="2310"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SMT</w:t>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SMT</w:t>
            </w:r>
          </w:p>
        </w:tc>
      </w:tr>
      <w:tr>
        <w:trPr/>
        <w:tc>
          <w:tcPr>
            <w:tcW w:w="2913"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REVIEWED</w:t>
            </w:r>
          </w:p>
        </w:tc>
        <w:tc>
          <w:tcPr>
            <w:tcW w:w="2307"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July 2015</w:t>
            </w:r>
          </w:p>
        </w:tc>
        <w:tc>
          <w:tcPr>
            <w:tcW w:w="2310"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SMT</w:t>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SMT</w:t>
            </w:r>
          </w:p>
        </w:tc>
      </w:tr>
      <w:tr>
        <w:trPr/>
        <w:tc>
          <w:tcPr>
            <w:tcW w:w="2913"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REVIEWED</w:t>
            </w:r>
          </w:p>
        </w:tc>
        <w:tc>
          <w:tcPr>
            <w:tcW w:w="2307"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Jan 2019</w:t>
            </w:r>
          </w:p>
          <w:p>
            <w:pPr>
              <w:pStyle w:val="Normal"/>
              <w:jc w:val="both"/>
              <w:rPr>
                <w:rFonts w:cs="Arial"/>
                <w:sz w:val="22"/>
                <w:szCs w:val="22"/>
              </w:rPr>
            </w:pPr>
            <w:r>
              <w:rPr>
                <w:rFonts w:cs="Arial"/>
                <w:sz w:val="22"/>
                <w:szCs w:val="22"/>
              </w:rPr>
              <w:t>Dec 2023</w:t>
            </w:r>
          </w:p>
          <w:p>
            <w:pPr>
              <w:pStyle w:val="Normal"/>
              <w:jc w:val="both"/>
              <w:rPr>
                <w:rFonts w:cs="Arial"/>
                <w:sz w:val="22"/>
                <w:szCs w:val="22"/>
              </w:rPr>
            </w:pPr>
            <w:r>
              <w:rPr>
                <w:rFonts w:cs="Arial"/>
                <w:sz w:val="22"/>
                <w:szCs w:val="22"/>
              </w:rPr>
            </w:r>
          </w:p>
        </w:tc>
        <w:tc>
          <w:tcPr>
            <w:tcW w:w="2310"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CI</w:t>
            </w:r>
          </w:p>
          <w:p>
            <w:pPr>
              <w:pStyle w:val="Normal"/>
              <w:jc w:val="both"/>
              <w:rPr>
                <w:rFonts w:cs="Arial"/>
                <w:sz w:val="22"/>
                <w:szCs w:val="22"/>
              </w:rPr>
            </w:pPr>
            <w:r>
              <w:rPr>
                <w:rFonts w:cs="Arial"/>
                <w:sz w:val="22"/>
                <w:szCs w:val="22"/>
              </w:rPr>
              <w:t>CI</w:t>
            </w:r>
          </w:p>
        </w:tc>
        <w:tc>
          <w:tcPr>
            <w:tcW w:w="2969"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Assistant Head of Service</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19.2.08</w:t>
            </w:r>
          </w:p>
        </w:tc>
        <w:tc>
          <w:tcPr>
            <w:tcW w:w="21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Mary Grainger</w:t>
            </w:r>
          </w:p>
          <w:p>
            <w:pPr>
              <w:pStyle w:val="Normal"/>
              <w:spacing w:before="60" w:after="60"/>
              <w:rPr>
                <w:rFonts w:cs="Arial"/>
                <w:sz w:val="22"/>
                <w:szCs w:val="22"/>
              </w:rPr>
            </w:pPr>
            <w:r>
              <w:rPr>
                <w:rFonts w:cs="Arial"/>
                <w:sz w:val="22"/>
                <w:szCs w:val="22"/>
              </w:rPr>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Skills for Life &amp; Curriculum Co-ordinator</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Jan 2011</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SMT</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SMT</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May 2014</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SMT</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SMT</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May 2015</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SMT</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SMT</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July 2015</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SMT</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SMT</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Jan 2019</w:t>
            </w:r>
          </w:p>
          <w:p>
            <w:pPr>
              <w:pStyle w:val="Normal"/>
              <w:jc w:val="both"/>
              <w:rPr>
                <w:rFonts w:cs="Arial"/>
                <w:sz w:val="22"/>
                <w:szCs w:val="22"/>
              </w:rPr>
            </w:pPr>
            <w:r>
              <w:rPr>
                <w:rFonts w:cs="Arial"/>
                <w:sz w:val="22"/>
                <w:szCs w:val="22"/>
              </w:rPr>
              <w:t>Dec 2023</w:t>
            </w:r>
          </w:p>
          <w:p>
            <w:pPr>
              <w:pStyle w:val="Normal"/>
              <w:jc w:val="both"/>
              <w:rPr>
                <w:rFonts w:cs="Arial"/>
                <w:sz w:val="22"/>
                <w:szCs w:val="22"/>
              </w:rPr>
            </w:pPr>
            <w:r>
              <w:rPr>
                <w:rFonts w:cs="Arial"/>
                <w:sz w:val="22"/>
                <w:szCs w:val="22"/>
              </w:rPr>
              <w:t>June 2025</w:t>
            </w:r>
          </w:p>
          <w:p>
            <w:pPr>
              <w:pStyle w:val="Normal"/>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tcBorders>
            <w:shd w:fill="auto" w:val="clear"/>
          </w:tcPr>
          <w:p>
            <w:pPr>
              <w:pStyle w:val="Normal"/>
              <w:jc w:val="both"/>
              <w:rPr>
                <w:rFonts w:cs="Arial"/>
                <w:sz w:val="22"/>
                <w:szCs w:val="22"/>
              </w:rPr>
            </w:pPr>
            <w:r>
              <w:rPr>
                <w:rFonts w:cs="Arial"/>
                <w:sz w:val="22"/>
                <w:szCs w:val="22"/>
              </w:rPr>
              <w:t>CI</w:t>
            </w:r>
          </w:p>
          <w:p>
            <w:pPr>
              <w:pStyle w:val="Normal"/>
              <w:spacing w:before="60" w:after="60"/>
              <w:rPr>
                <w:rFonts w:cs="Arial"/>
                <w:sz w:val="22"/>
                <w:szCs w:val="22"/>
              </w:rPr>
            </w:pPr>
            <w:r>
              <w:rPr>
                <w:rFonts w:cs="Arial"/>
                <w:sz w:val="22"/>
                <w:szCs w:val="22"/>
              </w:rPr>
              <w:t>CI</w:t>
            </w:r>
          </w:p>
          <w:p>
            <w:pPr>
              <w:pStyle w:val="Normal"/>
              <w:spacing w:before="60" w:after="60"/>
              <w:rPr>
                <w:rFonts w:cs="Arial"/>
                <w:sz w:val="22"/>
                <w:szCs w:val="22"/>
              </w:rPr>
            </w:pPr>
            <w:r>
              <w:rPr>
                <w:rFonts w:cs="Arial"/>
                <w:sz w:val="22"/>
                <w:szCs w:val="22"/>
              </w:rPr>
              <w:t>CI</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Assistant Head of Service</w:t>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rFonts w:ascii="Arial" w:hAnsi="Arial" w:cs="Arial"/>
          <w:b/>
          <w:b/>
          <w:bCs/>
          <w:sz w:val="22"/>
          <w:szCs w:val="22"/>
        </w:rPr>
      </w:pPr>
      <w:r>
        <w:rPr>
          <w:rFonts w:cs="Arial" w:ascii="Arial" w:hAnsi="Arial"/>
          <w:b/>
          <w:bCs/>
          <w:sz w:val="22"/>
          <w:szCs w:val="22"/>
        </w:rPr>
      </w:r>
    </w:p>
    <w:p>
      <w:pPr>
        <w:pStyle w:val="Endnote"/>
        <w:rPr/>
      </w:pPr>
      <w:r>
        <w:rPr>
          <w:rFonts w:cs="Arial" w:ascii="Arial" w:hAnsi="Arial"/>
          <w:b/>
          <w:bCs/>
          <w:sz w:val="22"/>
          <w:szCs w:val="22"/>
        </w:rPr>
        <w:t xml:space="preserve">Job Title: </w:t>
      </w:r>
      <w:r>
        <w:rPr>
          <w:rFonts w:cs="Arial" w:ascii="Arial" w:hAnsi="Arial"/>
          <w:b/>
          <w:sz w:val="22"/>
          <w:szCs w:val="22"/>
        </w:rPr>
        <w:t>Programme Leader (Post 3) ESOL</w:t>
      </w:r>
    </w:p>
    <w:p>
      <w:pPr>
        <w:pStyle w:val="Normal"/>
        <w:rPr>
          <w:rFonts w:cs="Arial"/>
          <w:sz w:val="22"/>
          <w:szCs w:val="22"/>
        </w:rPr>
      </w:pPr>
      <w:r>
        <w:rPr>
          <w:rFonts w:cs="Arial"/>
          <w:sz w:val="22"/>
          <w:szCs w:val="22"/>
        </w:rPr>
      </w:r>
    </w:p>
    <w:tbl>
      <w:tblPr>
        <w:tblW w:w="10449" w:type="dxa"/>
        <w:jc w:val="left"/>
        <w:tblInd w:w="-717" w:type="dxa"/>
        <w:tblCellMar>
          <w:top w:w="0" w:type="dxa"/>
          <w:left w:w="108" w:type="dxa"/>
          <w:bottom w:w="0" w:type="dxa"/>
          <w:right w:w="108" w:type="dxa"/>
        </w:tblCellMar>
      </w:tblPr>
      <w:tblGrid>
        <w:gridCol w:w="1964"/>
        <w:gridCol w:w="3795"/>
        <w:gridCol w:w="3060"/>
        <w:gridCol w:w="1630"/>
      </w:tblGrid>
      <w:tr>
        <w:trPr>
          <w:trHeight w:val="1000" w:hRule="atLeast"/>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napToGrid w:val="false"/>
              <w:rPr>
                <w:rFonts w:cs="Arial"/>
                <w:b/>
                <w:b/>
                <w:bCs/>
                <w:sz w:val="22"/>
                <w:szCs w:val="22"/>
              </w:rPr>
            </w:pPr>
            <w:r>
              <w:rPr>
                <w:rFonts w:cs="Arial"/>
                <w:b/>
                <w:bCs/>
                <w:sz w:val="22"/>
                <w:szCs w:val="22"/>
              </w:rPr>
            </w:r>
          </w:p>
          <w:p>
            <w:pPr>
              <w:pStyle w:val="Normal"/>
              <w:rPr>
                <w:rFonts w:cs="Arial"/>
                <w:sz w:val="22"/>
                <w:szCs w:val="22"/>
              </w:rPr>
            </w:pPr>
            <w:r>
              <w:rPr>
                <w:rFonts w:cs="Arial"/>
                <w:sz w:val="22"/>
                <w:szCs w:val="22"/>
              </w:rPr>
              <w:t>Relevant teaching qualification e.g. C &amp; G 7307, Cert Ed, PGCE, B.Ed.</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Qualified to level 4/5 in a relevant subject specialism area and or willing to achieve within 2 years.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snapToGrid w:val="false"/>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 / I</w:t>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snapToGrid w:val="false"/>
              <w:rPr>
                <w:rFonts w:cs="Arial"/>
                <w:b/>
                <w:b/>
                <w:bCs/>
                <w:sz w:val="22"/>
                <w:szCs w:val="22"/>
              </w:rPr>
            </w:pPr>
            <w:r>
              <w:rPr>
                <w:rFonts w:cs="Arial"/>
                <w:b/>
                <w:bCs/>
                <w:sz w:val="22"/>
                <w:szCs w:val="22"/>
              </w:rPr>
            </w:r>
          </w:p>
          <w:p>
            <w:pPr>
              <w:pStyle w:val="Normal"/>
              <w:rPr>
                <w:rFonts w:cs="Arial"/>
                <w:sz w:val="22"/>
                <w:szCs w:val="22"/>
              </w:rPr>
            </w:pPr>
            <w:r>
              <w:rPr>
                <w:rFonts w:cs="Arial"/>
                <w:sz w:val="22"/>
                <w:szCs w:val="22"/>
              </w:rPr>
              <w:t>Teaching experience in a curriculum area relevant to the post.</w:t>
            </w:r>
          </w:p>
          <w:p>
            <w:pPr>
              <w:pStyle w:val="Normal"/>
              <w:rPr>
                <w:rFonts w:cs="Arial"/>
                <w:sz w:val="22"/>
                <w:szCs w:val="22"/>
              </w:rPr>
            </w:pPr>
            <w:r>
              <w:rPr>
                <w:rFonts w:cs="Arial"/>
                <w:sz w:val="22"/>
                <w:szCs w:val="22"/>
              </w:rPr>
            </w:r>
          </w:p>
          <w:p>
            <w:pPr>
              <w:pStyle w:val="Normal"/>
              <w:rPr>
                <w:rFonts w:cs="Arial"/>
                <w:b/>
                <w:b/>
                <w:bCs/>
                <w:sz w:val="22"/>
                <w:szCs w:val="22"/>
              </w:rPr>
            </w:pPr>
            <w:r>
              <w:rPr>
                <w:rFonts w:cs="Arial"/>
                <w:b/>
                <w:bCs/>
                <w:sz w:val="22"/>
                <w:szCs w:val="22"/>
              </w:rPr>
              <w:t>Experience of: -</w:t>
            </w:r>
          </w:p>
          <w:p>
            <w:pPr>
              <w:pStyle w:val="Normal"/>
              <w:rPr>
                <w:rFonts w:cs="Arial"/>
                <w:b/>
                <w:b/>
                <w:bCs/>
                <w:sz w:val="22"/>
                <w:szCs w:val="22"/>
              </w:rPr>
            </w:pPr>
            <w:r>
              <w:rPr>
                <w:rFonts w:cs="Arial"/>
                <w:b/>
                <w:bCs/>
                <w:sz w:val="22"/>
                <w:szCs w:val="22"/>
              </w:rPr>
            </w:r>
          </w:p>
          <w:p>
            <w:pPr>
              <w:pStyle w:val="ListParagraph"/>
              <w:numPr>
                <w:ilvl w:val="0"/>
                <w:numId w:val="5"/>
              </w:numPr>
              <w:rPr>
                <w:rFonts w:ascii="Arial" w:hAnsi="Arial" w:cs="Arial"/>
              </w:rPr>
            </w:pPr>
            <w:r>
              <w:rPr>
                <w:rFonts w:cs="Arial" w:ascii="Arial" w:hAnsi="Arial"/>
              </w:rPr>
              <w:t>Teaching at a variety of levels.</w:t>
            </w:r>
          </w:p>
          <w:p>
            <w:pPr>
              <w:pStyle w:val="ListParagraph"/>
              <w:numPr>
                <w:ilvl w:val="0"/>
                <w:numId w:val="5"/>
              </w:numPr>
              <w:rPr>
                <w:rFonts w:ascii="Arial" w:hAnsi="Arial" w:cs="Arial"/>
              </w:rPr>
            </w:pPr>
            <w:r>
              <w:rPr>
                <w:rFonts w:cs="Arial" w:ascii="Arial" w:hAnsi="Arial"/>
              </w:rPr>
              <w:t>Working with learners from disadvantaged communities and learners with low or no qualifications and complex social needs and are unemployed</w:t>
            </w:r>
          </w:p>
          <w:p>
            <w:pPr>
              <w:pStyle w:val="ListParagraph"/>
              <w:numPr>
                <w:ilvl w:val="0"/>
                <w:numId w:val="5"/>
              </w:numPr>
              <w:rPr>
                <w:rFonts w:ascii="Arial" w:hAnsi="Arial" w:cs="Arial"/>
              </w:rPr>
            </w:pPr>
            <w:r>
              <w:rPr>
                <w:rFonts w:cs="Arial" w:ascii="Arial" w:hAnsi="Arial"/>
              </w:rPr>
              <w:t>Developing and implementing assessment / accreditation procedures</w:t>
            </w:r>
          </w:p>
          <w:p>
            <w:pPr>
              <w:pStyle w:val="ListParagraph"/>
              <w:numPr>
                <w:ilvl w:val="0"/>
                <w:numId w:val="5"/>
              </w:numPr>
              <w:rPr>
                <w:rFonts w:ascii="Arial" w:hAnsi="Arial" w:cs="Arial"/>
              </w:rPr>
            </w:pPr>
            <w:r>
              <w:rPr>
                <w:rFonts w:cs="Arial" w:ascii="Arial" w:hAnsi="Arial"/>
              </w:rPr>
              <w:t>Giving effective advice and guidance.</w:t>
            </w:r>
          </w:p>
          <w:p>
            <w:pPr>
              <w:pStyle w:val="ListParagraph"/>
              <w:numPr>
                <w:ilvl w:val="0"/>
                <w:numId w:val="5"/>
              </w:numPr>
              <w:spacing w:before="0" w:after="200"/>
              <w:contextualSpacing/>
              <w:rPr>
                <w:rFonts w:ascii="Arial" w:hAnsi="Arial" w:cs="Arial"/>
              </w:rPr>
            </w:pPr>
            <w:r>
              <w:rPr>
                <w:rFonts w:cs="Arial" w:ascii="Arial" w:hAnsi="Arial"/>
              </w:rPr>
              <w:t>Curriculum development</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b/>
                <w:b/>
                <w:bCs/>
                <w:sz w:val="22"/>
                <w:szCs w:val="22"/>
              </w:rPr>
            </w:pPr>
            <w:r>
              <w:rPr>
                <w:rFonts w:cs="Arial"/>
                <w:b/>
                <w:bCs/>
                <w:sz w:val="22"/>
                <w:szCs w:val="22"/>
              </w:rPr>
              <w:t>Experience of: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Project management and curriculum development and planning</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Working with learners who are seeking employment</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t>AF / I / P</w:t>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Responsive, flexible and proactive approach to contribute to innovative curriculum development</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Recognised high quality teaching and learning evidenced by consistently high Observation of Teaching and Learning Assessment (OTLA) grades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Communication and interpersonal skills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Planning and organisational skills</w:t>
            </w:r>
          </w:p>
          <w:p>
            <w:pPr>
              <w:pStyle w:val="Normal"/>
              <w:rPr>
                <w:rFonts w:cs="Arial"/>
                <w:sz w:val="22"/>
                <w:szCs w:val="22"/>
              </w:rPr>
            </w:pPr>
            <w:r>
              <w:rPr>
                <w:rFonts w:cs="Arial"/>
                <w:sz w:val="22"/>
                <w:szCs w:val="22"/>
              </w:rPr>
              <w:t>ICT and digital skills.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Demonstration of a commitment to Continuing Professional Development (CPD).</w:t>
            </w:r>
          </w:p>
          <w:p>
            <w:pPr>
              <w:pStyle w:val="Normal"/>
              <w:rPr>
                <w:rFonts w:cs="Arial"/>
                <w:sz w:val="22"/>
                <w:szCs w:val="22"/>
              </w:rPr>
            </w:pPr>
            <w:r>
              <w:rPr>
                <w:rFonts w:cs="Arial"/>
                <w:sz w:val="22"/>
                <w:szCs w:val="22"/>
              </w:rPr>
            </w:r>
          </w:p>
          <w:p>
            <w:pPr>
              <w:pStyle w:val="Normal"/>
              <w:rPr>
                <w:rFonts w:cs="Arial"/>
                <w:b/>
                <w:b/>
                <w:bCs/>
                <w:sz w:val="22"/>
                <w:szCs w:val="22"/>
              </w:rPr>
            </w:pPr>
            <w:r>
              <w:rPr>
                <w:rFonts w:cs="Arial"/>
                <w:b/>
                <w:bCs/>
                <w:sz w:val="22"/>
                <w:szCs w:val="22"/>
              </w:rPr>
              <w:t>Ability to: -</w:t>
            </w:r>
          </w:p>
          <w:p>
            <w:pPr>
              <w:pStyle w:val="Normal"/>
              <w:rPr>
                <w:rFonts w:cs="Arial"/>
                <w:sz w:val="22"/>
                <w:szCs w:val="22"/>
              </w:rPr>
            </w:pPr>
            <w:r>
              <w:rPr>
                <w:rFonts w:cs="Arial"/>
                <w:sz w:val="22"/>
                <w:szCs w:val="22"/>
              </w:rPr>
            </w:r>
          </w:p>
          <w:p>
            <w:pPr>
              <w:pStyle w:val="ListParagraph"/>
              <w:numPr>
                <w:ilvl w:val="0"/>
                <w:numId w:val="4"/>
              </w:numPr>
              <w:rPr>
                <w:rFonts w:ascii="Arial" w:hAnsi="Arial" w:cs="Arial"/>
              </w:rPr>
            </w:pPr>
            <w:r>
              <w:rPr>
                <w:rFonts w:cs="Arial" w:ascii="Arial" w:hAnsi="Arial"/>
              </w:rPr>
              <w:t>Teach in the relevant curriculum</w:t>
            </w:r>
          </w:p>
          <w:p>
            <w:pPr>
              <w:pStyle w:val="ListParagraph"/>
              <w:numPr>
                <w:ilvl w:val="0"/>
                <w:numId w:val="4"/>
              </w:numPr>
              <w:rPr>
                <w:rFonts w:ascii="Arial" w:hAnsi="Arial" w:cs="Arial"/>
              </w:rPr>
            </w:pPr>
            <w:r>
              <w:rPr>
                <w:rFonts w:cs="Arial" w:ascii="Arial" w:hAnsi="Arial"/>
              </w:rPr>
              <w:t>Lead, motivate, develop and organise staff in a cross curricular team</w:t>
            </w:r>
          </w:p>
          <w:p>
            <w:pPr>
              <w:pStyle w:val="ListParagraph"/>
              <w:numPr>
                <w:ilvl w:val="0"/>
                <w:numId w:val="4"/>
              </w:numPr>
              <w:rPr>
                <w:rFonts w:ascii="Arial" w:hAnsi="Arial" w:cs="Arial"/>
              </w:rPr>
            </w:pPr>
            <w:r>
              <w:rPr>
                <w:rFonts w:cs="Arial" w:ascii="Arial" w:hAnsi="Arial"/>
              </w:rPr>
              <w:t>Monitor financial data</w:t>
            </w:r>
          </w:p>
          <w:p>
            <w:pPr>
              <w:pStyle w:val="ListParagraph"/>
              <w:numPr>
                <w:ilvl w:val="0"/>
                <w:numId w:val="4"/>
              </w:numPr>
              <w:rPr>
                <w:rFonts w:ascii="Arial" w:hAnsi="Arial" w:cs="Arial"/>
              </w:rPr>
            </w:pPr>
            <w:r>
              <w:rPr>
                <w:rFonts w:cs="Arial" w:ascii="Arial" w:hAnsi="Arial"/>
              </w:rPr>
              <w:t>Develop and work in partnerships</w:t>
            </w:r>
          </w:p>
          <w:p>
            <w:pPr>
              <w:pStyle w:val="ListParagraph"/>
              <w:numPr>
                <w:ilvl w:val="0"/>
                <w:numId w:val="4"/>
              </w:numPr>
              <w:rPr>
                <w:rFonts w:ascii="Arial" w:hAnsi="Arial" w:cs="Arial"/>
              </w:rPr>
            </w:pPr>
            <w:r>
              <w:rPr>
                <w:rFonts w:cs="Arial" w:ascii="Arial" w:hAnsi="Arial"/>
              </w:rPr>
              <w:t>Prepare assessment schedules and submissions for accreditation.</w:t>
            </w:r>
          </w:p>
          <w:p>
            <w:pPr>
              <w:pStyle w:val="ListParagraph"/>
              <w:numPr>
                <w:ilvl w:val="0"/>
                <w:numId w:val="4"/>
              </w:numPr>
              <w:rPr>
                <w:rFonts w:ascii="Arial" w:hAnsi="Arial" w:cs="Arial"/>
              </w:rPr>
            </w:pPr>
            <w:r>
              <w:rPr>
                <w:rFonts w:cs="Arial" w:ascii="Arial" w:hAnsi="Arial"/>
              </w:rPr>
              <w:t>Prepare and present reports and other documents for specific audiences to a specific brief.</w:t>
            </w:r>
          </w:p>
          <w:p>
            <w:pPr>
              <w:pStyle w:val="ListParagraph"/>
              <w:numPr>
                <w:ilvl w:val="0"/>
                <w:numId w:val="4"/>
              </w:numPr>
              <w:rPr>
                <w:rFonts w:ascii="Arial" w:hAnsi="Arial" w:cs="Arial"/>
              </w:rPr>
            </w:pPr>
            <w:r>
              <w:rPr>
                <w:rFonts w:cs="Arial" w:ascii="Arial" w:hAnsi="Arial"/>
              </w:rPr>
              <w:t>Provide appropriate advice and guidance to learners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Analytical and research skills</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develop and produce curriculum plans</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t>AF / I / P</w:t>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b/>
                <w:b/>
                <w:bCs/>
                <w:sz w:val="22"/>
                <w:szCs w:val="22"/>
              </w:rPr>
            </w:pPr>
            <w:r>
              <w:rPr>
                <w:rFonts w:cs="Arial"/>
                <w:b/>
                <w:bCs/>
                <w:sz w:val="22"/>
                <w:szCs w:val="22"/>
              </w:rPr>
              <w:t>Knowledge of: -</w:t>
            </w:r>
          </w:p>
          <w:p>
            <w:pPr>
              <w:pStyle w:val="Normal"/>
              <w:rPr>
                <w:rFonts w:cs="Arial"/>
                <w:sz w:val="22"/>
                <w:szCs w:val="22"/>
              </w:rPr>
            </w:pPr>
            <w:r>
              <w:rPr>
                <w:rFonts w:cs="Arial"/>
                <w:sz w:val="22"/>
                <w:szCs w:val="22"/>
              </w:rPr>
            </w:r>
          </w:p>
          <w:p>
            <w:pPr>
              <w:pStyle w:val="ListParagraph"/>
              <w:numPr>
                <w:ilvl w:val="0"/>
                <w:numId w:val="6"/>
              </w:numPr>
              <w:rPr>
                <w:rFonts w:ascii="Arial" w:hAnsi="Arial" w:cs="Arial"/>
              </w:rPr>
            </w:pPr>
            <w:r>
              <w:rPr>
                <w:rFonts w:cs="Arial" w:ascii="Arial" w:hAnsi="Arial"/>
              </w:rPr>
              <w:t>Assessment / accreditation frameworks</w:t>
            </w:r>
          </w:p>
          <w:p>
            <w:pPr>
              <w:pStyle w:val="ListParagraph"/>
              <w:numPr>
                <w:ilvl w:val="0"/>
                <w:numId w:val="6"/>
              </w:numPr>
              <w:rPr>
                <w:rFonts w:ascii="Arial" w:hAnsi="Arial" w:cs="Arial"/>
              </w:rPr>
            </w:pPr>
            <w:r>
              <w:rPr>
                <w:rFonts w:cs="Arial" w:ascii="Arial" w:hAnsi="Arial"/>
              </w:rPr>
              <w:t>National guidance and curriculum development</w:t>
            </w:r>
          </w:p>
          <w:p>
            <w:pPr>
              <w:pStyle w:val="ListParagraph"/>
              <w:numPr>
                <w:ilvl w:val="0"/>
                <w:numId w:val="6"/>
              </w:numPr>
              <w:rPr>
                <w:rFonts w:ascii="Arial" w:hAnsi="Arial" w:cs="Arial"/>
              </w:rPr>
            </w:pPr>
            <w:r>
              <w:rPr>
                <w:rFonts w:cs="Arial" w:ascii="Arial" w:hAnsi="Arial"/>
              </w:rPr>
              <w:t>National issues in lifelong learning generally and in the ESOL curriculum area</w:t>
            </w:r>
          </w:p>
          <w:p>
            <w:pPr>
              <w:pStyle w:val="Normal"/>
              <w:rPr>
                <w:rFonts w:cs="Arial"/>
                <w:b/>
                <w:b/>
                <w:bCs/>
                <w:sz w:val="22"/>
                <w:szCs w:val="22"/>
              </w:rPr>
            </w:pPr>
            <w:r>
              <w:rPr>
                <w:rFonts w:cs="Arial"/>
                <w:b/>
                <w:bCs/>
                <w:sz w:val="22"/>
                <w:szCs w:val="22"/>
              </w:rPr>
              <w:t>Familiarity with:-</w:t>
            </w:r>
          </w:p>
          <w:p>
            <w:pPr>
              <w:pStyle w:val="Normal"/>
              <w:rPr>
                <w:rFonts w:cs="Arial"/>
                <w:sz w:val="22"/>
                <w:szCs w:val="22"/>
              </w:rPr>
            </w:pPr>
            <w:r>
              <w:rPr>
                <w:rFonts w:cs="Arial"/>
                <w:sz w:val="22"/>
                <w:szCs w:val="22"/>
              </w:rPr>
            </w:r>
          </w:p>
          <w:p>
            <w:pPr>
              <w:pStyle w:val="ListParagraph"/>
              <w:numPr>
                <w:ilvl w:val="0"/>
                <w:numId w:val="7"/>
              </w:numPr>
              <w:rPr>
                <w:rFonts w:ascii="Arial" w:hAnsi="Arial" w:cs="Arial"/>
              </w:rPr>
            </w:pPr>
            <w:r>
              <w:rPr>
                <w:rFonts w:cs="Arial" w:ascii="Arial" w:hAnsi="Arial"/>
              </w:rPr>
              <w:t>The Education Inspection Framework and upcoming changes to this</w:t>
            </w:r>
          </w:p>
          <w:p>
            <w:pPr>
              <w:pStyle w:val="ListParagraph"/>
              <w:numPr>
                <w:ilvl w:val="0"/>
                <w:numId w:val="7"/>
              </w:numPr>
              <w:rPr>
                <w:rFonts w:ascii="Arial" w:hAnsi="Arial" w:cs="Arial"/>
              </w:rPr>
            </w:pPr>
            <w:r>
              <w:rPr>
                <w:rFonts w:cs="Arial" w:ascii="Arial" w:hAnsi="Arial"/>
              </w:rPr>
              <w:t>Issues and policies relating to equal opportunity, social inclusion, access and widening participation</w:t>
            </w:r>
          </w:p>
          <w:p>
            <w:pPr>
              <w:pStyle w:val="ListParagraph"/>
              <w:numPr>
                <w:ilvl w:val="0"/>
                <w:numId w:val="7"/>
              </w:numPr>
              <w:rPr>
                <w:rFonts w:ascii="Arial" w:hAnsi="Arial" w:cs="Arial"/>
              </w:rPr>
            </w:pPr>
            <w:r>
              <w:rPr>
                <w:rFonts w:cs="Arial" w:ascii="Arial" w:hAnsi="Arial"/>
              </w:rPr>
              <w:t>Quality assurance procedures and the principles of continuous improvement</w:t>
            </w:r>
          </w:p>
          <w:p>
            <w:pPr>
              <w:pStyle w:val="ListParagraph"/>
              <w:numPr>
                <w:ilvl w:val="0"/>
                <w:numId w:val="7"/>
              </w:numPr>
              <w:spacing w:before="0" w:after="200"/>
              <w:contextualSpacing/>
              <w:rPr>
                <w:rFonts w:ascii="Arial" w:hAnsi="Arial" w:cs="Arial"/>
              </w:rPr>
            </w:pPr>
            <w:r>
              <w:rPr>
                <w:rFonts w:cs="Arial" w:ascii="Arial" w:hAnsi="Arial"/>
              </w:rPr>
              <w:t>the Greater Manchester Combined Authority methodology, in particular for funding.</w:t>
            </w:r>
          </w:p>
        </w:tc>
        <w:tc>
          <w:tcPr>
            <w:tcW w:w="3060" w:type="dxa"/>
            <w:tcBorders>
              <w:top w:val="single" w:sz="4" w:space="0" w:color="000000"/>
              <w:left w:val="single" w:sz="4" w:space="0" w:color="000000"/>
              <w:bottom w:val="single" w:sz="4" w:space="0" w:color="000000"/>
            </w:tcBorders>
            <w:shd w:fill="auto" w:val="clear"/>
          </w:tcPr>
          <w:p>
            <w:pPr>
              <w:pStyle w:val="Normal"/>
              <w:snapToGrid w:val="false"/>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Knowledge of learner support and advice and guidance frameworks</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t>AF / I / P</w:t>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Prepared to work flexibly including evenings and weekends to meet the needs of the Service</w:t>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ind w:left="360" w:right="0" w:hanging="0"/>
              <w:jc w:val="center"/>
              <w:rPr>
                <w:rFonts w:cs="Arial"/>
                <w:sz w:val="22"/>
                <w:szCs w:val="22"/>
              </w:rPr>
            </w:pPr>
            <w:r>
              <w:rPr>
                <w:rFonts w:cs="Arial"/>
                <w:sz w:val="22"/>
                <w:szCs w:val="22"/>
              </w:rPr>
              <w:t>AF / I</w:t>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P = Presentation; T = Test</w:t>
      </w:r>
    </w:p>
    <w:p>
      <w:pPr>
        <w:pStyle w:val="Normal"/>
        <w:rPr>
          <w:rFonts w:cs="Arial"/>
          <w:sz w:val="22"/>
          <w:szCs w:val="22"/>
        </w:rPr>
      </w:pPr>
      <w:r>
        <w:rPr>
          <w:rFonts w:cs="Arial"/>
          <w:sz w:val="22"/>
          <w:szCs w:val="22"/>
        </w:rPr>
      </w:r>
    </w:p>
    <w:p>
      <w:pPr>
        <w:pStyle w:val="Normal"/>
        <w:rPr/>
      </w:pPr>
      <w:r>
        <w:rPr>
          <w:rFonts w:cs="Arial"/>
          <w:b/>
          <w:bCs/>
          <w:sz w:val="22"/>
          <w:szCs w:val="22"/>
        </w:rPr>
        <w:t xml:space="preserve">NB. - Any candidate that meets the criteria of our </w:t>
      </w:r>
      <w:r>
        <w:rPr>
          <w:rStyle w:val="InternetLink"/>
          <w:rFonts w:cs="Arial"/>
          <w:b/>
          <w:bCs/>
          <w:sz w:val="22"/>
          <w:szCs w:val="22"/>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p>
    <w:p>
      <w:pPr>
        <w:pStyle w:val="Normal"/>
        <w:rPr/>
      </w:pPr>
      <w:r>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