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media/image1.wmf" ContentType="image/x-wmf"/>
  <Override PartName="/word/header2.xml" ContentType="application/vnd.openxmlformats-officedocument.wordprocessingml.header+xml"/>
  <Override PartName="/word/header1.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ackground w:color="FFFFFF"/>
  <w:body>
    <w:p>
      <w:pPr>
        <w:pStyle w:val="Normal"/>
        <w:rPr>
          <w:rFonts w:cs="Arial"/>
          <w:sz w:val="22"/>
          <w:szCs w:val="22"/>
        </w:rPr>
      </w:pPr>
      <w:r>
        <w:rPr>
          <w:rFonts w:cs="Arial"/>
          <w:sz w:val="22"/>
          <w:szCs w:val="22"/>
        </w:rPr>
        <mc:AlternateContent>
          <mc:Choice Requires="wps">
            <w:drawing>
              <wp:anchor behindDoc="0" distT="0" distB="0" distL="114935" distR="114935" simplePos="0" locked="0" layoutInCell="1" allowOverlap="1" relativeHeight="2">
                <wp:simplePos x="0" y="0"/>
                <wp:positionH relativeFrom="column">
                  <wp:posOffset>5029200</wp:posOffset>
                </wp:positionH>
                <wp:positionV relativeFrom="paragraph">
                  <wp:posOffset>-114300</wp:posOffset>
                </wp:positionV>
                <wp:extent cx="1146810" cy="1187450"/>
                <wp:effectExtent l="0" t="0" r="0" b="0"/>
                <wp:wrapNone/>
                <wp:docPr id="1" name="Text Box 2"/>
                <a:graphic xmlns:a="http://schemas.openxmlformats.org/drawingml/2006/main">
                  <a:graphicData uri="http://schemas.microsoft.com/office/word/2010/wordprocessingShape">
                    <wps:wsp>
                      <wps:cNvSpPr/>
                      <wps:spPr>
                        <a:xfrm>
                          <a:off x="0" y="0"/>
                          <a:ext cx="1146960" cy="1187280"/>
                        </a:xfrm>
                        <a:prstGeom prst="rect">
                          <a:avLst/>
                        </a:prstGeom>
                        <a:solidFill>
                          <a:srgbClr val="ffffff"/>
                        </a:solidFill>
                        <a:ln w="0">
                          <a:noFill/>
                        </a:ln>
                      </wps:spPr>
                      <wps:style>
                        <a:lnRef idx="0"/>
                        <a:fillRef idx="0"/>
                        <a:effectRef idx="0"/>
                        <a:fontRef idx="minor"/>
                      </wps:style>
                      <wps:bodyPr/>
                    </wps:wsp>
                  </a:graphicData>
                </a:graphic>
              </wp:anchor>
            </w:drawing>
          </mc:Choice>
          <mc:Fallback>
            <w:pict>
              <v:rect id="shape_0" ID="Text Box 2" path="m0,0l-2147483645,0l-2147483645,-2147483646l0,-2147483646xe" fillcolor="white" stroked="f" o:allowincell="f" style="position:absolute;margin-left:396pt;margin-top:-9pt;width:90.25pt;height:93.45pt;mso-wrap-style:none;v-text-anchor:middle">
                <v:fill o:detectmouseclick="t" type="solid" color2="black"/>
                <v:stroke color="#3465a4" joinstyle="round" endcap="flat"/>
                <w10:wrap type="none"/>
              </v:rect>
            </w:pict>
          </mc:Fallback>
        </mc:AlternateContent>
      </w:r>
      <w:r>
        <mc:AlternateContent>
          <mc:Choice Requires="wps">
            <w:drawing>
              <wp:anchor behindDoc="0" distT="72390" distB="72390" distL="0" distR="0" simplePos="0" locked="0" layoutInCell="1" allowOverlap="1" relativeHeight="4">
                <wp:simplePos x="0" y="0"/>
                <wp:positionH relativeFrom="column">
                  <wp:posOffset>5029200</wp:posOffset>
                </wp:positionH>
                <wp:positionV relativeFrom="paragraph">
                  <wp:posOffset>-114300</wp:posOffset>
                </wp:positionV>
                <wp:extent cx="1146810" cy="1187450"/>
                <wp:effectExtent l="0" t="0" r="0" b="0"/>
                <wp:wrapNone/>
                <wp:docPr id="2" name="Frame1"/>
                <a:graphic xmlns:a="http://schemas.openxmlformats.org/drawingml/2006/main">
                  <a:graphicData uri="http://schemas.microsoft.com/office/word/2010/wordprocessingShape">
                    <wps:wsp>
                      <wps:cNvSpPr txBox="1"/>
                      <wps:spPr>
                        <a:xfrm>
                          <a:off x="0" y="0"/>
                          <a:ext cx="1146810" cy="1187450"/>
                        </a:xfrm>
                        <a:prstGeom prst="rect"/>
                        <a:solidFill>
                          <a:srgbClr val="FFFFFF"/>
                        </a:solidFill>
                      </wps:spPr>
                      <wps:txbx>
                        <w:txbxContent>
                          <w:p>
                            <w:pPr>
                              <w:pStyle w:val="FrameContents"/>
                              <w:rPr/>
                            </w:pPr>
                            <w:r>
                              <w:rPr/>
                              <w:drawing>
                                <wp:inline distT="0" distB="0" distL="0" distR="0">
                                  <wp:extent cx="965200" cy="1097915"/>
                                  <wp:effectExtent l="0" t="0" r="0" b="0"/>
                                  <wp:docPr id="3"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1" descr=""/>
                                          <pic:cNvPicPr>
                                            <a:picLocks noChangeAspect="1" noChangeArrowheads="1"/>
                                          </pic:cNvPicPr>
                                        </pic:nvPicPr>
                                        <pic:blipFill>
                                          <a:blip r:embed="rId2"/>
                                          <a:srcRect l="-40" t="-35" r="-40" b="-35"/>
                                          <a:stretch>
                                            <a:fillRect/>
                                          </a:stretch>
                                        </pic:blipFill>
                                        <pic:spPr bwMode="auto">
                                          <a:xfrm>
                                            <a:off x="0" y="0"/>
                                            <a:ext cx="965200" cy="1097915"/>
                                          </a:xfrm>
                                          <a:prstGeom prst="rect">
                                            <a:avLst/>
                                          </a:prstGeom>
                                        </pic:spPr>
                                      </pic:pic>
                                    </a:graphicData>
                                  </a:graphic>
                                </wp:inline>
                              </w:drawing>
                            </w:r>
                          </w:p>
                        </w:txbxContent>
                      </wps:txbx>
                      <wps:bodyPr anchor="t" lIns="92075" tIns="46355" rIns="92075" bIns="46355">
                        <a:noAutofit/>
                      </wps:bodyPr>
                    </wps:wsp>
                  </a:graphicData>
                </a:graphic>
              </wp:anchor>
            </w:drawing>
          </mc:Choice>
          <mc:Fallback>
            <w:pict>
              <v:rect fillcolor="#FFFFFF" style="position:absolute;rotation:-0;width:90.3pt;height:93.5pt;mso-wrap-distance-left:0pt;mso-wrap-distance-right:0pt;mso-wrap-distance-top:5.7pt;mso-wrap-distance-bottom:5.7pt;margin-top:-9pt;mso-position-vertical-relative:text;margin-left:396pt;mso-position-horizontal-relative:text">
                <v:textbox inset="0.100694444444444in,0.0506944444444444in,0.100694444444444in,0.0506944444444444in">
                  <w:txbxContent>
                    <w:p>
                      <w:pPr>
                        <w:pStyle w:val="FrameContents"/>
                        <w:rPr/>
                      </w:pPr>
                      <w:r>
                        <w:rPr/>
                        <w:drawing>
                          <wp:inline distT="0" distB="0" distL="0" distR="0">
                            <wp:extent cx="965200" cy="1097915"/>
                            <wp:effectExtent l="0" t="0" r="0" b="0"/>
                            <wp:docPr id="4"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 descr=""/>
                                    <pic:cNvPicPr>
                                      <a:picLocks noChangeAspect="1" noChangeArrowheads="1"/>
                                    </pic:cNvPicPr>
                                  </pic:nvPicPr>
                                  <pic:blipFill>
                                    <a:blip r:embed="rId3"/>
                                    <a:srcRect l="-40" t="-35" r="-40" b="-35"/>
                                    <a:stretch>
                                      <a:fillRect/>
                                    </a:stretch>
                                  </pic:blipFill>
                                  <pic:spPr bwMode="auto">
                                    <a:xfrm>
                                      <a:off x="0" y="0"/>
                                      <a:ext cx="965200" cy="1097915"/>
                                    </a:xfrm>
                                    <a:prstGeom prst="rect">
                                      <a:avLst/>
                                    </a:prstGeom>
                                  </pic:spPr>
                                </pic:pic>
                              </a:graphicData>
                            </a:graphic>
                          </wp:inline>
                        </w:drawing>
                      </w:r>
                    </w:p>
                  </w:txbxContent>
                </v:textbox>
                <w10:wrap type="none"/>
              </v:rect>
            </w:pict>
          </mc:Fallback>
        </mc:AlternateContent>
      </w:r>
    </w:p>
    <w:p>
      <w:pPr>
        <w:pStyle w:val="Heading1"/>
        <w:spacing w:lineRule="auto" w:line="240"/>
        <w:ind w:hanging="0" w:left="0"/>
        <w:rPr>
          <w:rFonts w:cs="Arial"/>
          <w:sz w:val="22"/>
          <w:szCs w:val="22"/>
        </w:rPr>
      </w:pPr>
      <w:r>
        <w:rPr>
          <w:rFonts w:cs="Arial"/>
          <w:sz w:val="22"/>
          <w:szCs w:val="22"/>
        </w:rPr>
      </w:r>
    </w:p>
    <w:p>
      <w:pPr>
        <w:pStyle w:val="Normal"/>
        <w:jc w:val="center"/>
        <w:rPr>
          <w:rFonts w:cs="Arial"/>
          <w:b/>
          <w:bCs/>
          <w:sz w:val="22"/>
          <w:szCs w:val="22"/>
          <w:u w:val="single"/>
        </w:rPr>
      </w:pPr>
      <w:r>
        <w:rPr>
          <w:rFonts w:cs="Arial"/>
          <w:b/>
          <w:bCs/>
          <w:sz w:val="22"/>
          <w:szCs w:val="22"/>
          <w:u w:val="single"/>
        </w:rPr>
        <w:t>OLDHAM COUNCIL</w:t>
      </w:r>
    </w:p>
    <w:p>
      <w:pPr>
        <w:pStyle w:val="Normal"/>
        <w:jc w:val="center"/>
        <w:rPr>
          <w:rFonts w:cs="Arial"/>
          <w:b/>
          <w:bCs/>
          <w:sz w:val="22"/>
          <w:szCs w:val="22"/>
          <w:u w:val="single"/>
        </w:rPr>
      </w:pPr>
      <w:r>
        <w:rPr>
          <w:rFonts w:cs="Arial"/>
          <w:b/>
          <w:bCs/>
          <w:sz w:val="22"/>
          <w:szCs w:val="22"/>
          <w:u w:val="single"/>
        </w:rPr>
      </w:r>
    </w:p>
    <w:p>
      <w:pPr>
        <w:pStyle w:val="Normal"/>
        <w:jc w:val="center"/>
        <w:rPr>
          <w:rFonts w:cs="Arial"/>
          <w:b/>
          <w:bCs/>
          <w:sz w:val="22"/>
          <w:szCs w:val="22"/>
          <w:u w:val="single"/>
        </w:rPr>
      </w:pPr>
      <w:r>
        <w:rPr>
          <w:rFonts w:cs="Arial"/>
          <w:b/>
          <w:bCs/>
          <w:sz w:val="22"/>
          <w:szCs w:val="22"/>
          <w:u w:val="single"/>
        </w:rPr>
        <w:t>JOB DESCRIPTION</w:t>
      </w:r>
    </w:p>
    <w:p>
      <w:pPr>
        <w:pStyle w:val="Normal"/>
        <w:jc w:val="center"/>
        <w:rPr>
          <w:rFonts w:cs="Arial"/>
          <w:b/>
          <w:bCs/>
          <w:sz w:val="22"/>
          <w:szCs w:val="22"/>
          <w:u w:val="single"/>
        </w:rPr>
      </w:pPr>
      <w:r>
        <w:rPr>
          <w:rFonts w:cs="Arial"/>
          <w:b/>
          <w:bCs/>
          <w:sz w:val="22"/>
          <w:szCs w:val="22"/>
          <w:u w:val="single"/>
        </w:rPr>
      </w:r>
    </w:p>
    <w:p>
      <w:pPr>
        <w:pStyle w:val="Normal"/>
        <w:jc w:val="center"/>
        <w:rPr>
          <w:rFonts w:cs="Arial"/>
          <w:b/>
          <w:bCs/>
          <w:sz w:val="22"/>
          <w:szCs w:val="22"/>
          <w:u w:val="single"/>
        </w:rPr>
      </w:pPr>
      <w:r>
        <w:rPr>
          <w:rFonts w:cs="Arial"/>
          <w:b/>
          <w:bCs/>
          <w:sz w:val="22"/>
          <w:szCs w:val="22"/>
          <w:u w:val="single"/>
        </w:rPr>
      </w:r>
    </w:p>
    <w:tbl>
      <w:tblPr>
        <w:tblW w:w="10439" w:type="dxa"/>
        <w:jc w:val="left"/>
        <w:tblInd w:w="-504" w:type="dxa"/>
        <w:tblLayout w:type="fixed"/>
        <w:tblCellMar>
          <w:top w:w="0" w:type="dxa"/>
          <w:left w:w="108" w:type="dxa"/>
          <w:bottom w:w="0" w:type="dxa"/>
          <w:right w:w="108" w:type="dxa"/>
        </w:tblCellMar>
      </w:tblPr>
      <w:tblGrid>
        <w:gridCol w:w="1451"/>
        <w:gridCol w:w="2869"/>
        <w:gridCol w:w="2179"/>
        <w:gridCol w:w="3940"/>
      </w:tblGrid>
      <w:tr>
        <w:trPr>
          <w:trHeight w:val="343" w:hRule="atLeast"/>
          <w:cantSplit w:val="true"/>
        </w:trPr>
        <w:tc>
          <w:tcPr>
            <w:tcW w:w="1451" w:type="dxa"/>
            <w:tcBorders>
              <w:top w:val="single" w:sz="4" w:space="0" w:color="000000"/>
              <w:left w:val="single" w:sz="4" w:space="0" w:color="000000"/>
              <w:bottom w:val="single" w:sz="4" w:space="0" w:color="000000"/>
              <w:right w:val="single" w:sz="4" w:space="0" w:color="000000"/>
            </w:tcBorders>
            <w:shd w:fill="00B3BE" w:val="clear"/>
          </w:tcPr>
          <w:p>
            <w:pPr>
              <w:pStyle w:val="Normal"/>
              <w:rPr>
                <w:rFonts w:cs="Arial"/>
                <w:b/>
                <w:sz w:val="22"/>
                <w:szCs w:val="22"/>
              </w:rPr>
            </w:pPr>
            <w:r>
              <w:rPr>
                <w:rFonts w:cs="Arial"/>
                <w:b/>
                <w:sz w:val="22"/>
                <w:szCs w:val="22"/>
              </w:rPr>
              <w:t xml:space="preserve">Job Title: </w:t>
            </w:r>
          </w:p>
          <w:p>
            <w:pPr>
              <w:pStyle w:val="Normal"/>
              <w:rPr>
                <w:rFonts w:cs="Arial"/>
                <w:sz w:val="22"/>
                <w:szCs w:val="22"/>
              </w:rPr>
            </w:pPr>
            <w:r>
              <w:rPr>
                <w:rFonts w:cs="Arial"/>
                <w:sz w:val="22"/>
                <w:szCs w:val="22"/>
              </w:rPr>
            </w:r>
          </w:p>
        </w:tc>
        <w:tc>
          <w:tcPr>
            <w:tcW w:w="8988" w:type="dxa"/>
            <w:gridSpan w:val="3"/>
            <w:tcBorders>
              <w:top w:val="single" w:sz="4" w:space="0" w:color="000000"/>
              <w:left w:val="single" w:sz="4" w:space="0" w:color="000000"/>
              <w:bottom w:val="single" w:sz="4" w:space="0" w:color="000000"/>
              <w:right w:val="single" w:sz="4" w:space="0" w:color="000000"/>
            </w:tcBorders>
          </w:tcPr>
          <w:p>
            <w:pPr>
              <w:pStyle w:val="EndnoteText"/>
              <w:rPr>
                <w:rFonts w:ascii="Arial" w:hAnsi="Arial" w:cs="Arial"/>
                <w:sz w:val="22"/>
                <w:szCs w:val="22"/>
              </w:rPr>
            </w:pPr>
            <w:r>
              <w:rPr>
                <w:rFonts w:cs="Arial" w:ascii="Arial" w:hAnsi="Arial"/>
                <w:sz w:val="22"/>
                <w:szCs w:val="22"/>
              </w:rPr>
              <w:t>Housing Compliance and Safety Manager</w:t>
            </w:r>
          </w:p>
        </w:tc>
      </w:tr>
      <w:tr>
        <w:trPr>
          <w:cantSplit w:val="true"/>
        </w:trPr>
        <w:tc>
          <w:tcPr>
            <w:tcW w:w="1451" w:type="dxa"/>
            <w:tcBorders>
              <w:top w:val="single" w:sz="4" w:space="0" w:color="000000"/>
              <w:left w:val="single" w:sz="4" w:space="0" w:color="000000"/>
              <w:bottom w:val="single" w:sz="4" w:space="0" w:color="000000"/>
              <w:right w:val="single" w:sz="4" w:space="0" w:color="000000"/>
            </w:tcBorders>
            <w:shd w:fill="00B3BE" w:val="clear"/>
          </w:tcPr>
          <w:p>
            <w:pPr>
              <w:pStyle w:val="Normal"/>
              <w:rPr/>
            </w:pPr>
            <w:r>
              <w:rPr>
                <w:rFonts w:cs="Arial"/>
                <w:b/>
                <w:sz w:val="22"/>
                <w:szCs w:val="22"/>
              </w:rPr>
              <w:t>Directorate:</w:t>
            </w:r>
            <w:r>
              <w:rPr>
                <w:rFonts w:cs="Arial"/>
                <w:sz w:val="22"/>
                <w:szCs w:val="22"/>
              </w:rPr>
              <w:t xml:space="preserve">  </w:t>
            </w:r>
          </w:p>
        </w:tc>
        <w:tc>
          <w:tcPr>
            <w:tcW w:w="2869" w:type="dxa"/>
            <w:tcBorders>
              <w:top w:val="single" w:sz="4" w:space="0" w:color="000000"/>
              <w:left w:val="single" w:sz="4" w:space="0" w:color="000000"/>
              <w:bottom w:val="single" w:sz="4" w:space="0" w:color="000000"/>
              <w:right w:val="single" w:sz="4" w:space="0" w:color="000000"/>
            </w:tcBorders>
          </w:tcPr>
          <w:p>
            <w:pPr>
              <w:pStyle w:val="Normal"/>
              <w:rPr>
                <w:rFonts w:cs="Arial"/>
                <w:sz w:val="22"/>
                <w:szCs w:val="22"/>
              </w:rPr>
            </w:pPr>
            <w:r>
              <w:rPr>
                <w:rFonts w:cs="Arial"/>
                <w:sz w:val="22"/>
                <w:szCs w:val="22"/>
              </w:rPr>
              <w:t>People and Place</w:t>
            </w:r>
          </w:p>
          <w:p>
            <w:pPr>
              <w:pStyle w:val="Normal"/>
              <w:rPr>
                <w:rFonts w:cs="Arial"/>
                <w:sz w:val="22"/>
                <w:szCs w:val="22"/>
              </w:rPr>
            </w:pPr>
            <w:r>
              <w:rPr>
                <w:rFonts w:cs="Arial"/>
                <w:sz w:val="22"/>
                <w:szCs w:val="22"/>
              </w:rPr>
              <w:t xml:space="preserve">Economy </w:t>
            </w:r>
          </w:p>
        </w:tc>
        <w:tc>
          <w:tcPr>
            <w:tcW w:w="2179" w:type="dxa"/>
            <w:tcBorders>
              <w:top w:val="single" w:sz="4" w:space="0" w:color="000000"/>
              <w:bottom w:val="single" w:sz="4" w:space="0" w:color="000000"/>
              <w:right w:val="single" w:sz="4" w:space="0" w:color="000000"/>
            </w:tcBorders>
            <w:shd w:fill="00B3BE" w:val="clear"/>
          </w:tcPr>
          <w:p>
            <w:pPr>
              <w:pStyle w:val="Normal"/>
              <w:rPr/>
            </w:pPr>
            <w:r>
              <w:rPr>
                <w:rFonts w:cs="Arial"/>
                <w:b/>
                <w:sz w:val="22"/>
                <w:szCs w:val="22"/>
              </w:rPr>
              <w:t>Division/Section:</w:t>
            </w:r>
            <w:r>
              <w:rPr>
                <w:rFonts w:cs="Arial"/>
                <w:sz w:val="22"/>
                <w:szCs w:val="22"/>
              </w:rPr>
              <w:t xml:space="preserve"> </w:t>
            </w:r>
          </w:p>
          <w:p>
            <w:pPr>
              <w:pStyle w:val="Normal"/>
              <w:rPr>
                <w:rFonts w:cs="Arial"/>
                <w:sz w:val="22"/>
                <w:szCs w:val="22"/>
              </w:rPr>
            </w:pPr>
            <w:r>
              <w:rPr>
                <w:rFonts w:cs="Arial"/>
                <w:sz w:val="22"/>
                <w:szCs w:val="22"/>
              </w:rPr>
            </w:r>
          </w:p>
        </w:tc>
        <w:tc>
          <w:tcPr>
            <w:tcW w:w="3940" w:type="dxa"/>
            <w:tcBorders>
              <w:top w:val="single" w:sz="4" w:space="0" w:color="000000"/>
              <w:left w:val="single" w:sz="4" w:space="0" w:color="000000"/>
              <w:bottom w:val="single" w:sz="4" w:space="0" w:color="000000"/>
              <w:right w:val="single" w:sz="4" w:space="0" w:color="000000"/>
            </w:tcBorders>
          </w:tcPr>
          <w:p>
            <w:pPr>
              <w:pStyle w:val="Normal"/>
              <w:rPr>
                <w:rFonts w:cs="Arial"/>
                <w:sz w:val="22"/>
                <w:szCs w:val="22"/>
              </w:rPr>
            </w:pPr>
            <w:r>
              <w:rPr>
                <w:rFonts w:cs="Arial"/>
                <w:sz w:val="22"/>
                <w:szCs w:val="22"/>
              </w:rPr>
              <w:t>Strategic Housing</w:t>
            </w:r>
          </w:p>
        </w:tc>
      </w:tr>
      <w:tr>
        <w:trPr>
          <w:cantSplit w:val="true"/>
        </w:trPr>
        <w:tc>
          <w:tcPr>
            <w:tcW w:w="1451" w:type="dxa"/>
            <w:tcBorders>
              <w:top w:val="single" w:sz="4" w:space="0" w:color="000000"/>
              <w:left w:val="single" w:sz="4" w:space="0" w:color="000000"/>
              <w:bottom w:val="single" w:sz="4" w:space="0" w:color="000000"/>
              <w:right w:val="single" w:sz="4" w:space="0" w:color="000000"/>
            </w:tcBorders>
            <w:shd w:fill="00B3BE" w:val="clear"/>
          </w:tcPr>
          <w:p>
            <w:pPr>
              <w:pStyle w:val="Normal"/>
              <w:rPr>
                <w:rFonts w:cs="Arial"/>
                <w:b/>
                <w:sz w:val="22"/>
                <w:szCs w:val="22"/>
              </w:rPr>
            </w:pPr>
            <w:r>
              <w:rPr>
                <w:rFonts w:cs="Arial"/>
                <w:b/>
                <w:sz w:val="22"/>
                <w:szCs w:val="22"/>
              </w:rPr>
              <w:t xml:space="preserve">Grade:  </w:t>
            </w:r>
          </w:p>
          <w:p>
            <w:pPr>
              <w:pStyle w:val="Normal"/>
              <w:rPr>
                <w:rFonts w:cs="Arial"/>
                <w:sz w:val="22"/>
                <w:szCs w:val="22"/>
              </w:rPr>
            </w:pPr>
            <w:r>
              <w:rPr>
                <w:rFonts w:cs="Arial"/>
                <w:sz w:val="22"/>
                <w:szCs w:val="22"/>
              </w:rPr>
            </w:r>
          </w:p>
        </w:tc>
        <w:tc>
          <w:tcPr>
            <w:tcW w:w="2869" w:type="dxa"/>
            <w:tcBorders>
              <w:top w:val="single" w:sz="4" w:space="0" w:color="000000"/>
              <w:left w:val="single" w:sz="4" w:space="0" w:color="000000"/>
              <w:bottom w:val="single" w:sz="4" w:space="0" w:color="000000"/>
              <w:right w:val="single" w:sz="4" w:space="0" w:color="000000"/>
            </w:tcBorders>
          </w:tcPr>
          <w:p>
            <w:pPr>
              <w:pStyle w:val="Header"/>
              <w:tabs>
                <w:tab w:val="clear" w:pos="4153"/>
                <w:tab w:val="clear" w:pos="8306"/>
              </w:tabs>
              <w:rPr>
                <w:rFonts w:cs="Arial"/>
                <w:szCs w:val="22"/>
              </w:rPr>
            </w:pPr>
            <w:r>
              <w:rPr>
                <w:rFonts w:cs="Arial"/>
                <w:szCs w:val="22"/>
              </w:rPr>
              <w:t>10</w:t>
            </w:r>
          </w:p>
        </w:tc>
        <w:tc>
          <w:tcPr>
            <w:tcW w:w="2179" w:type="dxa"/>
            <w:tcBorders>
              <w:top w:val="single" w:sz="4" w:space="0" w:color="000000"/>
              <w:bottom w:val="single" w:sz="4" w:space="0" w:color="000000"/>
              <w:right w:val="single" w:sz="4" w:space="0" w:color="000000"/>
            </w:tcBorders>
            <w:shd w:fill="00B3BE" w:val="clear"/>
          </w:tcPr>
          <w:p>
            <w:pPr>
              <w:pStyle w:val="Header"/>
              <w:tabs>
                <w:tab w:val="clear" w:pos="4153"/>
                <w:tab w:val="clear" w:pos="8306"/>
              </w:tabs>
              <w:rPr>
                <w:rFonts w:cs="Arial"/>
                <w:b/>
                <w:szCs w:val="22"/>
              </w:rPr>
            </w:pPr>
            <w:r>
              <w:rPr>
                <w:rFonts w:cs="Arial"/>
                <w:b/>
                <w:szCs w:val="22"/>
              </w:rPr>
              <w:t>JE Reference:</w:t>
            </w:r>
          </w:p>
        </w:tc>
        <w:tc>
          <w:tcPr>
            <w:tcW w:w="3940" w:type="dxa"/>
            <w:tcBorders>
              <w:top w:val="single" w:sz="4" w:space="0" w:color="000000"/>
              <w:left w:val="single" w:sz="4" w:space="0" w:color="000000"/>
              <w:bottom w:val="single" w:sz="4" w:space="0" w:color="000000"/>
              <w:right w:val="single" w:sz="4" w:space="0" w:color="000000"/>
            </w:tcBorders>
          </w:tcPr>
          <w:p>
            <w:pPr>
              <w:pStyle w:val="Header"/>
              <w:tabs>
                <w:tab w:val="clear" w:pos="4153"/>
                <w:tab w:val="clear" w:pos="8306"/>
              </w:tabs>
              <w:rPr>
                <w:rFonts w:cs="Arial"/>
                <w:szCs w:val="22"/>
              </w:rPr>
            </w:pPr>
            <w:r>
              <w:rPr>
                <w:rFonts w:cs="Arial"/>
                <w:szCs w:val="22"/>
              </w:rPr>
              <w:t>11252</w:t>
            </w:r>
          </w:p>
        </w:tc>
      </w:tr>
    </w:tbl>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tbl>
      <w:tblPr>
        <w:tblW w:w="10348" w:type="dxa"/>
        <w:jc w:val="left"/>
        <w:tblInd w:w="-493" w:type="dxa"/>
        <w:tblLayout w:type="fixed"/>
        <w:tblCellMar>
          <w:top w:w="0" w:type="dxa"/>
          <w:left w:w="108" w:type="dxa"/>
          <w:bottom w:w="0" w:type="dxa"/>
          <w:right w:w="108" w:type="dxa"/>
        </w:tblCellMar>
      </w:tblPr>
      <w:tblGrid>
        <w:gridCol w:w="10348"/>
      </w:tblGrid>
      <w:tr>
        <w:trPr/>
        <w:tc>
          <w:tcPr>
            <w:tcW w:w="10348" w:type="dxa"/>
            <w:tcBorders>
              <w:top w:val="single" w:sz="4" w:space="0" w:color="000000"/>
              <w:left w:val="single" w:sz="4" w:space="0" w:color="000000"/>
              <w:bottom w:val="single" w:sz="4" w:space="0" w:color="000000"/>
              <w:right w:val="single" w:sz="4" w:space="0" w:color="000000"/>
            </w:tcBorders>
            <w:shd w:fill="33CCCC" w:val="clear"/>
          </w:tcPr>
          <w:p>
            <w:pPr>
              <w:pStyle w:val="Normal"/>
              <w:rPr>
                <w:rFonts w:cs="Arial"/>
                <w:b/>
                <w:bCs/>
                <w:sz w:val="22"/>
                <w:szCs w:val="22"/>
              </w:rPr>
            </w:pPr>
            <w:r>
              <w:rPr>
                <w:rFonts w:cs="Arial"/>
                <w:b/>
                <w:bCs/>
                <w:sz w:val="22"/>
                <w:szCs w:val="22"/>
              </w:rPr>
              <w:t>Job Purpose</w:t>
            </w:r>
          </w:p>
          <w:p>
            <w:pPr>
              <w:pStyle w:val="Normal"/>
              <w:rPr>
                <w:rFonts w:cs="Arial"/>
                <w:sz w:val="22"/>
                <w:szCs w:val="22"/>
              </w:rPr>
            </w:pPr>
            <w:r>
              <w:rPr>
                <w:rFonts w:cs="Arial"/>
                <w:sz w:val="22"/>
                <w:szCs w:val="22"/>
              </w:rPr>
            </w:r>
          </w:p>
        </w:tc>
      </w:tr>
      <w:tr>
        <w:trPr/>
        <w:tc>
          <w:tcPr>
            <w:tcW w:w="10348" w:type="dxa"/>
            <w:tcBorders>
              <w:top w:val="single" w:sz="4" w:space="0" w:color="000000"/>
              <w:left w:val="single" w:sz="4" w:space="0" w:color="000000"/>
              <w:bottom w:val="single" w:sz="4" w:space="0" w:color="000000"/>
              <w:right w:val="single" w:sz="4" w:space="0" w:color="000000"/>
            </w:tcBorders>
          </w:tcPr>
          <w:p>
            <w:pPr>
              <w:pStyle w:val="ListParagraph"/>
              <w:spacing w:lineRule="auto" w:line="240" w:before="0" w:after="0"/>
              <w:ind w:left="0" w:right="0"/>
              <w:contextualSpacing/>
              <w:rPr>
                <w:rFonts w:ascii="Arial" w:hAnsi="Arial" w:eastAsia="Times New Roman" w:cs="Arial"/>
              </w:rPr>
            </w:pPr>
            <w:r>
              <w:rPr>
                <w:rFonts w:eastAsia="Times New Roman" w:cs="Arial" w:ascii="Arial" w:hAnsi="Arial"/>
              </w:rPr>
              <w:t>Ensure that the council is fully assured that it is compliant with the Regulator of Social Housing (RSH) Consumer Standards, with an uncompromising focus on the Safety and Quality Standard, and to remain “inspection-ready”, to ensure that we are able to demonstrate this compliance as and when needed in the future.</w:t>
            </w:r>
          </w:p>
          <w:p>
            <w:pPr>
              <w:pStyle w:val="Normal"/>
              <w:jc w:val="both"/>
              <w:rPr>
                <w:rFonts w:cs="Arial"/>
                <w:sz w:val="22"/>
                <w:szCs w:val="22"/>
                <w:lang w:eastAsia="en-GB"/>
              </w:rPr>
            </w:pPr>
            <w:r>
              <w:rPr>
                <w:rFonts w:cs="Arial"/>
                <w:sz w:val="22"/>
                <w:szCs w:val="22"/>
                <w:lang w:eastAsia="en-GB"/>
              </w:rPr>
            </w:r>
          </w:p>
          <w:p>
            <w:pPr>
              <w:pStyle w:val="Normal"/>
              <w:jc w:val="both"/>
              <w:rPr>
                <w:rFonts w:cs="Arial"/>
                <w:sz w:val="22"/>
                <w:szCs w:val="22"/>
                <w:lang w:eastAsia="en-GB"/>
              </w:rPr>
            </w:pPr>
            <w:r>
              <w:rPr>
                <w:rFonts w:cs="Arial"/>
                <w:sz w:val="22"/>
                <w:szCs w:val="22"/>
                <w:lang w:eastAsia="en-GB"/>
              </w:rPr>
              <w:t xml:space="preserve">Transform compliance from a reactive response into a proactive culture of absolute assurance by establishing a rigorous "golden thread" of data integrity. </w:t>
            </w:r>
          </w:p>
          <w:p>
            <w:pPr>
              <w:pStyle w:val="Normal"/>
              <w:jc w:val="both"/>
              <w:rPr>
                <w:rFonts w:cs="Arial"/>
                <w:sz w:val="22"/>
                <w:szCs w:val="22"/>
                <w:lang w:eastAsia="en-GB"/>
              </w:rPr>
            </w:pPr>
            <w:r>
              <w:rPr>
                <w:rFonts w:cs="Arial"/>
                <w:sz w:val="22"/>
                <w:szCs w:val="22"/>
                <w:lang w:eastAsia="en-GB"/>
              </w:rPr>
            </w:r>
          </w:p>
          <w:p>
            <w:pPr>
              <w:pStyle w:val="Normal"/>
              <w:jc w:val="both"/>
              <w:rPr>
                <w:rFonts w:cs="Arial"/>
                <w:sz w:val="22"/>
                <w:szCs w:val="22"/>
                <w:lang w:eastAsia="en-GB"/>
              </w:rPr>
            </w:pPr>
            <w:r>
              <w:rPr>
                <w:rFonts w:cs="Arial"/>
                <w:sz w:val="22"/>
                <w:szCs w:val="22"/>
                <w:lang w:eastAsia="en-GB"/>
              </w:rPr>
              <w:t>Ensure the Council can evidence their homes are irrefutably safe, well-maintained, and compliant.</w:t>
            </w:r>
          </w:p>
          <w:p>
            <w:pPr>
              <w:pStyle w:val="Normal"/>
              <w:jc w:val="both"/>
              <w:rPr>
                <w:rFonts w:cs="Arial"/>
                <w:sz w:val="22"/>
                <w:szCs w:val="22"/>
              </w:rPr>
            </w:pPr>
            <w:r>
              <w:rPr>
                <w:rFonts w:cs="Arial"/>
                <w:sz w:val="22"/>
                <w:szCs w:val="22"/>
              </w:rPr>
            </w:r>
          </w:p>
          <w:p>
            <w:pPr>
              <w:pStyle w:val="Normal"/>
              <w:jc w:val="both"/>
              <w:rPr>
                <w:rFonts w:cs="Arial"/>
                <w:sz w:val="22"/>
                <w:szCs w:val="22"/>
              </w:rPr>
            </w:pPr>
            <w:r>
              <w:rPr>
                <w:rFonts w:cs="Arial"/>
                <w:sz w:val="22"/>
                <w:szCs w:val="22"/>
              </w:rPr>
              <w:t xml:space="preserve">To provide effective strategic leadership ensuring robust governance, regulatory compliance, and effective risk management. This includes leading and motivating a multi-disciplinary team responsible for performance, data management, complaints, tenant involvement, compliance, health &amp; safety, and insight. </w:t>
            </w:r>
          </w:p>
          <w:p>
            <w:pPr>
              <w:pStyle w:val="Normal"/>
              <w:jc w:val="both"/>
              <w:rPr>
                <w:rFonts w:cs="Arial"/>
                <w:sz w:val="22"/>
                <w:szCs w:val="22"/>
              </w:rPr>
            </w:pPr>
            <w:r>
              <w:rPr>
                <w:rFonts w:cs="Arial"/>
                <w:sz w:val="22"/>
                <w:szCs w:val="22"/>
              </w:rPr>
            </w:r>
          </w:p>
          <w:p>
            <w:pPr>
              <w:pStyle w:val="Normal"/>
              <w:jc w:val="both"/>
              <w:rPr>
                <w:rFonts w:cs="Arial"/>
                <w:sz w:val="22"/>
                <w:szCs w:val="22"/>
              </w:rPr>
            </w:pPr>
            <w:r>
              <w:rPr>
                <w:rFonts w:cs="Arial"/>
                <w:sz w:val="22"/>
                <w:szCs w:val="22"/>
              </w:rPr>
              <w:t xml:space="preserve">To be the lead Officer with primary responsibility for governance and compliance, with the objective of ensuring that the service meets the highest standards of excellence in governance and probity. </w:t>
            </w:r>
          </w:p>
          <w:p>
            <w:pPr>
              <w:pStyle w:val="Normal"/>
              <w:jc w:val="both"/>
              <w:rPr>
                <w:rFonts w:cs="Arial"/>
                <w:sz w:val="22"/>
                <w:szCs w:val="22"/>
              </w:rPr>
            </w:pPr>
            <w:r>
              <w:rPr>
                <w:rFonts w:cs="Arial"/>
                <w:sz w:val="22"/>
                <w:szCs w:val="22"/>
              </w:rPr>
            </w:r>
          </w:p>
          <w:p>
            <w:pPr>
              <w:pStyle w:val="Normal"/>
              <w:jc w:val="both"/>
              <w:rPr>
                <w:rFonts w:cs="Arial"/>
                <w:sz w:val="22"/>
                <w:szCs w:val="22"/>
              </w:rPr>
            </w:pPr>
            <w:r>
              <w:rPr>
                <w:rFonts w:cs="Arial"/>
                <w:sz w:val="22"/>
                <w:szCs w:val="22"/>
              </w:rPr>
              <w:t>The Housing Compliance and Assurance Team will play a critical role in ensuring that the Housing Landlord function meet all the necessary legal, safety, and quality standards, thereby protecting tenants and managing risk. The team achieves this by monitoring performance, managing data, and providing evidence to senior management, Elected Members and the Regulator of Social Housing ensuring the service is meeting all its statutory and regulatory obligations</w:t>
            </w:r>
          </w:p>
          <w:p>
            <w:pPr>
              <w:pStyle w:val="Normal"/>
              <w:jc w:val="both"/>
              <w:rPr>
                <w:rFonts w:cs="Arial"/>
                <w:sz w:val="22"/>
                <w:szCs w:val="22"/>
              </w:rPr>
            </w:pPr>
            <w:r>
              <w:rPr>
                <w:rFonts w:cs="Arial"/>
                <w:sz w:val="22"/>
                <w:szCs w:val="22"/>
              </w:rPr>
            </w:r>
          </w:p>
          <w:p>
            <w:pPr>
              <w:pStyle w:val="Normal"/>
              <w:ind w:left="44" w:right="0"/>
              <w:jc w:val="both"/>
              <w:rPr>
                <w:rFonts w:cs="Arial"/>
                <w:sz w:val="22"/>
                <w:szCs w:val="22"/>
              </w:rPr>
            </w:pPr>
            <w:r>
              <w:rPr>
                <w:rFonts w:cs="Arial"/>
                <w:sz w:val="22"/>
                <w:szCs w:val="22"/>
              </w:rPr>
              <w:t>To assist the Head of Service and wider management team in the management of staff and resources within the Division.</w:t>
            </w:r>
          </w:p>
          <w:p>
            <w:pPr>
              <w:pStyle w:val="Normal"/>
              <w:rPr>
                <w:rFonts w:cs="Arial"/>
                <w:sz w:val="22"/>
                <w:szCs w:val="22"/>
              </w:rPr>
            </w:pPr>
            <w:r>
              <w:rPr>
                <w:rFonts w:cs="Arial"/>
                <w:sz w:val="22"/>
                <w:szCs w:val="22"/>
              </w:rPr>
            </w:r>
          </w:p>
        </w:tc>
      </w:tr>
      <w:tr>
        <w:trPr/>
        <w:tc>
          <w:tcPr>
            <w:tcW w:w="10348" w:type="dxa"/>
            <w:tcBorders>
              <w:top w:val="single" w:sz="4" w:space="0" w:color="000000"/>
              <w:left w:val="single" w:sz="4" w:space="0" w:color="000000"/>
              <w:bottom w:val="single" w:sz="4" w:space="0" w:color="000000"/>
              <w:right w:val="single" w:sz="4" w:space="0" w:color="000000"/>
            </w:tcBorders>
            <w:shd w:fill="33CCCC" w:val="clear"/>
          </w:tcPr>
          <w:p>
            <w:pPr>
              <w:pStyle w:val="Normal"/>
              <w:rPr>
                <w:rFonts w:cs="Arial"/>
                <w:b/>
                <w:bCs/>
                <w:sz w:val="22"/>
                <w:szCs w:val="22"/>
              </w:rPr>
            </w:pPr>
            <w:r>
              <w:rPr>
                <w:rFonts w:cs="Arial"/>
                <w:b/>
                <w:bCs/>
                <w:sz w:val="22"/>
                <w:szCs w:val="22"/>
              </w:rPr>
              <w:t>Key Tasks</w:t>
            </w:r>
          </w:p>
          <w:p>
            <w:pPr>
              <w:pStyle w:val="Normal"/>
              <w:rPr>
                <w:rFonts w:cs="Arial"/>
                <w:sz w:val="22"/>
                <w:szCs w:val="22"/>
              </w:rPr>
            </w:pPr>
            <w:r>
              <w:rPr>
                <w:rFonts w:cs="Arial"/>
                <w:sz w:val="22"/>
                <w:szCs w:val="22"/>
              </w:rPr>
            </w:r>
          </w:p>
        </w:tc>
      </w:tr>
      <w:tr>
        <w:trPr/>
        <w:tc>
          <w:tcPr>
            <w:tcW w:w="10348" w:type="dxa"/>
            <w:tcBorders>
              <w:top w:val="single" w:sz="4" w:space="0" w:color="000000"/>
              <w:left w:val="single" w:sz="4" w:space="0" w:color="000000"/>
              <w:bottom w:val="single" w:sz="4" w:space="0" w:color="000000"/>
              <w:right w:val="single" w:sz="4" w:space="0" w:color="000000"/>
            </w:tcBorders>
          </w:tcPr>
          <w:p>
            <w:pPr>
              <w:pStyle w:val="Normal"/>
              <w:rPr/>
            </w:pPr>
            <w:r>
              <w:rPr>
                <w:rFonts w:cs="Arial"/>
                <w:sz w:val="22"/>
                <w:szCs w:val="22"/>
              </w:rPr>
              <w:t xml:space="preserve">Lead the ongoing self-assessment process against the Regulator of Social Housing Consumer Standards </w:t>
            </w:r>
            <w:r>
              <w:rPr>
                <w:rStyle w:val="t286pc"/>
                <w:rFonts w:cs="Arial"/>
                <w:sz w:val="22"/>
                <w:szCs w:val="22"/>
              </w:rPr>
              <w:t>identifying operational gaps and executing robust action plans to close them.</w:t>
            </w:r>
          </w:p>
          <w:p>
            <w:pPr>
              <w:pStyle w:val="Normal"/>
              <w:rPr>
                <w:rFonts w:cs="Arial"/>
                <w:sz w:val="22"/>
                <w:szCs w:val="22"/>
                <w:lang w:eastAsia="en-GB"/>
              </w:rPr>
            </w:pPr>
            <w:r>
              <w:rPr>
                <w:rFonts w:cs="Arial"/>
                <w:sz w:val="22"/>
                <w:szCs w:val="22"/>
                <w:lang w:eastAsia="en-GB"/>
              </w:rPr>
            </w:r>
          </w:p>
          <w:p>
            <w:pPr>
              <w:pStyle w:val="z1qcye"/>
              <w:spacing w:before="0" w:after="0"/>
              <w:rPr/>
            </w:pPr>
            <w:r>
              <w:rPr>
                <w:rStyle w:val="t286pc"/>
                <w:rFonts w:cs="Arial" w:ascii="Arial" w:hAnsi="Arial"/>
                <w:sz w:val="22"/>
                <w:szCs w:val="22"/>
              </w:rPr>
              <w:t>Collate, verify, and maintain the "golden thread" of safety data and evidence packs required for instant presentation to RSH inspectors and the Housing Ombudsman.</w:t>
            </w:r>
          </w:p>
          <w:p>
            <w:pPr>
              <w:pStyle w:val="z1qcye"/>
              <w:spacing w:before="0" w:after="0"/>
              <w:rPr>
                <w:rFonts w:ascii="Arial" w:hAnsi="Arial" w:cs="Arial"/>
                <w:sz w:val="22"/>
                <w:szCs w:val="22"/>
              </w:rPr>
            </w:pPr>
            <w:r>
              <w:rPr>
                <w:rFonts w:cs="Arial" w:ascii="Arial" w:hAnsi="Arial"/>
                <w:sz w:val="22"/>
                <w:szCs w:val="22"/>
              </w:rPr>
            </w:r>
          </w:p>
          <w:p>
            <w:pPr>
              <w:pStyle w:val="z1qcye"/>
              <w:spacing w:before="0" w:after="0"/>
              <w:rPr/>
            </w:pPr>
            <w:r>
              <w:rPr>
                <w:rStyle w:val="t286pc"/>
                <w:rFonts w:cs="Arial" w:ascii="Arial" w:hAnsi="Arial"/>
                <w:sz w:val="22"/>
                <w:szCs w:val="22"/>
              </w:rPr>
              <w:t>Act as the lead technical advisor to the Head of Service during pre-inspection planning, translating complex regulatory requirements into clear operational procedures.</w:t>
            </w:r>
          </w:p>
          <w:p>
            <w:pPr>
              <w:pStyle w:val="z1qcye"/>
              <w:spacing w:before="0" w:after="0"/>
              <w:rPr>
                <w:rFonts w:ascii="Arial" w:hAnsi="Arial" w:cs="Arial"/>
                <w:sz w:val="22"/>
                <w:szCs w:val="22"/>
              </w:rPr>
            </w:pPr>
            <w:r>
              <w:rPr>
                <w:rFonts w:cs="Arial" w:ascii="Arial" w:hAnsi="Arial"/>
                <w:sz w:val="22"/>
                <w:szCs w:val="22"/>
              </w:rPr>
            </w:r>
          </w:p>
          <w:p>
            <w:pPr>
              <w:pStyle w:val="z1qcye"/>
              <w:spacing w:before="0" w:after="0"/>
              <w:rPr/>
            </w:pPr>
            <w:r>
              <w:rPr>
                <w:rStyle w:val="t286pc"/>
                <w:rFonts w:cs="Arial" w:ascii="Arial" w:hAnsi="Arial"/>
                <w:sz w:val="22"/>
                <w:szCs w:val="22"/>
              </w:rPr>
              <w:t>Compile and continuously update a digital "Regulatory Evidence Dossier" containing up-to-date compliance certificates, contractor key performance indicators (KPIs), governance sign-offs, and stock condition data that can be handed to RSH inspectors capable of being produced promptly upon request.</w:t>
            </w:r>
          </w:p>
          <w:p>
            <w:pPr>
              <w:pStyle w:val="z1qcye"/>
              <w:spacing w:before="0" w:after="0"/>
              <w:rPr>
                <w:rFonts w:ascii="Arial" w:hAnsi="Arial" w:cs="Arial"/>
                <w:sz w:val="22"/>
                <w:szCs w:val="22"/>
              </w:rPr>
            </w:pPr>
            <w:r>
              <w:rPr>
                <w:rFonts w:cs="Arial" w:ascii="Arial" w:hAnsi="Arial"/>
                <w:sz w:val="22"/>
                <w:szCs w:val="22"/>
              </w:rPr>
            </w:r>
          </w:p>
          <w:p>
            <w:pPr>
              <w:pStyle w:val="z1qcye"/>
              <w:spacing w:before="0" w:after="0"/>
              <w:rPr/>
            </w:pPr>
            <w:r>
              <w:rPr>
                <w:rStyle w:val="t286pc"/>
                <w:rFonts w:cs="Arial" w:ascii="Arial" w:hAnsi="Arial"/>
                <w:sz w:val="22"/>
                <w:szCs w:val="22"/>
              </w:rPr>
              <w:t>Schedule and coordinate annual "mock" regulatory desk reviews or independent third-party health checks across the asset safety data to expose gaps before the RSH does.</w:t>
            </w:r>
          </w:p>
          <w:p>
            <w:pPr>
              <w:pStyle w:val="z1qcye"/>
              <w:spacing w:before="0" w:after="0"/>
              <w:rPr>
                <w:rFonts w:ascii="Arial" w:hAnsi="Arial" w:cs="Arial"/>
                <w:sz w:val="22"/>
                <w:szCs w:val="22"/>
              </w:rPr>
            </w:pPr>
            <w:r>
              <w:rPr>
                <w:rFonts w:cs="Arial" w:ascii="Arial" w:hAnsi="Arial"/>
                <w:sz w:val="22"/>
                <w:szCs w:val="22"/>
              </w:rPr>
            </w:r>
          </w:p>
          <w:p>
            <w:pPr>
              <w:pStyle w:val="ListParagraph"/>
              <w:spacing w:lineRule="auto" w:line="240" w:before="0" w:after="240"/>
              <w:ind w:left="0" w:right="0"/>
              <w:contextualSpacing/>
              <w:rPr>
                <w:rFonts w:ascii="Arial" w:hAnsi="Arial" w:eastAsia="Times New Roman" w:cs="Arial"/>
              </w:rPr>
            </w:pPr>
            <w:r>
              <w:rPr>
                <w:rFonts w:eastAsia="Times New Roman" w:cs="Arial" w:ascii="Arial" w:hAnsi="Arial"/>
              </w:rPr>
              <w:t>To ensure the Council is aware of any proposed or upcoming changes to legislation, and ensure that there is a plan in place to ensure in advance that our provision remains compliant with any such changes.</w:t>
            </w:r>
          </w:p>
          <w:p>
            <w:pPr>
              <w:pStyle w:val="z1qcye"/>
              <w:spacing w:before="0" w:after="0"/>
              <w:rPr>
                <w:rFonts w:ascii="Arial" w:hAnsi="Arial" w:cs="Arial"/>
                <w:sz w:val="22"/>
                <w:szCs w:val="22"/>
              </w:rPr>
            </w:pPr>
            <w:r>
              <w:rPr>
                <w:rFonts w:cs="Arial" w:ascii="Arial" w:hAnsi="Arial"/>
                <w:sz w:val="22"/>
                <w:szCs w:val="22"/>
              </w:rPr>
            </w:r>
          </w:p>
          <w:p>
            <w:pPr>
              <w:pStyle w:val="Normal"/>
              <w:rPr/>
            </w:pPr>
            <w:r>
              <w:rPr>
                <w:rFonts w:cs="Arial"/>
                <w:sz w:val="22"/>
                <w:szCs w:val="22"/>
                <w:lang w:eastAsia="en-GB"/>
              </w:rPr>
              <w:t>Map operational workflows directly against the criteria of the RSH Standards</w:t>
            </w:r>
            <w:r>
              <w:rPr>
                <w:rFonts w:cs="Arial"/>
                <w:b/>
                <w:bCs/>
                <w:sz w:val="22"/>
                <w:szCs w:val="22"/>
                <w:lang w:eastAsia="en-GB"/>
              </w:rPr>
              <w:t xml:space="preserve"> </w:t>
            </w:r>
            <w:r>
              <w:rPr>
                <w:rFonts w:cs="Arial"/>
                <w:sz w:val="22"/>
                <w:szCs w:val="22"/>
                <w:lang w:eastAsia="en-GB"/>
              </w:rPr>
              <w:t>tracking remedial action plans on a central compliance risk register.</w:t>
            </w:r>
          </w:p>
          <w:p>
            <w:pPr>
              <w:pStyle w:val="Normal"/>
              <w:rPr>
                <w:rFonts w:cs="Arial"/>
                <w:sz w:val="22"/>
                <w:szCs w:val="22"/>
                <w:lang w:eastAsia="en-GB"/>
              </w:rPr>
            </w:pPr>
            <w:r>
              <w:rPr>
                <w:rFonts w:cs="Arial"/>
                <w:sz w:val="22"/>
                <w:szCs w:val="22"/>
                <w:lang w:eastAsia="en-GB"/>
              </w:rPr>
            </w:r>
          </w:p>
          <w:p>
            <w:pPr>
              <w:pStyle w:val="Normal"/>
              <w:rPr>
                <w:rFonts w:cs="Arial"/>
                <w:sz w:val="22"/>
                <w:szCs w:val="22"/>
                <w:lang w:eastAsia="en-GB"/>
              </w:rPr>
            </w:pPr>
            <w:r>
              <w:rPr>
                <w:rFonts w:cs="Arial"/>
                <w:sz w:val="22"/>
                <w:szCs w:val="22"/>
                <w:lang w:eastAsia="en-GB"/>
              </w:rPr>
              <w:t>Write clear, concise quarterly compliance position statements and "traffic light" risk dashboards for the Head of landlord services, Council Executive Directors, and Elected Members to prove robust internal oversight.</w:t>
            </w:r>
          </w:p>
          <w:p>
            <w:pPr>
              <w:pStyle w:val="Normal"/>
              <w:rPr>
                <w:rFonts w:cs="Arial"/>
                <w:sz w:val="22"/>
                <w:szCs w:val="22"/>
                <w:lang w:eastAsia="en-GB"/>
              </w:rPr>
            </w:pPr>
            <w:r>
              <w:rPr>
                <w:rFonts w:cs="Arial"/>
                <w:sz w:val="22"/>
                <w:szCs w:val="22"/>
                <w:lang w:eastAsia="en-GB"/>
              </w:rPr>
            </w:r>
          </w:p>
          <w:p>
            <w:pPr>
              <w:pStyle w:val="z1qcye"/>
              <w:spacing w:before="0" w:after="0"/>
              <w:rPr>
                <w:rFonts w:ascii="Arial" w:hAnsi="Arial" w:cs="Arial"/>
                <w:sz w:val="22"/>
                <w:szCs w:val="22"/>
              </w:rPr>
            </w:pPr>
            <w:r>
              <w:rPr>
                <w:rFonts w:cs="Arial" w:ascii="Arial" w:hAnsi="Arial"/>
                <w:sz w:val="22"/>
                <w:szCs w:val="22"/>
              </w:rPr>
              <w:t>Draft and manage the internal process for identifying and self-reporting material compliance failures to the RSH, ensuring the council acts transparently before a whistle-blower or tenant complaint triggers an intervention</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t xml:space="preserve">Provide expert guidance on regulatory compliance, policies, and legislation, acting as a trusted source of truth for critical information. </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t xml:space="preserve">Support the development and implementation of assurance frameworks to meet consumer standards and regulatory obligations and lead the response to building safety recommendations while promoting a strong safety culture. </w:t>
            </w:r>
            <w:bookmarkStart w:id="0" w:name="Text6"/>
            <w:bookmarkEnd w:id="0"/>
          </w:p>
          <w:p>
            <w:pPr>
              <w:pStyle w:val="Normal"/>
              <w:rPr>
                <w:rFonts w:cs="Arial"/>
                <w:sz w:val="22"/>
                <w:szCs w:val="22"/>
              </w:rPr>
            </w:pPr>
            <w:r>
              <w:rPr>
                <w:rFonts w:cs="Arial"/>
                <w:sz w:val="22"/>
                <w:szCs w:val="22"/>
              </w:rPr>
            </w:r>
          </w:p>
        </w:tc>
      </w:tr>
    </w:tbl>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tbl>
      <w:tblPr>
        <w:tblW w:w="10439" w:type="dxa"/>
        <w:jc w:val="left"/>
        <w:tblInd w:w="-504" w:type="dxa"/>
        <w:tblLayout w:type="fixed"/>
        <w:tblCellMar>
          <w:top w:w="0" w:type="dxa"/>
          <w:left w:w="108" w:type="dxa"/>
          <w:bottom w:w="0" w:type="dxa"/>
          <w:right w:w="108" w:type="dxa"/>
        </w:tblCellMar>
      </w:tblPr>
      <w:tblGrid>
        <w:gridCol w:w="522"/>
        <w:gridCol w:w="9917"/>
      </w:tblGrid>
      <w:tr>
        <w:trPr/>
        <w:tc>
          <w:tcPr>
            <w:tcW w:w="10439" w:type="dxa"/>
            <w:gridSpan w:val="2"/>
            <w:tcBorders>
              <w:top w:val="single" w:sz="4" w:space="0" w:color="000000"/>
              <w:left w:val="single" w:sz="4" w:space="0" w:color="000000"/>
              <w:bottom w:val="single" w:sz="4" w:space="0" w:color="000000"/>
              <w:right w:val="single" w:sz="4" w:space="0" w:color="000000"/>
            </w:tcBorders>
            <w:shd w:fill="00B3BE" w:val="clear"/>
          </w:tcPr>
          <w:p>
            <w:pPr>
              <w:pStyle w:val="Normal"/>
              <w:jc w:val="both"/>
              <w:rPr>
                <w:rFonts w:cs="Arial"/>
                <w:b/>
                <w:sz w:val="22"/>
                <w:szCs w:val="22"/>
              </w:rPr>
            </w:pPr>
            <w:r>
              <w:rPr>
                <w:rFonts w:cs="Arial"/>
                <w:b/>
                <w:sz w:val="22"/>
                <w:szCs w:val="22"/>
              </w:rPr>
              <w:t>Standard Duties:</w:t>
            </w:r>
          </w:p>
          <w:p>
            <w:pPr>
              <w:pStyle w:val="Normal"/>
              <w:jc w:val="both"/>
              <w:rPr>
                <w:rFonts w:cs="Arial"/>
                <w:sz w:val="22"/>
                <w:szCs w:val="22"/>
              </w:rPr>
            </w:pPr>
            <w:r>
              <w:rPr>
                <w:rFonts w:cs="Arial"/>
                <w:sz w:val="22"/>
                <w:szCs w:val="22"/>
              </w:rPr>
            </w:r>
          </w:p>
        </w:tc>
      </w:tr>
      <w:tr>
        <w:trPr>
          <w:trHeight w:val="255" w:hRule="atLeast"/>
        </w:trPr>
        <w:tc>
          <w:tcPr>
            <w:tcW w:w="522" w:type="dxa"/>
            <w:tcBorders>
              <w:top w:val="single" w:sz="4" w:space="0" w:color="000000"/>
              <w:left w:val="single" w:sz="4" w:space="0" w:color="000000"/>
            </w:tcBorders>
          </w:tcPr>
          <w:p>
            <w:pPr>
              <w:pStyle w:val="Normal"/>
              <w:snapToGrid w:val="false"/>
              <w:jc w:val="both"/>
              <w:rPr>
                <w:rFonts w:cs="Arial"/>
                <w:sz w:val="22"/>
                <w:szCs w:val="22"/>
              </w:rPr>
            </w:pPr>
            <w:r>
              <w:rPr>
                <w:rFonts w:cs="Arial"/>
                <w:sz w:val="22"/>
                <w:szCs w:val="22"/>
              </w:rPr>
            </w:r>
          </w:p>
          <w:p>
            <w:pPr>
              <w:pStyle w:val="Normal"/>
              <w:jc w:val="both"/>
              <w:rPr>
                <w:rFonts w:cs="Arial"/>
                <w:sz w:val="22"/>
                <w:szCs w:val="22"/>
              </w:rPr>
            </w:pPr>
            <w:r>
              <w:rPr>
                <w:rFonts w:cs="Arial"/>
                <w:sz w:val="22"/>
                <w:szCs w:val="22"/>
              </w:rPr>
              <w:t>1.</w:t>
            </w:r>
          </w:p>
        </w:tc>
        <w:tc>
          <w:tcPr>
            <w:tcW w:w="9917" w:type="dxa"/>
            <w:tcBorders>
              <w:top w:val="single" w:sz="4" w:space="0" w:color="000000"/>
              <w:right w:val="single" w:sz="4" w:space="0" w:color="000000"/>
            </w:tcBorders>
          </w:tcPr>
          <w:p>
            <w:pPr>
              <w:pStyle w:val="Normal"/>
              <w:snapToGrid w:val="false"/>
              <w:jc w:val="both"/>
              <w:rPr>
                <w:rFonts w:cs="Arial"/>
                <w:sz w:val="22"/>
                <w:szCs w:val="22"/>
              </w:rPr>
            </w:pPr>
            <w:r>
              <w:rPr>
                <w:rFonts w:cs="Arial"/>
                <w:sz w:val="22"/>
                <w:szCs w:val="22"/>
              </w:rPr>
            </w:r>
          </w:p>
          <w:p>
            <w:pPr>
              <w:pStyle w:val="Normal"/>
              <w:jc w:val="both"/>
              <w:rPr>
                <w:rFonts w:cs="Arial"/>
                <w:sz w:val="22"/>
                <w:szCs w:val="22"/>
              </w:rPr>
            </w:pPr>
            <w:r>
              <w:rPr>
                <w:rFonts w:cs="Arial"/>
                <w:sz w:val="22"/>
                <w:szCs w:val="22"/>
              </w:rPr>
              <w:t>To actively promote the equalities and diversity agenda in the workplace and in service delivery.</w:t>
            </w:r>
          </w:p>
          <w:p>
            <w:pPr>
              <w:pStyle w:val="Normal"/>
              <w:jc w:val="both"/>
              <w:rPr>
                <w:rFonts w:cs="Arial"/>
                <w:sz w:val="22"/>
                <w:szCs w:val="22"/>
              </w:rPr>
            </w:pPr>
            <w:r>
              <w:rPr>
                <w:rFonts w:cs="Arial"/>
                <w:sz w:val="22"/>
                <w:szCs w:val="22"/>
              </w:rPr>
            </w:r>
          </w:p>
        </w:tc>
      </w:tr>
      <w:tr>
        <w:trPr>
          <w:trHeight w:val="255" w:hRule="atLeast"/>
        </w:trPr>
        <w:tc>
          <w:tcPr>
            <w:tcW w:w="522" w:type="dxa"/>
            <w:tcBorders>
              <w:left w:val="single" w:sz="4" w:space="0" w:color="000000"/>
            </w:tcBorders>
          </w:tcPr>
          <w:p>
            <w:pPr>
              <w:pStyle w:val="Normal"/>
              <w:jc w:val="both"/>
              <w:rPr>
                <w:rFonts w:cs="Arial"/>
                <w:sz w:val="22"/>
                <w:szCs w:val="22"/>
              </w:rPr>
            </w:pPr>
            <w:r>
              <w:rPr>
                <w:rFonts w:cs="Arial"/>
                <w:sz w:val="22"/>
                <w:szCs w:val="22"/>
              </w:rPr>
              <w:t>2.</w:t>
            </w:r>
          </w:p>
        </w:tc>
        <w:tc>
          <w:tcPr>
            <w:tcW w:w="9917" w:type="dxa"/>
            <w:tcBorders>
              <w:right w:val="single" w:sz="4" w:space="0" w:color="000000"/>
            </w:tcBorders>
          </w:tcPr>
          <w:p>
            <w:pPr>
              <w:pStyle w:val="Normal"/>
              <w:jc w:val="both"/>
              <w:rPr>
                <w:rFonts w:cs="Arial"/>
                <w:sz w:val="22"/>
                <w:szCs w:val="22"/>
              </w:rPr>
            </w:pPr>
            <w:r>
              <w:rPr>
                <w:rFonts w:cs="Arial"/>
                <w:sz w:val="22"/>
                <w:szCs w:val="22"/>
              </w:rPr>
              <w:t>To uphold and implement policies and procedures of the Council; including customer care, data protection, finance, ICT, safeguarding and health &amp; safety policies.</w:t>
            </w:r>
          </w:p>
          <w:p>
            <w:pPr>
              <w:pStyle w:val="Normal"/>
              <w:jc w:val="both"/>
              <w:rPr>
                <w:rFonts w:cs="Arial"/>
                <w:sz w:val="22"/>
                <w:szCs w:val="22"/>
              </w:rPr>
            </w:pPr>
            <w:r>
              <w:rPr>
                <w:rFonts w:cs="Arial"/>
                <w:sz w:val="22"/>
                <w:szCs w:val="22"/>
              </w:rPr>
            </w:r>
          </w:p>
        </w:tc>
      </w:tr>
      <w:tr>
        <w:trPr>
          <w:trHeight w:val="255" w:hRule="atLeast"/>
        </w:trPr>
        <w:tc>
          <w:tcPr>
            <w:tcW w:w="522" w:type="dxa"/>
            <w:tcBorders>
              <w:left w:val="single" w:sz="4" w:space="0" w:color="000000"/>
            </w:tcBorders>
          </w:tcPr>
          <w:p>
            <w:pPr>
              <w:pStyle w:val="Normal"/>
              <w:jc w:val="both"/>
              <w:rPr>
                <w:rFonts w:cs="Arial"/>
                <w:sz w:val="22"/>
                <w:szCs w:val="22"/>
              </w:rPr>
            </w:pPr>
            <w:r>
              <w:rPr>
                <w:rFonts w:cs="Arial"/>
                <w:sz w:val="22"/>
                <w:szCs w:val="22"/>
              </w:rPr>
              <w:t>3.</w:t>
            </w:r>
          </w:p>
        </w:tc>
        <w:tc>
          <w:tcPr>
            <w:tcW w:w="9917" w:type="dxa"/>
            <w:tcBorders>
              <w:right w:val="single" w:sz="4" w:space="0" w:color="000000"/>
            </w:tcBorders>
          </w:tcPr>
          <w:p>
            <w:pPr>
              <w:pStyle w:val="Normal"/>
              <w:jc w:val="both"/>
              <w:rPr>
                <w:rFonts w:cs="Arial"/>
                <w:sz w:val="22"/>
                <w:szCs w:val="22"/>
              </w:rPr>
            </w:pPr>
            <w:r>
              <w:rPr>
                <w:rFonts w:cs="Arial"/>
                <w:sz w:val="22"/>
                <w:szCs w:val="22"/>
              </w:rPr>
              <w:t>To actively engage with the behaviours and values of the Council to promote and support our Co-operative Agenda.</w:t>
            </w:r>
          </w:p>
          <w:p>
            <w:pPr>
              <w:pStyle w:val="Normal"/>
              <w:jc w:val="both"/>
              <w:rPr>
                <w:rFonts w:cs="Arial"/>
                <w:sz w:val="22"/>
                <w:szCs w:val="22"/>
              </w:rPr>
            </w:pPr>
            <w:r>
              <w:rPr>
                <w:rFonts w:cs="Arial"/>
                <w:sz w:val="22"/>
                <w:szCs w:val="22"/>
              </w:rPr>
            </w:r>
          </w:p>
        </w:tc>
      </w:tr>
      <w:tr>
        <w:trPr>
          <w:trHeight w:val="255" w:hRule="atLeast"/>
        </w:trPr>
        <w:tc>
          <w:tcPr>
            <w:tcW w:w="522" w:type="dxa"/>
            <w:tcBorders>
              <w:left w:val="single" w:sz="4" w:space="0" w:color="000000"/>
            </w:tcBorders>
          </w:tcPr>
          <w:p>
            <w:pPr>
              <w:pStyle w:val="Normal"/>
              <w:jc w:val="both"/>
              <w:rPr>
                <w:rFonts w:cs="Arial"/>
                <w:sz w:val="22"/>
                <w:szCs w:val="22"/>
              </w:rPr>
            </w:pPr>
            <w:r>
              <w:rPr>
                <w:rFonts w:cs="Arial"/>
                <w:sz w:val="22"/>
                <w:szCs w:val="22"/>
              </w:rPr>
              <w:t>4.</w:t>
            </w:r>
          </w:p>
        </w:tc>
        <w:tc>
          <w:tcPr>
            <w:tcW w:w="9917" w:type="dxa"/>
            <w:tcBorders>
              <w:right w:val="single" w:sz="4" w:space="0" w:color="000000"/>
            </w:tcBorders>
          </w:tcPr>
          <w:p>
            <w:pPr>
              <w:pStyle w:val="Normal"/>
              <w:jc w:val="both"/>
              <w:rPr>
                <w:rFonts w:cs="Arial"/>
                <w:sz w:val="22"/>
                <w:szCs w:val="22"/>
              </w:rPr>
            </w:pPr>
            <w:r>
              <w:rPr>
                <w:rFonts w:cs="Arial"/>
                <w:sz w:val="22"/>
                <w:szCs w:val="22"/>
              </w:rPr>
              <w:t xml:space="preserve">To undertake continuous professional development and to be aware of new developments, legislation, initiatives, guidelines, policies and procedures as appropriate to the role. </w:t>
            </w:r>
          </w:p>
          <w:p>
            <w:pPr>
              <w:pStyle w:val="Normal"/>
              <w:jc w:val="both"/>
              <w:rPr>
                <w:rFonts w:cs="Arial"/>
                <w:b/>
                <w:sz w:val="22"/>
                <w:szCs w:val="22"/>
              </w:rPr>
            </w:pPr>
            <w:r>
              <w:rPr>
                <w:rFonts w:cs="Arial"/>
                <w:b/>
                <w:sz w:val="22"/>
                <w:szCs w:val="22"/>
              </w:rPr>
            </w:r>
          </w:p>
        </w:tc>
      </w:tr>
      <w:tr>
        <w:trPr>
          <w:trHeight w:val="255" w:hRule="atLeast"/>
        </w:trPr>
        <w:tc>
          <w:tcPr>
            <w:tcW w:w="522" w:type="dxa"/>
            <w:tcBorders>
              <w:left w:val="single" w:sz="4" w:space="0" w:color="000000"/>
              <w:bottom w:val="single" w:sz="4" w:space="0" w:color="000000"/>
            </w:tcBorders>
          </w:tcPr>
          <w:p>
            <w:pPr>
              <w:pStyle w:val="Normal"/>
              <w:jc w:val="both"/>
              <w:rPr>
                <w:rFonts w:cs="Arial"/>
                <w:sz w:val="22"/>
                <w:szCs w:val="22"/>
              </w:rPr>
            </w:pPr>
            <w:r>
              <w:rPr>
                <w:rFonts w:cs="Arial"/>
                <w:sz w:val="22"/>
                <w:szCs w:val="22"/>
              </w:rPr>
              <w:t>5.</w:t>
            </w:r>
          </w:p>
        </w:tc>
        <w:tc>
          <w:tcPr>
            <w:tcW w:w="9917" w:type="dxa"/>
            <w:tcBorders>
              <w:bottom w:val="single" w:sz="4" w:space="0" w:color="000000"/>
              <w:right w:val="single" w:sz="4" w:space="0" w:color="000000"/>
            </w:tcBorders>
          </w:tcPr>
          <w:p>
            <w:pPr>
              <w:pStyle w:val="Normal"/>
              <w:jc w:val="both"/>
              <w:rPr>
                <w:rFonts w:cs="Arial"/>
                <w:sz w:val="22"/>
                <w:szCs w:val="22"/>
              </w:rPr>
            </w:pPr>
            <w:r>
              <w:rPr>
                <w:rFonts w:cs="Arial"/>
                <w:sz w:val="22"/>
                <w:szCs w:val="22"/>
              </w:rPr>
              <w:t>Undertake any additional duties commensurate with the level of the post.</w:t>
            </w:r>
          </w:p>
          <w:p>
            <w:pPr>
              <w:pStyle w:val="Normal"/>
              <w:jc w:val="both"/>
              <w:rPr>
                <w:rFonts w:cs="Arial"/>
                <w:b/>
                <w:sz w:val="22"/>
                <w:szCs w:val="22"/>
              </w:rPr>
            </w:pPr>
            <w:r>
              <w:rPr>
                <w:rFonts w:cs="Arial"/>
                <w:b/>
                <w:sz w:val="22"/>
                <w:szCs w:val="22"/>
              </w:rPr>
            </w:r>
          </w:p>
        </w:tc>
      </w:tr>
    </w:tbl>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tbl>
      <w:tblPr>
        <w:tblW w:w="10440" w:type="dxa"/>
        <w:jc w:val="left"/>
        <w:tblInd w:w="-504" w:type="dxa"/>
        <w:tblLayout w:type="fixed"/>
        <w:tblCellMar>
          <w:top w:w="0" w:type="dxa"/>
          <w:left w:w="108" w:type="dxa"/>
          <w:bottom w:w="0" w:type="dxa"/>
          <w:right w:w="108" w:type="dxa"/>
        </w:tblCellMar>
      </w:tblPr>
      <w:tblGrid>
        <w:gridCol w:w="10440"/>
      </w:tblGrid>
      <w:tr>
        <w:trPr/>
        <w:tc>
          <w:tcPr>
            <w:tcW w:w="10440" w:type="dxa"/>
            <w:tcBorders>
              <w:top w:val="single" w:sz="4" w:space="0" w:color="000000"/>
              <w:left w:val="single" w:sz="4" w:space="0" w:color="000000"/>
              <w:bottom w:val="single" w:sz="4" w:space="0" w:color="000000"/>
              <w:right w:val="single" w:sz="4" w:space="0" w:color="000000"/>
            </w:tcBorders>
          </w:tcPr>
          <w:p>
            <w:pPr>
              <w:pStyle w:val="Normal"/>
              <w:keepNext w:val="true"/>
              <w:jc w:val="both"/>
              <w:rPr>
                <w:rFonts w:cs="Arial"/>
                <w:b/>
                <w:sz w:val="22"/>
                <w:szCs w:val="22"/>
              </w:rPr>
            </w:pPr>
            <w:r>
              <w:rPr>
                <w:rFonts w:cs="Arial"/>
                <w:b/>
                <w:sz w:val="22"/>
                <w:szCs w:val="22"/>
              </w:rPr>
              <w:t>Contacts:</w:t>
            </w:r>
          </w:p>
          <w:p>
            <w:pPr>
              <w:pStyle w:val="Normal"/>
              <w:rPr>
                <w:rFonts w:cs="Arial"/>
                <w:sz w:val="22"/>
                <w:szCs w:val="22"/>
                <w:lang w:eastAsia="en-GB"/>
              </w:rPr>
            </w:pPr>
            <w:r>
              <w:rPr>
                <w:rFonts w:cs="Arial"/>
                <w:sz w:val="22"/>
                <w:szCs w:val="22"/>
                <w:lang w:eastAsia="en-GB"/>
              </w:rPr>
              <w:t xml:space="preserve">Elected Members of the Council, </w:t>
            </w:r>
          </w:p>
          <w:p>
            <w:pPr>
              <w:pStyle w:val="Normal"/>
              <w:rPr>
                <w:rFonts w:cs="Arial"/>
                <w:sz w:val="22"/>
                <w:szCs w:val="22"/>
                <w:lang w:eastAsia="en-GB"/>
              </w:rPr>
            </w:pPr>
            <w:r>
              <w:rPr>
                <w:rFonts w:cs="Arial"/>
                <w:sz w:val="22"/>
                <w:szCs w:val="22"/>
                <w:lang w:eastAsia="en-GB"/>
              </w:rPr>
              <w:t xml:space="preserve">Senior Officers / Heads of Departments, </w:t>
            </w:r>
          </w:p>
          <w:p>
            <w:pPr>
              <w:pStyle w:val="Normal"/>
              <w:rPr>
                <w:rFonts w:cs="Arial"/>
                <w:sz w:val="22"/>
                <w:szCs w:val="22"/>
                <w:lang w:eastAsia="en-GB"/>
              </w:rPr>
            </w:pPr>
            <w:r>
              <w:rPr>
                <w:rFonts w:cs="Arial"/>
                <w:sz w:val="22"/>
                <w:szCs w:val="22"/>
                <w:lang w:eastAsia="en-GB"/>
              </w:rPr>
              <w:t xml:space="preserve">Other employees of the Council, </w:t>
            </w:r>
          </w:p>
          <w:p>
            <w:pPr>
              <w:pStyle w:val="Normal"/>
              <w:rPr>
                <w:rFonts w:cs="Arial"/>
                <w:sz w:val="22"/>
                <w:szCs w:val="22"/>
                <w:lang w:eastAsia="en-GB"/>
              </w:rPr>
            </w:pPr>
            <w:r>
              <w:rPr>
                <w:rFonts w:cs="Arial"/>
                <w:sz w:val="22"/>
                <w:szCs w:val="22"/>
                <w:lang w:eastAsia="en-GB"/>
              </w:rPr>
              <w:t xml:space="preserve">Registered Providers, </w:t>
            </w:r>
          </w:p>
          <w:p>
            <w:pPr>
              <w:pStyle w:val="Normal"/>
              <w:rPr>
                <w:rFonts w:cs="Arial"/>
                <w:sz w:val="22"/>
                <w:szCs w:val="22"/>
                <w:lang w:eastAsia="en-GB"/>
              </w:rPr>
            </w:pPr>
            <w:r>
              <w:rPr>
                <w:rFonts w:cs="Arial"/>
                <w:sz w:val="22"/>
                <w:szCs w:val="22"/>
                <w:lang w:eastAsia="en-GB"/>
              </w:rPr>
              <w:t xml:space="preserve">Private landlords / agencies / investors and developers, </w:t>
            </w:r>
          </w:p>
          <w:p>
            <w:pPr>
              <w:pStyle w:val="Normal"/>
              <w:rPr>
                <w:rFonts w:cs="Arial"/>
                <w:sz w:val="22"/>
                <w:szCs w:val="22"/>
                <w:lang w:eastAsia="en-GB"/>
              </w:rPr>
            </w:pPr>
            <w:r>
              <w:rPr>
                <w:rFonts w:cs="Arial"/>
                <w:sz w:val="22"/>
                <w:szCs w:val="22"/>
                <w:lang w:eastAsia="en-GB"/>
              </w:rPr>
              <w:t xml:space="preserve">Partners within the Oldham Housing Partnership and Oldham Partnership, </w:t>
            </w:r>
          </w:p>
          <w:p>
            <w:pPr>
              <w:pStyle w:val="Normal"/>
              <w:rPr>
                <w:rFonts w:cs="Arial"/>
                <w:sz w:val="22"/>
                <w:szCs w:val="22"/>
              </w:rPr>
            </w:pPr>
            <w:r>
              <w:rPr>
                <w:rFonts w:cs="Arial"/>
                <w:sz w:val="22"/>
                <w:szCs w:val="22"/>
              </w:rPr>
              <w:t xml:space="preserve">CCG and NHS staff, representatives of various organisations, agencies, Homes England, </w:t>
            </w:r>
          </w:p>
          <w:p>
            <w:pPr>
              <w:pStyle w:val="Normal"/>
              <w:rPr>
                <w:rFonts w:cs="Arial"/>
                <w:sz w:val="22"/>
                <w:szCs w:val="22"/>
              </w:rPr>
            </w:pPr>
            <w:r>
              <w:rPr>
                <w:rFonts w:cs="Arial"/>
                <w:sz w:val="22"/>
                <w:szCs w:val="22"/>
              </w:rPr>
              <w:t xml:space="preserve">Greater Manchester Combined Authority, and other bodies with whom the Council has dealings, </w:t>
            </w:r>
          </w:p>
          <w:p>
            <w:pPr>
              <w:pStyle w:val="Normal"/>
              <w:rPr>
                <w:rFonts w:cs="Arial"/>
                <w:sz w:val="22"/>
                <w:szCs w:val="22"/>
              </w:rPr>
            </w:pPr>
            <w:r>
              <w:rPr>
                <w:rFonts w:cs="Arial"/>
                <w:sz w:val="22"/>
                <w:szCs w:val="22"/>
              </w:rPr>
              <w:t xml:space="preserve">Utility companies, </w:t>
            </w:r>
          </w:p>
          <w:p>
            <w:pPr>
              <w:pStyle w:val="Normal"/>
              <w:jc w:val="both"/>
              <w:rPr>
                <w:rFonts w:cs="Arial"/>
                <w:sz w:val="22"/>
                <w:szCs w:val="22"/>
              </w:rPr>
            </w:pPr>
            <w:r>
              <w:rPr>
                <w:rFonts w:cs="Arial"/>
                <w:sz w:val="22"/>
                <w:szCs w:val="22"/>
              </w:rPr>
              <w:t>Charitable and voluntary organisations.</w:t>
            </w:r>
          </w:p>
          <w:p>
            <w:pPr>
              <w:pStyle w:val="Normal"/>
              <w:jc w:val="both"/>
              <w:rPr>
                <w:rFonts w:cs="Arial"/>
                <w:sz w:val="22"/>
                <w:szCs w:val="22"/>
              </w:rPr>
            </w:pPr>
            <w:r>
              <w:rPr>
                <w:rFonts w:cs="Arial"/>
                <w:sz w:val="22"/>
                <w:szCs w:val="22"/>
              </w:rPr>
              <w:t>Public</w:t>
            </w:r>
          </w:p>
          <w:p>
            <w:pPr>
              <w:pStyle w:val="Normal"/>
              <w:jc w:val="both"/>
              <w:rPr>
                <w:rFonts w:cs="Arial"/>
                <w:sz w:val="22"/>
                <w:szCs w:val="22"/>
              </w:rPr>
            </w:pPr>
            <w:r>
              <w:rPr>
                <w:rFonts w:cs="Arial"/>
                <w:sz w:val="22"/>
                <w:szCs w:val="22"/>
              </w:rPr>
            </w:r>
          </w:p>
        </w:tc>
      </w:tr>
    </w:tbl>
    <w:p>
      <w:pPr>
        <w:pStyle w:val="Normal"/>
        <w:rPr>
          <w:rFonts w:cs="Arial"/>
          <w:sz w:val="22"/>
          <w:szCs w:val="22"/>
        </w:rPr>
      </w:pPr>
      <w:r>
        <w:rPr>
          <w:rFonts w:cs="Arial"/>
          <w:sz w:val="22"/>
          <w:szCs w:val="22"/>
        </w:rPr>
      </w:r>
    </w:p>
    <w:tbl>
      <w:tblPr>
        <w:tblW w:w="10439" w:type="dxa"/>
        <w:jc w:val="left"/>
        <w:tblInd w:w="-504" w:type="dxa"/>
        <w:tblLayout w:type="fixed"/>
        <w:tblCellMar>
          <w:top w:w="0" w:type="dxa"/>
          <w:left w:w="108" w:type="dxa"/>
          <w:bottom w:w="0" w:type="dxa"/>
          <w:right w:w="108" w:type="dxa"/>
        </w:tblCellMar>
      </w:tblPr>
      <w:tblGrid>
        <w:gridCol w:w="2106"/>
        <w:gridCol w:w="8333"/>
      </w:tblGrid>
      <w:tr>
        <w:trPr/>
        <w:tc>
          <w:tcPr>
            <w:tcW w:w="10439" w:type="dxa"/>
            <w:gridSpan w:val="2"/>
            <w:tcBorders>
              <w:top w:val="single" w:sz="4" w:space="0" w:color="000000"/>
              <w:left w:val="single" w:sz="4" w:space="0" w:color="000000"/>
              <w:bottom w:val="single" w:sz="4" w:space="0" w:color="000000"/>
              <w:right w:val="single" w:sz="4" w:space="0" w:color="000000"/>
            </w:tcBorders>
            <w:shd w:fill="00B3BE" w:val="clear"/>
          </w:tcPr>
          <w:p>
            <w:pPr>
              <w:pStyle w:val="BodyText"/>
              <w:rPr>
                <w:rFonts w:cs="Arial"/>
                <w:szCs w:val="22"/>
              </w:rPr>
            </w:pPr>
            <w:r>
              <w:rPr>
                <w:rFonts w:cs="Arial"/>
                <w:szCs w:val="22"/>
              </w:rPr>
              <w:t>Relationship To Other Posts In The Department:</w:t>
            </w:r>
          </w:p>
          <w:p>
            <w:pPr>
              <w:pStyle w:val="Normal"/>
              <w:rPr>
                <w:rFonts w:cs="Arial"/>
                <w:sz w:val="22"/>
                <w:szCs w:val="22"/>
              </w:rPr>
            </w:pPr>
            <w:r>
              <w:rPr>
                <w:rFonts w:cs="Arial"/>
                <w:sz w:val="22"/>
                <w:szCs w:val="22"/>
              </w:rPr>
            </w:r>
          </w:p>
        </w:tc>
      </w:tr>
      <w:tr>
        <w:trPr>
          <w:trHeight w:val="518" w:hRule="atLeast"/>
        </w:trPr>
        <w:tc>
          <w:tcPr>
            <w:tcW w:w="2106" w:type="dxa"/>
            <w:tcBorders>
              <w:top w:val="single" w:sz="4" w:space="0" w:color="000000"/>
              <w:left w:val="single" w:sz="4" w:space="0" w:color="000000"/>
            </w:tcBorders>
          </w:tcPr>
          <w:p>
            <w:pPr>
              <w:pStyle w:val="Normal"/>
              <w:rPr>
                <w:rFonts w:cs="Arial"/>
                <w:b/>
                <w:sz w:val="22"/>
                <w:szCs w:val="22"/>
              </w:rPr>
            </w:pPr>
            <w:r>
              <w:rPr>
                <w:rFonts w:cs="Arial"/>
                <w:b/>
                <w:sz w:val="22"/>
                <w:szCs w:val="22"/>
              </w:rPr>
              <w:t xml:space="preserve">Responsible to:   </w:t>
            </w:r>
          </w:p>
          <w:p>
            <w:pPr>
              <w:pStyle w:val="Normal"/>
              <w:rPr>
                <w:rFonts w:cs="Arial"/>
                <w:sz w:val="22"/>
                <w:szCs w:val="22"/>
              </w:rPr>
            </w:pPr>
            <w:r>
              <w:rPr>
                <w:rFonts w:cs="Arial"/>
                <w:sz w:val="22"/>
                <w:szCs w:val="22"/>
              </w:rPr>
            </w:r>
          </w:p>
        </w:tc>
        <w:tc>
          <w:tcPr>
            <w:tcW w:w="8333" w:type="dxa"/>
            <w:tcBorders>
              <w:top w:val="single" w:sz="4" w:space="0" w:color="000000"/>
              <w:right w:val="single" w:sz="4" w:space="0" w:color="000000"/>
            </w:tcBorders>
          </w:tcPr>
          <w:p>
            <w:pPr>
              <w:pStyle w:val="BodyText"/>
              <w:rPr>
                <w:rFonts w:cs="Arial"/>
                <w:b w:val="false"/>
                <w:szCs w:val="22"/>
              </w:rPr>
            </w:pPr>
            <w:r>
              <w:rPr>
                <w:rFonts w:cs="Arial"/>
                <w:b w:val="false"/>
                <w:szCs w:val="22"/>
              </w:rPr>
              <w:t>Head of Landlord Services</w:t>
            </w:r>
          </w:p>
        </w:tc>
      </w:tr>
      <w:tr>
        <w:trPr>
          <w:trHeight w:val="517" w:hRule="atLeast"/>
        </w:trPr>
        <w:tc>
          <w:tcPr>
            <w:tcW w:w="2106" w:type="dxa"/>
            <w:tcBorders>
              <w:left w:val="single" w:sz="4" w:space="0" w:color="000000"/>
              <w:bottom w:val="single" w:sz="4" w:space="0" w:color="000000"/>
            </w:tcBorders>
          </w:tcPr>
          <w:p>
            <w:pPr>
              <w:pStyle w:val="Normal"/>
              <w:rPr>
                <w:rFonts w:cs="Arial"/>
                <w:b/>
                <w:sz w:val="22"/>
                <w:szCs w:val="22"/>
              </w:rPr>
            </w:pPr>
            <w:r>
              <w:rPr>
                <w:rFonts w:cs="Arial"/>
                <w:b/>
                <w:sz w:val="22"/>
                <w:szCs w:val="22"/>
              </w:rPr>
              <w:t>Responsible for:</w:t>
            </w:r>
          </w:p>
        </w:tc>
        <w:tc>
          <w:tcPr>
            <w:tcW w:w="8333" w:type="dxa"/>
            <w:tcBorders>
              <w:bottom w:val="single" w:sz="4" w:space="0" w:color="000000"/>
              <w:right w:val="single" w:sz="4" w:space="0" w:color="000000"/>
            </w:tcBorders>
          </w:tcPr>
          <w:p>
            <w:pPr>
              <w:pStyle w:val="Normal"/>
              <w:rPr>
                <w:rFonts w:cs="Arial"/>
                <w:sz w:val="22"/>
                <w:szCs w:val="22"/>
              </w:rPr>
            </w:pPr>
            <w:r>
              <w:rPr>
                <w:rFonts w:cs="Arial"/>
                <w:sz w:val="22"/>
                <w:szCs w:val="22"/>
              </w:rPr>
              <w:t xml:space="preserve">Various staff members within the team including Contracts Performance and Quality Officers and contract monitoring officers </w:t>
            </w:r>
          </w:p>
          <w:p>
            <w:pPr>
              <w:pStyle w:val="Normal"/>
              <w:rPr>
                <w:rFonts w:cs="Arial"/>
                <w:sz w:val="22"/>
                <w:szCs w:val="22"/>
              </w:rPr>
            </w:pPr>
            <w:r>
              <w:rPr>
                <w:rFonts w:cs="Arial"/>
                <w:sz w:val="22"/>
                <w:szCs w:val="22"/>
              </w:rPr>
            </w:r>
          </w:p>
        </w:tc>
      </w:tr>
    </w:tbl>
    <w:p>
      <w:pPr>
        <w:pStyle w:val="Normal"/>
        <w:rPr>
          <w:rFonts w:cs="Arial"/>
          <w:sz w:val="22"/>
          <w:szCs w:val="22"/>
        </w:rPr>
      </w:pPr>
      <w:r>
        <w:rPr>
          <w:rFonts w:cs="Arial"/>
          <w:sz w:val="22"/>
          <w:szCs w:val="22"/>
        </w:rPr>
      </w:r>
    </w:p>
    <w:tbl>
      <w:tblPr>
        <w:tblW w:w="10440" w:type="dxa"/>
        <w:jc w:val="left"/>
        <w:tblInd w:w="-504" w:type="dxa"/>
        <w:tblLayout w:type="fixed"/>
        <w:tblCellMar>
          <w:top w:w="0" w:type="dxa"/>
          <w:left w:w="108" w:type="dxa"/>
          <w:bottom w:w="0" w:type="dxa"/>
          <w:right w:w="108" w:type="dxa"/>
        </w:tblCellMar>
      </w:tblPr>
      <w:tblGrid>
        <w:gridCol w:w="10440"/>
      </w:tblGrid>
      <w:tr>
        <w:trPr/>
        <w:tc>
          <w:tcPr>
            <w:tcW w:w="10440" w:type="dxa"/>
            <w:tcBorders>
              <w:top w:val="single" w:sz="4" w:space="0" w:color="000000"/>
              <w:left w:val="single" w:sz="4" w:space="0" w:color="000000"/>
              <w:bottom w:val="single" w:sz="4" w:space="0" w:color="000000"/>
              <w:right w:val="single" w:sz="4" w:space="0" w:color="000000"/>
            </w:tcBorders>
          </w:tcPr>
          <w:p>
            <w:pPr>
              <w:pStyle w:val="Normal"/>
              <w:rPr/>
            </w:pPr>
            <w:r>
              <w:rPr>
                <w:rFonts w:cs="Arial"/>
                <w:b/>
                <w:sz w:val="22"/>
                <w:szCs w:val="22"/>
              </w:rPr>
              <w:t xml:space="preserve">Special Conditions: </w:t>
            </w:r>
            <w:r>
              <w:rPr>
                <w:rFonts w:cs="Arial"/>
                <w:bCs/>
                <w:sz w:val="22"/>
                <w:szCs w:val="22"/>
              </w:rPr>
              <w:t>None</w:t>
            </w:r>
          </w:p>
          <w:p>
            <w:pPr>
              <w:pStyle w:val="Normal"/>
              <w:rPr>
                <w:rFonts w:cs="Arial"/>
                <w:sz w:val="22"/>
                <w:szCs w:val="22"/>
              </w:rPr>
            </w:pPr>
            <w:r>
              <w:rPr>
                <w:rFonts w:cs="Arial"/>
                <w:sz w:val="22"/>
                <w:szCs w:val="22"/>
              </w:rPr>
            </w:r>
          </w:p>
        </w:tc>
      </w:tr>
    </w:tbl>
    <w:p>
      <w:pPr>
        <w:pStyle w:val="Normal"/>
        <w:rPr>
          <w:rFonts w:cs="Arial"/>
          <w:sz w:val="22"/>
          <w:szCs w:val="22"/>
        </w:rPr>
      </w:pPr>
      <w:r>
        <w:rPr>
          <w:rFonts w:cs="Arial"/>
          <w:sz w:val="22"/>
          <w:szCs w:val="22"/>
        </w:rPr>
      </w:r>
    </w:p>
    <w:tbl>
      <w:tblPr>
        <w:tblW w:w="10440" w:type="dxa"/>
        <w:jc w:val="left"/>
        <w:tblInd w:w="-504" w:type="dxa"/>
        <w:tblLayout w:type="fixed"/>
        <w:tblCellMar>
          <w:top w:w="0" w:type="dxa"/>
          <w:left w:w="108" w:type="dxa"/>
          <w:bottom w:w="0" w:type="dxa"/>
          <w:right w:w="108" w:type="dxa"/>
        </w:tblCellMar>
      </w:tblPr>
      <w:tblGrid>
        <w:gridCol w:w="10440"/>
      </w:tblGrid>
      <w:tr>
        <w:trPr/>
        <w:tc>
          <w:tcPr>
            <w:tcW w:w="10440" w:type="dxa"/>
            <w:tcBorders>
              <w:top w:val="single" w:sz="4" w:space="0" w:color="000000"/>
              <w:left w:val="single" w:sz="4" w:space="0" w:color="000000"/>
              <w:bottom w:val="single" w:sz="4" w:space="0" w:color="000000"/>
              <w:right w:val="single" w:sz="4" w:space="0" w:color="000000"/>
            </w:tcBorders>
            <w:shd w:fill="00B3BE" w:val="clear"/>
          </w:tcPr>
          <w:p>
            <w:pPr>
              <w:pStyle w:val="Normal"/>
              <w:rPr>
                <w:rFonts w:cs="Arial"/>
                <w:b/>
                <w:sz w:val="22"/>
                <w:szCs w:val="22"/>
              </w:rPr>
            </w:pPr>
            <w:r>
              <w:rPr>
                <w:rFonts w:cs="Arial"/>
                <w:b/>
                <w:sz w:val="22"/>
                <w:szCs w:val="22"/>
              </w:rPr>
              <w:t>Values and Behaviours:</w:t>
            </w:r>
          </w:p>
          <w:p>
            <w:pPr>
              <w:pStyle w:val="Normal"/>
              <w:rPr>
                <w:rFonts w:cs="Arial"/>
                <w:b/>
                <w:sz w:val="22"/>
                <w:szCs w:val="22"/>
              </w:rPr>
            </w:pPr>
            <w:r>
              <w:rPr>
                <w:rFonts w:cs="Arial"/>
                <w:b/>
                <w:sz w:val="22"/>
                <w:szCs w:val="22"/>
              </w:rPr>
            </w:r>
          </w:p>
        </w:tc>
      </w:tr>
      <w:tr>
        <w:trPr>
          <w:trHeight w:val="518" w:hRule="atLeast"/>
        </w:trPr>
        <w:tc>
          <w:tcPr>
            <w:tcW w:w="10440" w:type="dxa"/>
            <w:tcBorders>
              <w:top w:val="single" w:sz="4" w:space="0" w:color="000000"/>
              <w:left w:val="single" w:sz="4" w:space="0" w:color="000000"/>
              <w:bottom w:val="single" w:sz="4" w:space="0" w:color="000000"/>
              <w:right w:val="single" w:sz="4" w:space="0" w:color="000000"/>
            </w:tcBorders>
          </w:tcPr>
          <w:p>
            <w:pPr>
              <w:pStyle w:val="Normal"/>
              <w:shd w:fill="FFFFFF" w:val="clear"/>
              <w:spacing w:lineRule="auto" w:line="256" w:before="0" w:after="379"/>
              <w:jc w:val="both"/>
              <w:rPr/>
            </w:pPr>
            <w:r>
              <w:rPr>
                <w:rFonts w:eastAsia="Helvetica;Arial" w:cs="Arial"/>
                <w:sz w:val="22"/>
                <w:szCs w:val="22"/>
                <w:lang w:val="en-US"/>
              </w:rPr>
              <w:t>B</w:t>
            </w:r>
            <w:r>
              <w:rPr>
                <w:rFonts w:eastAsia="Arial" w:cs="Arial"/>
                <w:sz w:val="22"/>
                <w:szCs w:val="22"/>
                <w:lang w:val="en-US"/>
              </w:rPr>
              <w:t>y living our Values and Behaviours we will deliver the change we need to meet our Corporate ambitions for Oldham.</w:t>
            </w:r>
          </w:p>
          <w:p>
            <w:pPr>
              <w:pStyle w:val="Normal"/>
              <w:spacing w:lineRule="auto" w:line="256" w:before="280" w:after="280"/>
              <w:jc w:val="both"/>
              <w:rPr>
                <w:rFonts w:eastAsia="Arial" w:cs="Arial"/>
                <w:b/>
                <w:bCs/>
                <w:sz w:val="22"/>
                <w:szCs w:val="22"/>
                <w:lang w:val="en-US" w:eastAsia="en-GB"/>
              </w:rPr>
            </w:pPr>
            <w:r>
              <w:rPr>
                <w:rFonts w:eastAsia="Arial" w:cs="Arial"/>
                <w:b/>
                <w:bCs/>
                <w:sz w:val="22"/>
                <w:szCs w:val="22"/>
                <w:lang w:val="en-US" w:eastAsia="en-GB"/>
              </w:rPr>
              <w:t>Our Values:</w:t>
            </w:r>
          </w:p>
          <w:p>
            <w:pPr>
              <w:pStyle w:val="Normal"/>
              <w:spacing w:lineRule="auto" w:line="256" w:before="280" w:after="280"/>
              <w:jc w:val="both"/>
              <w:rPr>
                <w:rFonts w:eastAsia="Arial" w:cs="Arial"/>
                <w:b/>
                <w:bCs/>
                <w:sz w:val="22"/>
                <w:szCs w:val="22"/>
                <w:lang w:val="en-US"/>
              </w:rPr>
            </w:pPr>
            <w:r>
              <w:rPr>
                <w:rFonts w:eastAsia="Arial" w:cs="Arial"/>
                <w:b/>
                <w:bCs/>
                <w:sz w:val="22"/>
                <w:szCs w:val="22"/>
                <w:lang w:val="en-US"/>
              </w:rPr>
              <w:t>Proud</w:t>
            </w:r>
          </w:p>
          <w:p>
            <w:pPr>
              <w:pStyle w:val="Normal"/>
              <w:shd w:fill="FFFFFF" w:val="clear"/>
              <w:spacing w:before="0" w:after="379"/>
              <w:jc w:val="both"/>
              <w:rPr>
                <w:rFonts w:eastAsia="Arial" w:cs="Arial"/>
                <w:sz w:val="22"/>
                <w:szCs w:val="22"/>
                <w:lang w:val="en-US"/>
              </w:rPr>
            </w:pPr>
            <w:r>
              <w:rPr>
                <w:rFonts w:eastAsia="Arial" w:cs="Arial"/>
                <w:sz w:val="22"/>
                <w:szCs w:val="22"/>
                <w:lang w:val="en-US"/>
              </w:rPr>
              <w:t>We take pride not only in what we deliver for the residents of Oldham but also in how we deliver it.</w:t>
            </w:r>
          </w:p>
          <w:p>
            <w:pPr>
              <w:pStyle w:val="Normal"/>
              <w:spacing w:lineRule="auto" w:line="256" w:before="280" w:after="280"/>
              <w:jc w:val="both"/>
              <w:rPr>
                <w:rFonts w:eastAsia="Arial" w:cs="Arial"/>
                <w:b/>
                <w:bCs/>
                <w:sz w:val="22"/>
                <w:szCs w:val="22"/>
                <w:lang w:val="en-US"/>
              </w:rPr>
            </w:pPr>
            <w:r>
              <w:rPr>
                <w:rFonts w:eastAsia="Arial" w:cs="Arial"/>
                <w:b/>
                <w:bCs/>
                <w:sz w:val="22"/>
                <w:szCs w:val="22"/>
                <w:lang w:val="en-US"/>
              </w:rPr>
              <w:t>Ambitious</w:t>
            </w:r>
          </w:p>
          <w:p>
            <w:pPr>
              <w:pStyle w:val="Normal"/>
              <w:shd w:fill="FFFFFF" w:val="clear"/>
              <w:spacing w:before="0" w:after="379"/>
              <w:jc w:val="both"/>
              <w:rPr>
                <w:rFonts w:eastAsia="Arial" w:cs="Arial"/>
                <w:sz w:val="22"/>
                <w:szCs w:val="22"/>
                <w:lang w:val="en-US"/>
              </w:rPr>
            </w:pPr>
            <w:r>
              <w:rPr>
                <w:rFonts w:eastAsia="Arial" w:cs="Arial"/>
                <w:sz w:val="22"/>
                <w:szCs w:val="22"/>
                <w:lang w:val="en-US"/>
              </w:rPr>
              <w:t>We recognise the challenges we face and are committed to setting high aspirations to overcome them, with determination and focus.</w:t>
            </w:r>
          </w:p>
          <w:p>
            <w:pPr>
              <w:pStyle w:val="Normal"/>
              <w:spacing w:lineRule="auto" w:line="256" w:before="280" w:after="280"/>
              <w:jc w:val="both"/>
              <w:rPr>
                <w:rFonts w:eastAsia="Arial" w:cs="Arial"/>
                <w:b/>
                <w:bCs/>
                <w:sz w:val="22"/>
                <w:szCs w:val="22"/>
                <w:lang w:val="en-US"/>
              </w:rPr>
            </w:pPr>
            <w:r>
              <w:rPr>
                <w:rFonts w:eastAsia="Arial" w:cs="Arial"/>
                <w:b/>
                <w:bCs/>
                <w:sz w:val="22"/>
                <w:szCs w:val="22"/>
                <w:lang w:val="en-US"/>
              </w:rPr>
              <w:t>Together</w:t>
            </w:r>
          </w:p>
          <w:p>
            <w:pPr>
              <w:pStyle w:val="Normal"/>
              <w:spacing w:before="280" w:after="0"/>
              <w:jc w:val="both"/>
              <w:rPr>
                <w:rFonts w:eastAsia="Arial" w:cs="Arial"/>
                <w:sz w:val="22"/>
                <w:szCs w:val="22"/>
                <w:lang w:val="en-US"/>
              </w:rPr>
            </w:pPr>
            <w:r>
              <w:rPr>
                <w:rFonts w:eastAsia="Arial" w:cs="Arial"/>
                <w:sz w:val="22"/>
                <w:szCs w:val="22"/>
                <w:lang w:val="en-US"/>
              </w:rPr>
              <w:t>We believe in shared solutions, working across sectors and with our communities to achieve common goals and deliver the quality services Oldham deserves.</w:t>
            </w:r>
          </w:p>
        </w:tc>
      </w:tr>
      <w:tr>
        <w:trPr>
          <w:trHeight w:val="518" w:hRule="atLeast"/>
        </w:trPr>
        <w:tc>
          <w:tcPr>
            <w:tcW w:w="10440" w:type="dxa"/>
            <w:tcBorders>
              <w:top w:val="single" w:sz="4" w:space="0" w:color="000000"/>
              <w:left w:val="single" w:sz="4" w:space="0" w:color="000000"/>
              <w:bottom w:val="single" w:sz="4" w:space="0" w:color="000000"/>
              <w:right w:val="single" w:sz="4" w:space="0" w:color="000000"/>
            </w:tcBorders>
          </w:tcPr>
          <w:p>
            <w:pPr>
              <w:pStyle w:val="Normal"/>
              <w:rPr/>
            </w:pPr>
            <w:r>
              <w:rPr>
                <w:rFonts w:eastAsia="Arial" w:cs="Arial"/>
                <w:sz w:val="22"/>
                <w:szCs w:val="22"/>
                <w:lang w:val="en"/>
              </w:rPr>
              <w:t xml:space="preserve">We have </w:t>
            </w:r>
            <w:r>
              <w:rPr>
                <w:rFonts w:eastAsia="Arial" w:cs="Arial"/>
                <w:b/>
                <w:bCs/>
                <w:sz w:val="22"/>
                <w:szCs w:val="22"/>
                <w:lang w:val="en"/>
              </w:rPr>
              <w:t xml:space="preserve">five Behaviours </w:t>
            </w:r>
            <w:r>
              <w:rPr>
                <w:rFonts w:eastAsia="Arial" w:cs="Arial"/>
                <w:sz w:val="22"/>
                <w:szCs w:val="22"/>
                <w:lang w:val="en"/>
              </w:rPr>
              <w:t>which outline the priority areas of focus for staff at all levels:</w:t>
            </w:r>
          </w:p>
          <w:p>
            <w:pPr>
              <w:pStyle w:val="Normal"/>
              <w:rPr>
                <w:rFonts w:eastAsia="Arial" w:cs="Arial"/>
                <w:sz w:val="22"/>
                <w:szCs w:val="22"/>
              </w:rPr>
            </w:pPr>
            <w:r>
              <w:rPr>
                <w:rFonts w:eastAsia="Arial" w:cs="Arial"/>
                <w:sz w:val="22"/>
                <w:szCs w:val="22"/>
              </w:rPr>
            </w:r>
          </w:p>
          <w:p>
            <w:pPr>
              <w:pStyle w:val="ListParagraph"/>
              <w:numPr>
                <w:ilvl w:val="0"/>
                <w:numId w:val="2"/>
              </w:numPr>
              <w:rPr/>
            </w:pPr>
            <w:r>
              <w:rPr>
                <w:rFonts w:eastAsia="Arial" w:cs="Arial" w:ascii="Arial" w:hAnsi="Arial"/>
              </w:rPr>
              <w:t>Work with a Resident Focus</w:t>
            </w:r>
          </w:p>
          <w:p>
            <w:pPr>
              <w:pStyle w:val="ListParagraph"/>
              <w:numPr>
                <w:ilvl w:val="0"/>
                <w:numId w:val="2"/>
              </w:numPr>
              <w:rPr/>
            </w:pPr>
            <w:r>
              <w:rPr>
                <w:rFonts w:eastAsia="Arial" w:cs="Arial" w:ascii="Arial" w:hAnsi="Arial"/>
              </w:rPr>
              <w:t>Support Local Leaders</w:t>
            </w:r>
          </w:p>
          <w:p>
            <w:pPr>
              <w:pStyle w:val="ListParagraph"/>
              <w:numPr>
                <w:ilvl w:val="0"/>
                <w:numId w:val="2"/>
              </w:numPr>
              <w:rPr/>
            </w:pPr>
            <w:r>
              <w:rPr>
                <w:rFonts w:eastAsia="Arial" w:cs="Arial" w:ascii="Arial" w:hAnsi="Arial"/>
              </w:rPr>
              <w:t>Committed to the Borough</w:t>
            </w:r>
          </w:p>
          <w:p>
            <w:pPr>
              <w:pStyle w:val="ListParagraph"/>
              <w:numPr>
                <w:ilvl w:val="0"/>
                <w:numId w:val="2"/>
              </w:numPr>
              <w:rPr/>
            </w:pPr>
            <w:r>
              <w:rPr>
                <w:rFonts w:eastAsia="Arial" w:cs="Arial" w:ascii="Arial" w:hAnsi="Arial"/>
              </w:rPr>
              <w:t>Take Ownership and Drive Change</w:t>
            </w:r>
          </w:p>
          <w:p>
            <w:pPr>
              <w:pStyle w:val="ListParagraph"/>
              <w:numPr>
                <w:ilvl w:val="0"/>
                <w:numId w:val="2"/>
              </w:numPr>
              <w:rPr/>
            </w:pPr>
            <w:r>
              <w:rPr>
                <w:rFonts w:eastAsia="Arial" w:cs="Arial" w:ascii="Arial" w:hAnsi="Arial"/>
              </w:rPr>
              <w:t xml:space="preserve">Deliver High Performance </w:t>
            </w:r>
          </w:p>
          <w:p>
            <w:pPr>
              <w:pStyle w:val="Normal"/>
              <w:rPr>
                <w:rFonts w:eastAsia="Arial" w:cs="Arial"/>
                <w:sz w:val="22"/>
                <w:szCs w:val="22"/>
              </w:rPr>
            </w:pPr>
            <w:r>
              <w:rPr>
                <w:rFonts w:eastAsia="Arial" w:cs="Arial"/>
                <w:sz w:val="22"/>
                <w:szCs w:val="22"/>
              </w:rPr>
            </w:r>
          </w:p>
          <w:p>
            <w:pPr>
              <w:pStyle w:val="Normal"/>
              <w:rPr/>
            </w:pPr>
            <w:r>
              <w:rPr>
                <w:rFonts w:eastAsia="Arial" w:cs="Arial"/>
                <w:sz w:val="22"/>
                <w:szCs w:val="22"/>
              </w:rPr>
              <w:t xml:space="preserve">More information about our Corporate Plan and our Values and Behaviours can be found on our </w:t>
            </w:r>
            <w:r>
              <w:rPr>
                <w:rStyle w:val="Hyperlink"/>
                <w:rFonts w:eastAsia="Arial" w:cs="Arial"/>
                <w:sz w:val="22"/>
                <w:szCs w:val="22"/>
              </w:rPr>
              <w:t>Greater. Jobs pages</w:t>
            </w:r>
            <w:r>
              <w:rPr>
                <w:rFonts w:eastAsia="Arial" w:cs="Arial"/>
                <w:sz w:val="22"/>
                <w:szCs w:val="22"/>
              </w:rPr>
              <w:t xml:space="preserve"> together with information about the staff benefits we offer.</w:t>
            </w:r>
          </w:p>
          <w:p>
            <w:pPr>
              <w:pStyle w:val="Normal"/>
              <w:rPr>
                <w:rFonts w:cs="Arial"/>
                <w:b/>
                <w:sz w:val="22"/>
                <w:szCs w:val="22"/>
              </w:rPr>
            </w:pPr>
            <w:r>
              <w:rPr>
                <w:rFonts w:cs="Arial"/>
                <w:b/>
                <w:sz w:val="22"/>
                <w:szCs w:val="22"/>
              </w:rPr>
            </w:r>
          </w:p>
        </w:tc>
      </w:tr>
    </w:tbl>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tbl>
      <w:tblPr>
        <w:tblW w:w="10439" w:type="dxa"/>
        <w:jc w:val="left"/>
        <w:tblInd w:w="-504" w:type="dxa"/>
        <w:tblLayout w:type="fixed"/>
        <w:tblCellMar>
          <w:top w:w="0" w:type="dxa"/>
          <w:left w:w="108" w:type="dxa"/>
          <w:bottom w:w="0" w:type="dxa"/>
          <w:right w:w="108" w:type="dxa"/>
        </w:tblCellMar>
      </w:tblPr>
      <w:tblGrid>
        <w:gridCol w:w="1620"/>
        <w:gridCol w:w="1800"/>
        <w:gridCol w:w="2160"/>
        <w:gridCol w:w="4859"/>
      </w:tblGrid>
      <w:tr>
        <w:trPr/>
        <w:tc>
          <w:tcPr>
            <w:tcW w:w="1620" w:type="dxa"/>
            <w:tcBorders>
              <w:top w:val="single" w:sz="4" w:space="0" w:color="000000"/>
              <w:left w:val="single" w:sz="4" w:space="0" w:color="000000"/>
              <w:bottom w:val="single" w:sz="4" w:space="0" w:color="000000"/>
              <w:right w:val="single" w:sz="4" w:space="0" w:color="000000"/>
            </w:tcBorders>
            <w:shd w:fill="00B3BE" w:val="clear"/>
          </w:tcPr>
          <w:p>
            <w:pPr>
              <w:pStyle w:val="Header"/>
              <w:tabs>
                <w:tab w:val="clear" w:pos="4153"/>
                <w:tab w:val="clear" w:pos="8306"/>
              </w:tabs>
              <w:snapToGrid w:val="false"/>
              <w:spacing w:before="60" w:after="60"/>
              <w:rPr>
                <w:rFonts w:cs="Arial"/>
                <w:szCs w:val="22"/>
              </w:rPr>
            </w:pPr>
            <w:r>
              <w:rPr>
                <w:rFonts w:cs="Arial"/>
                <w:szCs w:val="22"/>
              </w:rPr>
            </w:r>
          </w:p>
        </w:tc>
        <w:tc>
          <w:tcPr>
            <w:tcW w:w="1800" w:type="dxa"/>
            <w:tcBorders>
              <w:top w:val="single" w:sz="4" w:space="0" w:color="000000"/>
              <w:left w:val="single" w:sz="4" w:space="0" w:color="000000"/>
              <w:bottom w:val="single" w:sz="4" w:space="0" w:color="000000"/>
              <w:right w:val="single" w:sz="4" w:space="0" w:color="000000"/>
            </w:tcBorders>
            <w:shd w:fill="00B3BE" w:val="clear"/>
          </w:tcPr>
          <w:p>
            <w:pPr>
              <w:pStyle w:val="Normal"/>
              <w:spacing w:before="60" w:after="60"/>
              <w:jc w:val="center"/>
              <w:rPr>
                <w:rFonts w:cs="Arial"/>
                <w:b/>
                <w:sz w:val="22"/>
                <w:szCs w:val="22"/>
              </w:rPr>
            </w:pPr>
            <w:r>
              <w:rPr>
                <w:rFonts w:cs="Arial"/>
                <w:b/>
                <w:sz w:val="22"/>
                <w:szCs w:val="22"/>
              </w:rPr>
              <w:t>DATE</w:t>
            </w:r>
          </w:p>
        </w:tc>
        <w:tc>
          <w:tcPr>
            <w:tcW w:w="2160" w:type="dxa"/>
            <w:tcBorders>
              <w:top w:val="single" w:sz="4" w:space="0" w:color="000000"/>
              <w:left w:val="single" w:sz="4" w:space="0" w:color="000000"/>
              <w:bottom w:val="single" w:sz="4" w:space="0" w:color="000000"/>
              <w:right w:val="single" w:sz="4" w:space="0" w:color="000000"/>
            </w:tcBorders>
            <w:shd w:fill="00B3BE" w:val="clear"/>
          </w:tcPr>
          <w:p>
            <w:pPr>
              <w:pStyle w:val="Normal"/>
              <w:spacing w:before="60" w:after="60"/>
              <w:jc w:val="center"/>
              <w:rPr>
                <w:rFonts w:cs="Arial"/>
                <w:b/>
                <w:sz w:val="22"/>
                <w:szCs w:val="22"/>
              </w:rPr>
            </w:pPr>
            <w:r>
              <w:rPr>
                <w:rFonts w:cs="Arial"/>
                <w:b/>
                <w:sz w:val="22"/>
                <w:szCs w:val="22"/>
              </w:rPr>
              <w:t>NAME</w:t>
            </w:r>
          </w:p>
        </w:tc>
        <w:tc>
          <w:tcPr>
            <w:tcW w:w="4859" w:type="dxa"/>
            <w:tcBorders>
              <w:top w:val="single" w:sz="4" w:space="0" w:color="000000"/>
              <w:left w:val="single" w:sz="4" w:space="0" w:color="000000"/>
              <w:bottom w:val="single" w:sz="4" w:space="0" w:color="000000"/>
              <w:right w:val="single" w:sz="4" w:space="0" w:color="000000"/>
            </w:tcBorders>
            <w:shd w:fill="00B3BE" w:val="clear"/>
          </w:tcPr>
          <w:p>
            <w:pPr>
              <w:pStyle w:val="Normal"/>
              <w:spacing w:before="60" w:after="60"/>
              <w:jc w:val="center"/>
              <w:rPr>
                <w:rFonts w:cs="Arial"/>
                <w:b/>
                <w:sz w:val="22"/>
                <w:szCs w:val="22"/>
              </w:rPr>
            </w:pPr>
            <w:r>
              <w:rPr>
                <w:rFonts w:cs="Arial"/>
                <w:b/>
                <w:sz w:val="22"/>
                <w:szCs w:val="22"/>
              </w:rPr>
              <w:t>POST TITLE</w:t>
            </w:r>
          </w:p>
        </w:tc>
      </w:tr>
      <w:tr>
        <w:trPr/>
        <w:tc>
          <w:tcPr>
            <w:tcW w:w="1620" w:type="dxa"/>
            <w:tcBorders>
              <w:top w:val="single" w:sz="4" w:space="0" w:color="000000"/>
              <w:left w:val="single" w:sz="4" w:space="0" w:color="000000"/>
              <w:bottom w:val="single" w:sz="4" w:space="0" w:color="000000"/>
              <w:right w:val="single" w:sz="4" w:space="0" w:color="000000"/>
            </w:tcBorders>
          </w:tcPr>
          <w:p>
            <w:pPr>
              <w:pStyle w:val="Normal"/>
              <w:spacing w:before="60" w:after="60"/>
              <w:rPr>
                <w:rFonts w:cs="Arial"/>
                <w:b/>
                <w:sz w:val="22"/>
                <w:szCs w:val="22"/>
              </w:rPr>
            </w:pPr>
            <w:r>
              <w:rPr>
                <w:rFonts w:cs="Arial"/>
                <w:b/>
                <w:sz w:val="22"/>
                <w:szCs w:val="22"/>
              </w:rPr>
              <w:t>Prepared</w:t>
            </w:r>
          </w:p>
        </w:tc>
        <w:tc>
          <w:tcPr>
            <w:tcW w:w="1800" w:type="dxa"/>
            <w:tcBorders>
              <w:top w:val="single" w:sz="4" w:space="0" w:color="000000"/>
              <w:left w:val="single" w:sz="4" w:space="0" w:color="000000"/>
              <w:bottom w:val="single" w:sz="4" w:space="0" w:color="000000"/>
              <w:right w:val="single" w:sz="4" w:space="0" w:color="000000"/>
            </w:tcBorders>
          </w:tcPr>
          <w:p>
            <w:pPr>
              <w:pStyle w:val="Normal"/>
              <w:spacing w:before="60" w:after="60"/>
              <w:rPr>
                <w:rFonts w:cs="Arial"/>
                <w:sz w:val="22"/>
                <w:szCs w:val="22"/>
              </w:rPr>
            </w:pPr>
            <w:r>
              <w:rPr>
                <w:rFonts w:cs="Arial"/>
                <w:sz w:val="22"/>
                <w:szCs w:val="22"/>
              </w:rPr>
              <w:t>16/07/2026</w:t>
            </w:r>
          </w:p>
        </w:tc>
        <w:tc>
          <w:tcPr>
            <w:tcW w:w="2160" w:type="dxa"/>
            <w:tcBorders>
              <w:top w:val="single" w:sz="4" w:space="0" w:color="000000"/>
              <w:left w:val="single" w:sz="4" w:space="0" w:color="000000"/>
              <w:bottom w:val="single" w:sz="4" w:space="0" w:color="000000"/>
              <w:right w:val="single" w:sz="4" w:space="0" w:color="000000"/>
            </w:tcBorders>
          </w:tcPr>
          <w:p>
            <w:pPr>
              <w:pStyle w:val="Normal"/>
              <w:spacing w:before="60" w:after="60"/>
              <w:rPr>
                <w:rFonts w:cs="Arial"/>
                <w:sz w:val="22"/>
                <w:szCs w:val="22"/>
              </w:rPr>
            </w:pPr>
            <w:r>
              <w:rPr>
                <w:rFonts w:cs="Arial"/>
                <w:sz w:val="22"/>
                <w:szCs w:val="22"/>
              </w:rPr>
              <w:t>Victoria Wood</w:t>
            </w:r>
          </w:p>
        </w:tc>
        <w:tc>
          <w:tcPr>
            <w:tcW w:w="4859" w:type="dxa"/>
            <w:tcBorders>
              <w:top w:val="single" w:sz="4" w:space="0" w:color="000000"/>
              <w:left w:val="single" w:sz="4" w:space="0" w:color="000000"/>
              <w:bottom w:val="single" w:sz="4" w:space="0" w:color="000000"/>
              <w:right w:val="single" w:sz="4" w:space="0" w:color="000000"/>
            </w:tcBorders>
          </w:tcPr>
          <w:p>
            <w:pPr>
              <w:pStyle w:val="Normal"/>
              <w:spacing w:before="60" w:after="60"/>
              <w:rPr>
                <w:rFonts w:cs="Arial"/>
                <w:sz w:val="22"/>
                <w:szCs w:val="22"/>
              </w:rPr>
            </w:pPr>
            <w:r>
              <w:rPr>
                <w:rFonts w:cs="Arial"/>
                <w:sz w:val="22"/>
                <w:szCs w:val="22"/>
              </w:rPr>
              <w:t>Assistant Director - Housing</w:t>
            </w:r>
          </w:p>
        </w:tc>
      </w:tr>
    </w:tbl>
    <w:p>
      <w:pPr>
        <w:pStyle w:val="Normal"/>
        <w:jc w:val="center"/>
        <w:rPr>
          <w:rFonts w:cs="Arial"/>
          <w:b/>
          <w:bCs/>
          <w:sz w:val="22"/>
          <w:szCs w:val="22"/>
          <w:u w:val="single"/>
        </w:rPr>
      </w:pPr>
      <w:r>
        <w:br w:type="page"/>
      </w:r>
      <w:r>
        <w:rPr>
          <w:rFonts w:cs="Arial"/>
          <w:b/>
          <w:bCs/>
          <w:sz w:val="22"/>
          <w:szCs w:val="22"/>
          <w:u w:val="single"/>
        </w:rPr>
        <w:t>OLDHAM COUNCIL</w:t>
      </w:r>
    </w:p>
    <w:p>
      <w:pPr>
        <w:pStyle w:val="Normal"/>
        <w:jc w:val="center"/>
        <w:rPr>
          <w:rFonts w:cs="Arial"/>
          <w:b/>
          <w:bCs/>
          <w:sz w:val="22"/>
          <w:szCs w:val="22"/>
          <w:u w:val="single"/>
        </w:rPr>
      </w:pPr>
      <w:r>
        <w:rPr>
          <w:rFonts w:cs="Arial"/>
          <w:b/>
          <w:bCs/>
          <w:sz w:val="22"/>
          <w:szCs w:val="22"/>
          <w:u w:val="single"/>
        </w:rPr>
        <mc:AlternateContent>
          <mc:Choice Requires="wps">
            <w:drawing>
              <wp:anchor behindDoc="0" distT="0" distB="0" distL="114935" distR="114300" simplePos="0" locked="0" layoutInCell="1" allowOverlap="1" relativeHeight="3">
                <wp:simplePos x="0" y="0"/>
                <wp:positionH relativeFrom="column">
                  <wp:posOffset>5143500</wp:posOffset>
                </wp:positionH>
                <wp:positionV relativeFrom="paragraph">
                  <wp:posOffset>-605790</wp:posOffset>
                </wp:positionV>
                <wp:extent cx="1148715" cy="1187450"/>
                <wp:effectExtent l="635" t="0" r="0" b="0"/>
                <wp:wrapNone/>
                <wp:docPr id="5" name="Text Box 3"/>
                <a:graphic xmlns:a="http://schemas.openxmlformats.org/drawingml/2006/main">
                  <a:graphicData uri="http://schemas.microsoft.com/office/word/2010/wordprocessingShape">
                    <wps:wsp>
                      <wps:cNvSpPr/>
                      <wps:spPr>
                        <a:xfrm>
                          <a:off x="0" y="0"/>
                          <a:ext cx="1148760" cy="1187280"/>
                        </a:xfrm>
                        <a:prstGeom prst="rect">
                          <a:avLst/>
                        </a:prstGeom>
                        <a:solidFill>
                          <a:srgbClr val="ffffff"/>
                        </a:solidFill>
                        <a:ln w="0">
                          <a:noFill/>
                        </a:ln>
                      </wps:spPr>
                      <wps:style>
                        <a:lnRef idx="0"/>
                        <a:fillRef idx="0"/>
                        <a:effectRef idx="0"/>
                        <a:fontRef idx="minor"/>
                      </wps:style>
                      <wps:bodyPr/>
                    </wps:wsp>
                  </a:graphicData>
                </a:graphic>
              </wp:anchor>
            </w:drawing>
          </mc:Choice>
          <mc:Fallback>
            <w:pict>
              <v:rect id="shape_0" ID="Text Box 3" path="m0,0l-2147483645,0l-2147483645,-2147483646l0,-2147483646xe" fillcolor="white" stroked="f" o:allowincell="f" style="position:absolute;margin-left:405pt;margin-top:-47.7pt;width:90.4pt;height:93.45pt;mso-wrap-style:none;v-text-anchor:middle">
                <v:fill o:detectmouseclick="t" type="solid" color2="black"/>
                <v:stroke color="#3465a4" joinstyle="round" endcap="flat"/>
                <w10:wrap type="none"/>
              </v:rect>
            </w:pict>
          </mc:Fallback>
        </mc:AlternateContent>
      </w:r>
      <w:r>
        <mc:AlternateContent>
          <mc:Choice Requires="wps">
            <w:drawing>
              <wp:anchor behindDoc="0" distT="72390" distB="72390" distL="0" distR="3810" simplePos="0" locked="0" layoutInCell="1" allowOverlap="1" relativeHeight="6">
                <wp:simplePos x="0" y="0"/>
                <wp:positionH relativeFrom="column">
                  <wp:posOffset>5143500</wp:posOffset>
                </wp:positionH>
                <wp:positionV relativeFrom="paragraph">
                  <wp:posOffset>-605790</wp:posOffset>
                </wp:positionV>
                <wp:extent cx="1148715" cy="1187450"/>
                <wp:effectExtent l="0" t="0" r="0" b="0"/>
                <wp:wrapNone/>
                <wp:docPr id="6" name="Frame2"/>
                <a:graphic xmlns:a="http://schemas.openxmlformats.org/drawingml/2006/main">
                  <a:graphicData uri="http://schemas.microsoft.com/office/word/2010/wordprocessingShape">
                    <wps:wsp>
                      <wps:cNvSpPr txBox="1"/>
                      <wps:spPr>
                        <a:xfrm>
                          <a:off x="0" y="0"/>
                          <a:ext cx="1148715" cy="1187450"/>
                        </a:xfrm>
                        <a:prstGeom prst="rect"/>
                        <a:solidFill>
                          <a:srgbClr val="FFFFFF"/>
                        </a:solidFill>
                      </wps:spPr>
                      <wps:txbx>
                        <w:txbxContent>
                          <w:p>
                            <w:pPr>
                              <w:pStyle w:val="FrameContents"/>
                              <w:rPr/>
                            </w:pPr>
                            <w:r>
                              <w:rPr/>
                              <w:drawing>
                                <wp:inline distT="0" distB="0" distL="0" distR="0">
                                  <wp:extent cx="965200" cy="1097915"/>
                                  <wp:effectExtent l="0" t="0" r="0" b="0"/>
                                  <wp:docPr id="7"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2" descr=""/>
                                          <pic:cNvPicPr>
                                            <a:picLocks noChangeAspect="1" noChangeArrowheads="1"/>
                                          </pic:cNvPicPr>
                                        </pic:nvPicPr>
                                        <pic:blipFill>
                                          <a:blip r:embed="rId4"/>
                                          <a:srcRect l="-40" t="-35" r="-40" b="-35"/>
                                          <a:stretch>
                                            <a:fillRect/>
                                          </a:stretch>
                                        </pic:blipFill>
                                        <pic:spPr bwMode="auto">
                                          <a:xfrm>
                                            <a:off x="0" y="0"/>
                                            <a:ext cx="965200" cy="1097915"/>
                                          </a:xfrm>
                                          <a:prstGeom prst="rect">
                                            <a:avLst/>
                                          </a:prstGeom>
                                        </pic:spPr>
                                      </pic:pic>
                                    </a:graphicData>
                                  </a:graphic>
                                </wp:inline>
                              </w:drawing>
                            </w:r>
                          </w:p>
                        </w:txbxContent>
                      </wps:txbx>
                      <wps:bodyPr anchor="t" lIns="92075" tIns="46355" rIns="92075" bIns="46355">
                        <a:noAutofit/>
                      </wps:bodyPr>
                    </wps:wsp>
                  </a:graphicData>
                </a:graphic>
              </wp:anchor>
            </w:drawing>
          </mc:Choice>
          <mc:Fallback>
            <w:pict>
              <v:rect fillcolor="#FFFFFF" style="position:absolute;rotation:-0;width:90.45pt;height:93.5pt;mso-wrap-distance-left:0pt;mso-wrap-distance-right:0.3pt;mso-wrap-distance-top:5.7pt;mso-wrap-distance-bottom:5.7pt;margin-top:-47.7pt;mso-position-vertical-relative:text;margin-left:405pt;mso-position-horizontal-relative:text">
                <v:textbox inset="0.100694444444444in,0.0506944444444444in,0.100694444444444in,0.0506944444444444in">
                  <w:txbxContent>
                    <w:p>
                      <w:pPr>
                        <w:pStyle w:val="FrameContents"/>
                        <w:rPr/>
                      </w:pPr>
                      <w:r>
                        <w:rPr/>
                        <w:drawing>
                          <wp:inline distT="0" distB="0" distL="0" distR="0">
                            <wp:extent cx="965200" cy="1097915"/>
                            <wp:effectExtent l="0" t="0" r="0" b="0"/>
                            <wp:docPr id="8"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2" descr=""/>
                                    <pic:cNvPicPr>
                                      <a:picLocks noChangeAspect="1" noChangeArrowheads="1"/>
                                    </pic:cNvPicPr>
                                  </pic:nvPicPr>
                                  <pic:blipFill>
                                    <a:blip r:embed="rId5"/>
                                    <a:srcRect l="-40" t="-35" r="-40" b="-35"/>
                                    <a:stretch>
                                      <a:fillRect/>
                                    </a:stretch>
                                  </pic:blipFill>
                                  <pic:spPr bwMode="auto">
                                    <a:xfrm>
                                      <a:off x="0" y="0"/>
                                      <a:ext cx="965200" cy="1097915"/>
                                    </a:xfrm>
                                    <a:prstGeom prst="rect">
                                      <a:avLst/>
                                    </a:prstGeom>
                                  </pic:spPr>
                                </pic:pic>
                              </a:graphicData>
                            </a:graphic>
                          </wp:inline>
                        </w:drawing>
                      </w:r>
                    </w:p>
                  </w:txbxContent>
                </v:textbox>
                <w10:wrap type="none"/>
              </v:rect>
            </w:pict>
          </mc:Fallback>
        </mc:AlternateContent>
      </w:r>
    </w:p>
    <w:p>
      <w:pPr>
        <w:pStyle w:val="Normal"/>
        <w:jc w:val="center"/>
        <w:rPr>
          <w:rFonts w:cs="Arial"/>
          <w:b/>
          <w:bCs/>
          <w:sz w:val="22"/>
          <w:szCs w:val="22"/>
          <w:u w:val="single"/>
        </w:rPr>
      </w:pPr>
      <w:r>
        <w:rPr>
          <w:rFonts w:cs="Arial"/>
          <w:b/>
          <w:bCs/>
          <w:sz w:val="22"/>
          <w:szCs w:val="22"/>
          <w:u w:val="single"/>
        </w:rPr>
        <w:t>PERSON SPECIFICATION</w:t>
      </w:r>
    </w:p>
    <w:p>
      <w:pPr>
        <w:pStyle w:val="Normal"/>
        <w:rPr>
          <w:rFonts w:cs="Arial"/>
          <w:bCs/>
          <w:sz w:val="22"/>
          <w:szCs w:val="22"/>
        </w:rPr>
      </w:pPr>
      <w:r>
        <w:rPr>
          <w:rFonts w:cs="Arial"/>
          <w:bCs/>
          <w:sz w:val="22"/>
          <w:szCs w:val="22"/>
        </w:rPr>
      </w:r>
    </w:p>
    <w:p>
      <w:pPr>
        <w:pStyle w:val="Normal"/>
        <w:ind w:right="-514"/>
        <w:rPr/>
      </w:pPr>
      <w:r>
        <w:rPr>
          <w:rFonts w:cs="Arial"/>
          <w:b/>
          <w:bCs/>
          <w:sz w:val="22"/>
          <w:szCs w:val="22"/>
        </w:rPr>
        <w:t>Job Title:</w:t>
      </w:r>
      <w:r>
        <w:rPr>
          <w:rFonts w:cs="Arial"/>
          <w:bCs/>
          <w:sz w:val="22"/>
          <w:szCs w:val="22"/>
        </w:rPr>
        <w:t xml:space="preserve">  Housing Compliance and Safety Manager</w:t>
      </w:r>
    </w:p>
    <w:p>
      <w:pPr>
        <w:pStyle w:val="Normal"/>
        <w:rPr>
          <w:rFonts w:cs="Arial"/>
          <w:sz w:val="22"/>
          <w:szCs w:val="22"/>
        </w:rPr>
      </w:pPr>
      <w:r>
        <w:rPr>
          <w:rFonts w:cs="Arial"/>
          <w:sz w:val="22"/>
          <w:szCs w:val="22"/>
        </w:rPr>
      </w:r>
    </w:p>
    <w:tbl>
      <w:tblPr>
        <w:tblW w:w="10439" w:type="dxa"/>
        <w:jc w:val="left"/>
        <w:tblInd w:w="-504" w:type="dxa"/>
        <w:tblLayout w:type="fixed"/>
        <w:tblCellMar>
          <w:top w:w="0" w:type="dxa"/>
          <w:left w:w="108" w:type="dxa"/>
          <w:bottom w:w="0" w:type="dxa"/>
          <w:right w:w="108" w:type="dxa"/>
        </w:tblCellMar>
      </w:tblPr>
      <w:tblGrid>
        <w:gridCol w:w="1799"/>
        <w:gridCol w:w="3960"/>
        <w:gridCol w:w="3060"/>
        <w:gridCol w:w="1620"/>
      </w:tblGrid>
      <w:tr>
        <w:trPr>
          <w:trHeight w:val="1000" w:hRule="atLeast"/>
          <w:cantSplit w:val="true"/>
        </w:trPr>
        <w:tc>
          <w:tcPr>
            <w:tcW w:w="1799" w:type="dxa"/>
            <w:tcBorders>
              <w:top w:val="single" w:sz="4" w:space="0" w:color="000000"/>
              <w:left w:val="single" w:sz="4" w:space="0" w:color="000000"/>
              <w:bottom w:val="single" w:sz="4" w:space="0" w:color="000000"/>
              <w:right w:val="single" w:sz="4" w:space="0" w:color="000000"/>
            </w:tcBorders>
            <w:shd w:fill="00B3BE" w:val="clear"/>
          </w:tcPr>
          <w:p>
            <w:pPr>
              <w:pStyle w:val="Normal"/>
              <w:snapToGrid w:val="false"/>
              <w:rPr>
                <w:rFonts w:cs="Arial"/>
                <w:b/>
                <w:bCs/>
                <w:sz w:val="22"/>
                <w:szCs w:val="22"/>
              </w:rPr>
            </w:pPr>
            <w:r>
              <w:rPr>
                <w:rFonts w:cs="Arial"/>
                <w:b/>
                <w:bCs/>
                <w:sz w:val="22"/>
                <w:szCs w:val="22"/>
              </w:rPr>
            </w:r>
          </w:p>
        </w:tc>
        <w:tc>
          <w:tcPr>
            <w:tcW w:w="3960" w:type="dxa"/>
            <w:tcBorders>
              <w:top w:val="single" w:sz="4" w:space="0" w:color="000000"/>
              <w:left w:val="single" w:sz="4" w:space="0" w:color="000000"/>
              <w:bottom w:val="single" w:sz="4" w:space="0" w:color="000000"/>
              <w:right w:val="single" w:sz="4" w:space="0" w:color="000000"/>
            </w:tcBorders>
            <w:shd w:fill="00B3BE" w:val="clear"/>
          </w:tcPr>
          <w:p>
            <w:pPr>
              <w:pStyle w:val="Normal"/>
              <w:snapToGrid w:val="false"/>
              <w:jc w:val="center"/>
              <w:rPr>
                <w:rFonts w:cs="Arial"/>
                <w:b/>
                <w:bCs/>
                <w:sz w:val="22"/>
                <w:szCs w:val="22"/>
              </w:rPr>
            </w:pPr>
            <w:r>
              <w:rPr>
                <w:rFonts w:cs="Arial"/>
                <w:b/>
                <w:bCs/>
                <w:sz w:val="22"/>
                <w:szCs w:val="22"/>
              </w:rPr>
            </w:r>
          </w:p>
          <w:p>
            <w:pPr>
              <w:pStyle w:val="Normal"/>
              <w:jc w:val="center"/>
              <w:rPr>
                <w:rFonts w:cs="Arial"/>
                <w:b/>
                <w:bCs/>
                <w:sz w:val="22"/>
                <w:szCs w:val="22"/>
              </w:rPr>
            </w:pPr>
            <w:r>
              <w:rPr>
                <w:rFonts w:cs="Arial"/>
                <w:b/>
                <w:bCs/>
                <w:sz w:val="22"/>
                <w:szCs w:val="22"/>
              </w:rPr>
              <w:t xml:space="preserve">Selection criteria </w:t>
            </w:r>
          </w:p>
          <w:p>
            <w:pPr>
              <w:pStyle w:val="Normal"/>
              <w:jc w:val="center"/>
              <w:rPr>
                <w:rFonts w:cs="Arial"/>
                <w:b/>
                <w:bCs/>
                <w:sz w:val="22"/>
                <w:szCs w:val="22"/>
              </w:rPr>
            </w:pPr>
            <w:r>
              <w:rPr>
                <w:rFonts w:cs="Arial"/>
                <w:b/>
                <w:bCs/>
                <w:sz w:val="22"/>
                <w:szCs w:val="22"/>
              </w:rPr>
              <w:t>(Essential)</w:t>
            </w:r>
          </w:p>
        </w:tc>
        <w:tc>
          <w:tcPr>
            <w:tcW w:w="3060" w:type="dxa"/>
            <w:tcBorders>
              <w:top w:val="single" w:sz="4" w:space="0" w:color="000000"/>
              <w:left w:val="single" w:sz="4" w:space="0" w:color="000000"/>
              <w:bottom w:val="single" w:sz="4" w:space="0" w:color="000000"/>
              <w:right w:val="single" w:sz="4" w:space="0" w:color="000000"/>
            </w:tcBorders>
            <w:shd w:fill="00B3BE" w:val="clear"/>
          </w:tcPr>
          <w:p>
            <w:pPr>
              <w:pStyle w:val="Normal"/>
              <w:snapToGrid w:val="false"/>
              <w:jc w:val="center"/>
              <w:rPr>
                <w:rFonts w:cs="Arial"/>
                <w:b/>
                <w:bCs/>
                <w:sz w:val="22"/>
                <w:szCs w:val="22"/>
              </w:rPr>
            </w:pPr>
            <w:r>
              <w:rPr>
                <w:rFonts w:cs="Arial"/>
                <w:b/>
                <w:bCs/>
                <w:sz w:val="22"/>
                <w:szCs w:val="22"/>
              </w:rPr>
            </w:r>
          </w:p>
          <w:p>
            <w:pPr>
              <w:pStyle w:val="Normal"/>
              <w:jc w:val="center"/>
              <w:rPr>
                <w:rFonts w:cs="Arial"/>
                <w:b/>
                <w:bCs/>
                <w:sz w:val="22"/>
                <w:szCs w:val="22"/>
              </w:rPr>
            </w:pPr>
            <w:r>
              <w:rPr>
                <w:rFonts w:cs="Arial"/>
                <w:b/>
                <w:bCs/>
                <w:sz w:val="22"/>
                <w:szCs w:val="22"/>
              </w:rPr>
              <w:t xml:space="preserve">Selection criteria </w:t>
            </w:r>
          </w:p>
          <w:p>
            <w:pPr>
              <w:pStyle w:val="Normal"/>
              <w:jc w:val="center"/>
              <w:rPr>
                <w:rFonts w:cs="Arial"/>
                <w:b/>
                <w:bCs/>
                <w:sz w:val="22"/>
                <w:szCs w:val="22"/>
              </w:rPr>
            </w:pPr>
            <w:r>
              <w:rPr>
                <w:rFonts w:cs="Arial"/>
                <w:b/>
                <w:bCs/>
                <w:sz w:val="22"/>
                <w:szCs w:val="22"/>
              </w:rPr>
              <w:t>(Desirable)</w:t>
            </w:r>
          </w:p>
          <w:p>
            <w:pPr>
              <w:pStyle w:val="Normal"/>
              <w:jc w:val="center"/>
              <w:rPr>
                <w:rFonts w:cs="Arial"/>
                <w:b/>
                <w:bCs/>
                <w:sz w:val="22"/>
                <w:szCs w:val="22"/>
              </w:rPr>
            </w:pPr>
            <w:r>
              <w:rPr>
                <w:rFonts w:cs="Arial"/>
                <w:b/>
                <w:bCs/>
                <w:sz w:val="22"/>
                <w:szCs w:val="22"/>
              </w:rPr>
            </w:r>
          </w:p>
        </w:tc>
        <w:tc>
          <w:tcPr>
            <w:tcW w:w="1620" w:type="dxa"/>
            <w:tcBorders>
              <w:top w:val="single" w:sz="4" w:space="0" w:color="000000"/>
              <w:left w:val="single" w:sz="4" w:space="0" w:color="000000"/>
              <w:bottom w:val="single" w:sz="4" w:space="0" w:color="000000"/>
              <w:right w:val="single" w:sz="4" w:space="0" w:color="000000"/>
            </w:tcBorders>
            <w:shd w:fill="00B3BE" w:val="clear"/>
          </w:tcPr>
          <w:p>
            <w:pPr>
              <w:pStyle w:val="Normal"/>
              <w:snapToGrid w:val="false"/>
              <w:jc w:val="center"/>
              <w:rPr>
                <w:rFonts w:cs="Arial"/>
                <w:b/>
                <w:bCs/>
                <w:sz w:val="22"/>
                <w:szCs w:val="22"/>
              </w:rPr>
            </w:pPr>
            <w:r>
              <w:rPr>
                <w:rFonts w:cs="Arial"/>
                <w:b/>
                <w:bCs/>
                <w:sz w:val="22"/>
                <w:szCs w:val="22"/>
              </w:rPr>
            </w:r>
          </w:p>
          <w:p>
            <w:pPr>
              <w:pStyle w:val="Normal"/>
              <w:jc w:val="center"/>
              <w:rPr>
                <w:rFonts w:cs="Arial"/>
                <w:b/>
                <w:bCs/>
                <w:sz w:val="22"/>
                <w:szCs w:val="22"/>
              </w:rPr>
            </w:pPr>
            <w:r>
              <w:rPr>
                <w:rFonts w:cs="Arial"/>
                <w:b/>
                <w:bCs/>
                <w:sz w:val="22"/>
                <w:szCs w:val="22"/>
              </w:rPr>
              <w:t>How Assessed</w:t>
            </w:r>
          </w:p>
        </w:tc>
      </w:tr>
      <w:tr>
        <w:trPr/>
        <w:tc>
          <w:tcPr>
            <w:tcW w:w="1799" w:type="dxa"/>
            <w:tcBorders>
              <w:top w:val="single" w:sz="4" w:space="0" w:color="000000"/>
              <w:left w:val="single" w:sz="4" w:space="0" w:color="000000"/>
              <w:bottom w:val="single" w:sz="4" w:space="0" w:color="000000"/>
              <w:right w:val="single" w:sz="4" w:space="0" w:color="000000"/>
            </w:tcBorders>
            <w:shd w:fill="00B3BE" w:val="clear"/>
          </w:tcPr>
          <w:p>
            <w:pPr>
              <w:pStyle w:val="Normal"/>
              <w:snapToGrid w:val="false"/>
              <w:rPr>
                <w:rFonts w:cs="Arial"/>
                <w:b/>
                <w:bCs/>
                <w:sz w:val="22"/>
                <w:szCs w:val="22"/>
              </w:rPr>
            </w:pPr>
            <w:r>
              <w:rPr>
                <w:rFonts w:cs="Arial"/>
                <w:b/>
                <w:bCs/>
                <w:sz w:val="22"/>
                <w:szCs w:val="22"/>
              </w:rPr>
            </w:r>
          </w:p>
          <w:p>
            <w:pPr>
              <w:pStyle w:val="BodyText"/>
              <w:rPr>
                <w:rFonts w:cs="Arial"/>
                <w:bCs/>
                <w:szCs w:val="22"/>
              </w:rPr>
            </w:pPr>
            <w:r>
              <w:rPr>
                <w:rFonts w:cs="Arial"/>
                <w:bCs/>
                <w:szCs w:val="22"/>
              </w:rPr>
              <w:t>Education &amp; Qualifications</w:t>
            </w:r>
          </w:p>
          <w:p>
            <w:pPr>
              <w:pStyle w:val="Normal"/>
              <w:rPr>
                <w:rFonts w:cs="Arial"/>
                <w:b/>
                <w:bCs/>
                <w:sz w:val="22"/>
                <w:szCs w:val="22"/>
              </w:rPr>
            </w:pPr>
            <w:r>
              <w:rPr>
                <w:rFonts w:cs="Arial"/>
                <w:b/>
                <w:bCs/>
                <w:sz w:val="22"/>
                <w:szCs w:val="22"/>
              </w:rPr>
            </w:r>
          </w:p>
        </w:tc>
        <w:tc>
          <w:tcPr>
            <w:tcW w:w="3960" w:type="dxa"/>
            <w:tcBorders>
              <w:top w:val="single" w:sz="4" w:space="0" w:color="000000"/>
              <w:left w:val="single" w:sz="4" w:space="0" w:color="000000"/>
              <w:bottom w:val="single" w:sz="4" w:space="0" w:color="000000"/>
              <w:right w:val="single" w:sz="4" w:space="0" w:color="000000"/>
            </w:tcBorders>
          </w:tcPr>
          <w:p>
            <w:pPr>
              <w:pStyle w:val="Normal"/>
              <w:rPr>
                <w:rFonts w:cs="Arial"/>
                <w:sz w:val="22"/>
                <w:szCs w:val="22"/>
              </w:rPr>
            </w:pPr>
            <w:r>
              <w:rPr>
                <w:rFonts w:cs="Arial"/>
                <w:sz w:val="22"/>
                <w:szCs w:val="22"/>
              </w:rPr>
              <w:t>Relevant degree or other professional qualification e.g. Chartered Institute of Housing sufficient to meet the Competency and Conduct Standard (level 4 or above).</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t xml:space="preserve">Evidence of continued professional, managerial, and personal development. </w:t>
            </w:r>
          </w:p>
          <w:p>
            <w:pPr>
              <w:pStyle w:val="Header"/>
              <w:tabs>
                <w:tab w:val="clear" w:pos="4153"/>
                <w:tab w:val="clear" w:pos="8306"/>
              </w:tabs>
              <w:rPr>
                <w:rFonts w:cs="Arial"/>
                <w:szCs w:val="22"/>
              </w:rPr>
            </w:pPr>
            <w:r>
              <w:rPr>
                <w:rFonts w:cs="Arial"/>
                <w:szCs w:val="22"/>
              </w:rPr>
            </w:r>
          </w:p>
        </w:tc>
        <w:tc>
          <w:tcPr>
            <w:tcW w:w="3060" w:type="dxa"/>
            <w:tcBorders>
              <w:top w:val="single" w:sz="4" w:space="0" w:color="000000"/>
              <w:left w:val="single" w:sz="4" w:space="0" w:color="000000"/>
              <w:bottom w:val="single" w:sz="4" w:space="0" w:color="000000"/>
              <w:right w:val="single" w:sz="4" w:space="0" w:color="000000"/>
            </w:tcBorders>
          </w:tcPr>
          <w:p>
            <w:pPr>
              <w:pStyle w:val="Normal"/>
              <w:rPr>
                <w:rFonts w:cs="Arial"/>
                <w:sz w:val="22"/>
                <w:szCs w:val="22"/>
              </w:rPr>
            </w:pPr>
            <w:r>
              <w:rPr>
                <w:rFonts w:cs="Arial"/>
                <w:sz w:val="22"/>
                <w:szCs w:val="22"/>
              </w:rPr>
              <w:t>Leadership or Management qualification.</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t>Project Management qualification e.g. Prince 2.</w:t>
            </w:r>
          </w:p>
        </w:tc>
        <w:tc>
          <w:tcPr>
            <w:tcW w:w="1620" w:type="dxa"/>
            <w:tcBorders>
              <w:top w:val="single" w:sz="4" w:space="0" w:color="000000"/>
              <w:left w:val="single" w:sz="4" w:space="0" w:color="000000"/>
              <w:bottom w:val="single" w:sz="4" w:space="0" w:color="000000"/>
              <w:right w:val="single" w:sz="4" w:space="0" w:color="000000"/>
            </w:tcBorders>
          </w:tcPr>
          <w:p>
            <w:pPr>
              <w:pStyle w:val="Header"/>
              <w:tabs>
                <w:tab w:val="clear" w:pos="4153"/>
                <w:tab w:val="clear" w:pos="8306"/>
              </w:tabs>
              <w:jc w:val="center"/>
              <w:rPr>
                <w:rFonts w:cs="Arial"/>
                <w:szCs w:val="22"/>
              </w:rPr>
            </w:pPr>
            <w:r>
              <w:rPr>
                <w:rFonts w:cs="Arial"/>
                <w:szCs w:val="22"/>
              </w:rPr>
              <w:t>AF/I/C</w:t>
            </w:r>
          </w:p>
        </w:tc>
      </w:tr>
      <w:tr>
        <w:trPr/>
        <w:tc>
          <w:tcPr>
            <w:tcW w:w="1799" w:type="dxa"/>
            <w:tcBorders>
              <w:top w:val="single" w:sz="4" w:space="0" w:color="000000"/>
              <w:left w:val="single" w:sz="4" w:space="0" w:color="000000"/>
              <w:bottom w:val="single" w:sz="4" w:space="0" w:color="000000"/>
              <w:right w:val="single" w:sz="4" w:space="0" w:color="000000"/>
            </w:tcBorders>
            <w:shd w:fill="00B3BE" w:val="clear"/>
          </w:tcPr>
          <w:p>
            <w:pPr>
              <w:pStyle w:val="Normal"/>
              <w:snapToGrid w:val="false"/>
              <w:rPr>
                <w:rFonts w:cs="Arial"/>
                <w:b/>
                <w:bCs/>
                <w:sz w:val="22"/>
                <w:szCs w:val="22"/>
              </w:rPr>
            </w:pPr>
            <w:r>
              <w:rPr>
                <w:rFonts w:cs="Arial"/>
                <w:b/>
                <w:bCs/>
                <w:sz w:val="22"/>
                <w:szCs w:val="22"/>
              </w:rPr>
            </w:r>
          </w:p>
          <w:p>
            <w:pPr>
              <w:pStyle w:val="Normal"/>
              <w:rPr>
                <w:rFonts w:cs="Arial"/>
                <w:b/>
                <w:bCs/>
                <w:sz w:val="22"/>
                <w:szCs w:val="22"/>
              </w:rPr>
            </w:pPr>
            <w:r>
              <w:rPr>
                <w:rFonts w:cs="Arial"/>
                <w:b/>
                <w:bCs/>
                <w:sz w:val="22"/>
                <w:szCs w:val="22"/>
              </w:rPr>
              <w:t>Experience</w:t>
            </w:r>
          </w:p>
          <w:p>
            <w:pPr>
              <w:pStyle w:val="Normal"/>
              <w:rPr>
                <w:rFonts w:cs="Arial"/>
                <w:b/>
                <w:bCs/>
                <w:sz w:val="22"/>
                <w:szCs w:val="22"/>
              </w:rPr>
            </w:pPr>
            <w:r>
              <w:rPr>
                <w:rFonts w:cs="Arial"/>
                <w:b/>
                <w:bCs/>
                <w:sz w:val="22"/>
                <w:szCs w:val="22"/>
              </w:rPr>
            </w:r>
          </w:p>
        </w:tc>
        <w:tc>
          <w:tcPr>
            <w:tcW w:w="3960" w:type="dxa"/>
            <w:tcBorders>
              <w:top w:val="single" w:sz="4" w:space="0" w:color="000000"/>
              <w:left w:val="single" w:sz="4" w:space="0" w:color="000000"/>
              <w:bottom w:val="single" w:sz="4" w:space="0" w:color="000000"/>
              <w:right w:val="single" w:sz="4" w:space="0" w:color="000000"/>
            </w:tcBorders>
          </w:tcPr>
          <w:p>
            <w:pPr>
              <w:pStyle w:val="Normal"/>
              <w:rPr>
                <w:rFonts w:cs="Arial"/>
                <w:sz w:val="22"/>
                <w:szCs w:val="22"/>
              </w:rPr>
            </w:pPr>
            <w:r>
              <w:rPr>
                <w:rFonts w:cs="Arial"/>
                <w:sz w:val="22"/>
                <w:szCs w:val="22"/>
              </w:rPr>
              <w:t>Experience of managing and motivating professional, technical and administrative staff.</w:t>
            </w:r>
          </w:p>
          <w:p>
            <w:pPr>
              <w:pStyle w:val="Normal"/>
              <w:rPr>
                <w:rFonts w:cs="Arial"/>
                <w:sz w:val="22"/>
                <w:szCs w:val="22"/>
              </w:rPr>
            </w:pPr>
            <w:r>
              <w:rPr>
                <w:rFonts w:cs="Arial"/>
                <w:sz w:val="22"/>
                <w:szCs w:val="22"/>
              </w:rPr>
            </w:r>
          </w:p>
          <w:p>
            <w:pPr>
              <w:pStyle w:val="Default"/>
              <w:rPr>
                <w:color w:val="auto"/>
                <w:sz w:val="22"/>
                <w:szCs w:val="22"/>
              </w:rPr>
            </w:pPr>
            <w:r>
              <w:rPr>
                <w:color w:val="auto"/>
                <w:sz w:val="22"/>
                <w:szCs w:val="22"/>
              </w:rPr>
              <w:t xml:space="preserve">Experience of working in partnership with a wide range of stakeholders including engaging with vulnerable and hard to reach groups and elected members. </w:t>
            </w:r>
          </w:p>
          <w:p>
            <w:pPr>
              <w:pStyle w:val="Default"/>
              <w:rPr>
                <w:color w:val="auto"/>
                <w:sz w:val="22"/>
                <w:szCs w:val="22"/>
              </w:rPr>
            </w:pPr>
            <w:r>
              <w:rPr>
                <w:color w:val="auto"/>
                <w:sz w:val="22"/>
                <w:szCs w:val="22"/>
              </w:rPr>
            </w:r>
          </w:p>
          <w:p>
            <w:pPr>
              <w:pStyle w:val="Default"/>
              <w:rPr>
                <w:color w:val="auto"/>
                <w:sz w:val="22"/>
                <w:szCs w:val="22"/>
              </w:rPr>
            </w:pPr>
            <w:r>
              <w:rPr>
                <w:color w:val="auto"/>
                <w:sz w:val="22"/>
                <w:szCs w:val="22"/>
              </w:rPr>
              <w:t xml:space="preserve">Experience of managing a wide range of very high value long-term contracts including budget management ensuring projects are delivered on time, to a high standard achieving outcomes, and value for money.  </w:t>
            </w:r>
          </w:p>
          <w:p>
            <w:pPr>
              <w:pStyle w:val="Default"/>
              <w:rPr>
                <w:color w:val="auto"/>
                <w:sz w:val="22"/>
                <w:szCs w:val="22"/>
              </w:rPr>
            </w:pPr>
            <w:r>
              <w:rPr>
                <w:color w:val="auto"/>
                <w:sz w:val="22"/>
                <w:szCs w:val="22"/>
              </w:rPr>
            </w:r>
          </w:p>
          <w:p>
            <w:pPr>
              <w:pStyle w:val="ListParagraph"/>
              <w:spacing w:lineRule="auto" w:line="240" w:before="0" w:after="240"/>
              <w:ind w:left="0" w:right="0"/>
              <w:contextualSpacing/>
              <w:rPr>
                <w:rFonts w:ascii="Arial" w:hAnsi="Arial" w:eastAsia="Times New Roman" w:cs="Arial"/>
              </w:rPr>
            </w:pPr>
            <w:r>
              <w:rPr>
                <w:rFonts w:eastAsia="Times New Roman" w:cs="Arial" w:ascii="Arial" w:hAnsi="Arial"/>
              </w:rPr>
              <w:t xml:space="preserve">Experience of leading housing compliance, governance, assurance or regulatory functions. </w:t>
            </w:r>
          </w:p>
          <w:p>
            <w:pPr>
              <w:pStyle w:val="ListParagraph"/>
              <w:spacing w:lineRule="auto" w:line="240" w:before="0" w:after="240"/>
              <w:ind w:left="0" w:right="0"/>
              <w:contextualSpacing/>
              <w:rPr/>
            </w:pPr>
            <w:r>
              <w:rPr>
                <w:rFonts w:eastAsia="Times New Roman" w:cs="Arial" w:ascii="Arial" w:hAnsi="Arial"/>
              </w:rPr>
              <w:t>Experience of designing and implementing audit and self- assessment processes</w:t>
            </w:r>
            <w:r>
              <w:rPr>
                <w:rFonts w:cs="Arial" w:ascii="Arial" w:hAnsi="Arial"/>
              </w:rPr>
              <w:t xml:space="preserve"> </w:t>
            </w:r>
          </w:p>
          <w:p>
            <w:pPr>
              <w:pStyle w:val="Normal"/>
              <w:rPr>
                <w:rFonts w:cs="Arial"/>
                <w:sz w:val="22"/>
                <w:szCs w:val="22"/>
              </w:rPr>
            </w:pPr>
            <w:r>
              <w:rPr>
                <w:rFonts w:cs="Arial"/>
                <w:sz w:val="22"/>
                <w:szCs w:val="22"/>
              </w:rPr>
            </w:r>
          </w:p>
        </w:tc>
        <w:tc>
          <w:tcPr>
            <w:tcW w:w="3060" w:type="dxa"/>
            <w:tcBorders>
              <w:top w:val="single" w:sz="4" w:space="0" w:color="000000"/>
              <w:left w:val="single" w:sz="4" w:space="0" w:color="000000"/>
              <w:bottom w:val="single" w:sz="4" w:space="0" w:color="000000"/>
              <w:right w:val="single" w:sz="4" w:space="0" w:color="000000"/>
            </w:tcBorders>
          </w:tcPr>
          <w:p>
            <w:pPr>
              <w:pStyle w:val="Normal"/>
              <w:snapToGrid w:val="false"/>
              <w:rPr>
                <w:rFonts w:cs="Arial"/>
                <w:sz w:val="22"/>
                <w:szCs w:val="22"/>
              </w:rPr>
            </w:pPr>
            <w:r>
              <w:rPr>
                <w:rFonts w:cs="Arial"/>
                <w:sz w:val="22"/>
                <w:szCs w:val="22"/>
              </w:rPr>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p>
            <w:pPr>
              <w:pStyle w:val="ListParagraph"/>
              <w:spacing w:lineRule="auto" w:line="240" w:before="0" w:after="240"/>
              <w:ind w:left="0" w:right="0"/>
              <w:contextualSpacing/>
              <w:rPr>
                <w:rFonts w:ascii="Arial" w:hAnsi="Arial" w:eastAsia="Times New Roman" w:cs="Arial"/>
              </w:rPr>
            </w:pPr>
            <w:r>
              <w:rPr>
                <w:rFonts w:eastAsia="Times New Roman" w:cs="Arial" w:ascii="Arial" w:hAnsi="Arial"/>
              </w:rPr>
              <w:t>Experience of RSH Inspections</w:t>
            </w:r>
          </w:p>
          <w:p>
            <w:pPr>
              <w:pStyle w:val="Normal"/>
              <w:rPr>
                <w:rFonts w:cs="Arial"/>
                <w:sz w:val="22"/>
                <w:szCs w:val="22"/>
              </w:rPr>
            </w:pPr>
            <w:r>
              <w:rPr>
                <w:rFonts w:cs="Arial"/>
                <w:sz w:val="22"/>
                <w:szCs w:val="22"/>
              </w:rPr>
            </w:r>
          </w:p>
        </w:tc>
        <w:tc>
          <w:tcPr>
            <w:tcW w:w="1620" w:type="dxa"/>
            <w:tcBorders>
              <w:top w:val="single" w:sz="4" w:space="0" w:color="000000"/>
              <w:left w:val="single" w:sz="4" w:space="0" w:color="000000"/>
              <w:bottom w:val="single" w:sz="4" w:space="0" w:color="000000"/>
              <w:right w:val="single" w:sz="4" w:space="0" w:color="000000"/>
            </w:tcBorders>
          </w:tcPr>
          <w:p>
            <w:pPr>
              <w:pStyle w:val="Normal"/>
              <w:jc w:val="center"/>
              <w:rPr>
                <w:rFonts w:cs="Arial"/>
                <w:sz w:val="22"/>
                <w:szCs w:val="22"/>
              </w:rPr>
            </w:pPr>
            <w:r>
              <w:rPr>
                <w:rFonts w:cs="Arial"/>
                <w:sz w:val="22"/>
                <w:szCs w:val="22"/>
              </w:rPr>
              <w:t>AF / I</w:t>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t>AF / I</w:t>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rPr>
                <w:rFonts w:cs="Arial"/>
                <w:sz w:val="22"/>
                <w:szCs w:val="22"/>
              </w:rPr>
            </w:pPr>
            <w:r>
              <w:rPr>
                <w:rFonts w:cs="Arial"/>
                <w:sz w:val="22"/>
                <w:szCs w:val="22"/>
              </w:rPr>
            </w:r>
          </w:p>
          <w:p>
            <w:pPr>
              <w:pStyle w:val="Normal"/>
              <w:jc w:val="center"/>
              <w:rPr>
                <w:rFonts w:cs="Arial"/>
                <w:sz w:val="22"/>
                <w:szCs w:val="22"/>
              </w:rPr>
            </w:pPr>
            <w:r>
              <w:rPr>
                <w:rFonts w:cs="Arial"/>
                <w:sz w:val="22"/>
                <w:szCs w:val="22"/>
              </w:rPr>
              <w:t>AF / I</w:t>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t>AF / I</w:t>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t>AF / I</w:t>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tc>
      </w:tr>
      <w:tr>
        <w:trPr/>
        <w:tc>
          <w:tcPr>
            <w:tcW w:w="1799" w:type="dxa"/>
            <w:tcBorders>
              <w:top w:val="single" w:sz="4" w:space="0" w:color="000000"/>
              <w:left w:val="single" w:sz="4" w:space="0" w:color="000000"/>
              <w:bottom w:val="single" w:sz="4" w:space="0" w:color="000000"/>
              <w:right w:val="single" w:sz="4" w:space="0" w:color="000000"/>
            </w:tcBorders>
            <w:shd w:fill="00B3BE" w:val="clear"/>
          </w:tcPr>
          <w:p>
            <w:pPr>
              <w:pStyle w:val="Normal"/>
              <w:snapToGrid w:val="false"/>
              <w:rPr>
                <w:rFonts w:cs="Arial"/>
                <w:b/>
                <w:bCs/>
                <w:sz w:val="22"/>
                <w:szCs w:val="22"/>
              </w:rPr>
            </w:pPr>
            <w:r>
              <w:rPr>
                <w:rFonts w:cs="Arial"/>
                <w:b/>
                <w:bCs/>
                <w:sz w:val="22"/>
                <w:szCs w:val="22"/>
              </w:rPr>
            </w:r>
          </w:p>
          <w:p>
            <w:pPr>
              <w:pStyle w:val="Normal"/>
              <w:rPr>
                <w:rFonts w:cs="Arial"/>
                <w:b/>
                <w:bCs/>
                <w:sz w:val="22"/>
                <w:szCs w:val="22"/>
              </w:rPr>
            </w:pPr>
            <w:r>
              <w:rPr>
                <w:rFonts w:cs="Arial"/>
                <w:b/>
                <w:bCs/>
                <w:sz w:val="22"/>
                <w:szCs w:val="22"/>
              </w:rPr>
              <w:t>Skills &amp; Abilities</w:t>
            </w:r>
          </w:p>
          <w:p>
            <w:pPr>
              <w:pStyle w:val="Normal"/>
              <w:rPr>
                <w:rFonts w:cs="Arial"/>
                <w:b/>
                <w:bCs/>
                <w:sz w:val="22"/>
                <w:szCs w:val="22"/>
              </w:rPr>
            </w:pPr>
            <w:r>
              <w:rPr>
                <w:rFonts w:cs="Arial"/>
                <w:b/>
                <w:bCs/>
                <w:sz w:val="22"/>
                <w:szCs w:val="22"/>
              </w:rPr>
            </w:r>
          </w:p>
        </w:tc>
        <w:tc>
          <w:tcPr>
            <w:tcW w:w="3960" w:type="dxa"/>
            <w:tcBorders>
              <w:top w:val="single" w:sz="4" w:space="0" w:color="000000"/>
              <w:left w:val="single" w:sz="4" w:space="0" w:color="000000"/>
              <w:bottom w:val="single" w:sz="4" w:space="0" w:color="000000"/>
              <w:right w:val="single" w:sz="4" w:space="0" w:color="000000"/>
            </w:tcBorders>
          </w:tcPr>
          <w:p>
            <w:pPr>
              <w:pStyle w:val="Normal"/>
              <w:rPr>
                <w:rFonts w:cs="Arial"/>
                <w:sz w:val="22"/>
                <w:szCs w:val="22"/>
              </w:rPr>
            </w:pPr>
            <w:r>
              <w:rPr>
                <w:rFonts w:cs="Arial"/>
                <w:sz w:val="22"/>
                <w:szCs w:val="22"/>
              </w:rPr>
              <w:t xml:space="preserve">Ability to effectively manage, develop, instruct and motivate staff. </w:t>
            </w:r>
          </w:p>
          <w:p>
            <w:pPr>
              <w:pStyle w:val="Normal"/>
              <w:rPr>
                <w:rFonts w:cs="Arial"/>
                <w:sz w:val="22"/>
                <w:szCs w:val="22"/>
              </w:rPr>
            </w:pPr>
            <w:r>
              <w:rPr>
                <w:rFonts w:cs="Arial"/>
                <w:sz w:val="22"/>
                <w:szCs w:val="22"/>
              </w:rPr>
            </w:r>
          </w:p>
          <w:p>
            <w:pPr>
              <w:pStyle w:val="Default"/>
              <w:rPr>
                <w:color w:val="auto"/>
                <w:sz w:val="22"/>
                <w:szCs w:val="22"/>
              </w:rPr>
            </w:pPr>
            <w:r>
              <w:rPr>
                <w:color w:val="auto"/>
                <w:sz w:val="22"/>
                <w:szCs w:val="22"/>
              </w:rPr>
              <w:t>Excellent communication skills, including highly developed negotiation and persuading skills both orally and in writing and with the skills to deliver information and presentations to a variety of audiences, including senior managers and politicians.</w:t>
            </w:r>
          </w:p>
          <w:p>
            <w:pPr>
              <w:pStyle w:val="Default"/>
              <w:rPr>
                <w:color w:val="auto"/>
                <w:sz w:val="22"/>
                <w:szCs w:val="22"/>
              </w:rPr>
            </w:pPr>
            <w:r>
              <w:rPr>
                <w:color w:val="auto"/>
                <w:sz w:val="22"/>
                <w:szCs w:val="22"/>
              </w:rPr>
            </w:r>
          </w:p>
          <w:p>
            <w:pPr>
              <w:pStyle w:val="Normal"/>
              <w:rPr>
                <w:rFonts w:cs="Arial"/>
                <w:sz w:val="22"/>
                <w:szCs w:val="22"/>
              </w:rPr>
            </w:pPr>
            <w:r>
              <w:rPr>
                <w:rFonts w:cs="Arial"/>
                <w:sz w:val="22"/>
                <w:szCs w:val="22"/>
              </w:rPr>
              <w:t>Well-developed project and programme management skills, including the ability to prioritise, manage budgets and resources including developing project plans, risk registers, and technical service specifications.</w:t>
            </w:r>
          </w:p>
          <w:p>
            <w:pPr>
              <w:pStyle w:val="Normal"/>
              <w:rPr>
                <w:rFonts w:cs="Arial"/>
                <w:sz w:val="22"/>
                <w:szCs w:val="22"/>
              </w:rPr>
            </w:pPr>
            <w:r>
              <w:rPr>
                <w:rFonts w:cs="Arial"/>
                <w:sz w:val="22"/>
                <w:szCs w:val="22"/>
              </w:rPr>
            </w:r>
          </w:p>
          <w:p>
            <w:pPr>
              <w:pStyle w:val="Default"/>
              <w:rPr>
                <w:color w:val="auto"/>
                <w:sz w:val="22"/>
                <w:szCs w:val="22"/>
              </w:rPr>
            </w:pPr>
            <w:r>
              <w:rPr>
                <w:color w:val="auto"/>
                <w:sz w:val="22"/>
                <w:szCs w:val="22"/>
              </w:rPr>
              <w:t xml:space="preserve">Ability to write and make high value funding bids to help deliver the housing delivery programme. </w:t>
            </w:r>
          </w:p>
          <w:p>
            <w:pPr>
              <w:pStyle w:val="Default"/>
              <w:rPr>
                <w:color w:val="auto"/>
                <w:sz w:val="22"/>
                <w:szCs w:val="22"/>
              </w:rPr>
            </w:pPr>
            <w:r>
              <w:rPr>
                <w:color w:val="auto"/>
                <w:sz w:val="22"/>
                <w:szCs w:val="22"/>
              </w:rPr>
            </w:r>
          </w:p>
          <w:p>
            <w:pPr>
              <w:pStyle w:val="Normal"/>
              <w:rPr>
                <w:rFonts w:cs="Arial"/>
                <w:sz w:val="22"/>
                <w:szCs w:val="22"/>
              </w:rPr>
            </w:pPr>
            <w:r>
              <w:rPr>
                <w:rFonts w:cs="Arial"/>
                <w:sz w:val="22"/>
                <w:szCs w:val="22"/>
              </w:rPr>
              <w:t>Ability to manage high value long-term contracts of a diverse nature.</w:t>
            </w:r>
          </w:p>
          <w:p>
            <w:pPr>
              <w:pStyle w:val="Default"/>
              <w:rPr>
                <w:color w:val="auto"/>
                <w:sz w:val="22"/>
                <w:szCs w:val="22"/>
              </w:rPr>
            </w:pPr>
            <w:r>
              <w:rPr>
                <w:color w:val="auto"/>
                <w:sz w:val="22"/>
                <w:szCs w:val="22"/>
              </w:rPr>
            </w:r>
          </w:p>
          <w:p>
            <w:pPr>
              <w:pStyle w:val="Default"/>
              <w:rPr>
                <w:color w:val="auto"/>
                <w:sz w:val="22"/>
                <w:szCs w:val="22"/>
              </w:rPr>
            </w:pPr>
            <w:r>
              <w:rPr>
                <w:color w:val="auto"/>
                <w:sz w:val="22"/>
                <w:szCs w:val="22"/>
              </w:rPr>
              <w:t xml:space="preserve">Ability to manage competing demands and organise the work of yourself and others. </w:t>
            </w:r>
          </w:p>
          <w:p>
            <w:pPr>
              <w:pStyle w:val="Default"/>
              <w:rPr>
                <w:color w:val="auto"/>
                <w:sz w:val="22"/>
                <w:szCs w:val="22"/>
              </w:rPr>
            </w:pPr>
            <w:r>
              <w:rPr>
                <w:color w:val="auto"/>
                <w:sz w:val="22"/>
                <w:szCs w:val="22"/>
              </w:rPr>
            </w:r>
          </w:p>
        </w:tc>
        <w:tc>
          <w:tcPr>
            <w:tcW w:w="3060" w:type="dxa"/>
            <w:tcBorders>
              <w:top w:val="single" w:sz="4" w:space="0" w:color="000000"/>
              <w:left w:val="single" w:sz="4" w:space="0" w:color="000000"/>
              <w:bottom w:val="single" w:sz="4" w:space="0" w:color="000000"/>
              <w:right w:val="single" w:sz="4" w:space="0" w:color="000000"/>
            </w:tcBorders>
          </w:tcPr>
          <w:p>
            <w:pPr>
              <w:pStyle w:val="Normal"/>
              <w:rPr>
                <w:rFonts w:cs="Arial"/>
                <w:sz w:val="22"/>
                <w:szCs w:val="22"/>
              </w:rPr>
            </w:pPr>
            <w:r>
              <w:rPr>
                <w:rFonts w:cs="Arial"/>
                <w:sz w:val="22"/>
                <w:szCs w:val="22"/>
              </w:rPr>
              <w:t>Ability to use IMS for the purpose of submitting funding bids to Homes England</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tc>
        <w:tc>
          <w:tcPr>
            <w:tcW w:w="1620" w:type="dxa"/>
            <w:tcBorders>
              <w:top w:val="single" w:sz="4" w:space="0" w:color="000000"/>
              <w:left w:val="single" w:sz="4" w:space="0" w:color="000000"/>
              <w:bottom w:val="single" w:sz="4" w:space="0" w:color="000000"/>
              <w:right w:val="single" w:sz="4" w:space="0" w:color="000000"/>
            </w:tcBorders>
          </w:tcPr>
          <w:p>
            <w:pPr>
              <w:pStyle w:val="Normal"/>
              <w:jc w:val="center"/>
              <w:rPr>
                <w:rFonts w:cs="Arial"/>
                <w:sz w:val="22"/>
                <w:szCs w:val="22"/>
              </w:rPr>
            </w:pPr>
            <w:r>
              <w:rPr>
                <w:rFonts w:cs="Arial"/>
                <w:sz w:val="22"/>
                <w:szCs w:val="22"/>
              </w:rPr>
              <w:t>AF / I</w:t>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t>AF / I</w:t>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t>AF / I</w:t>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t>AF / I</w:t>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t>AF / I</w:t>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t>AF / I</w:t>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tc>
      </w:tr>
      <w:tr>
        <w:trPr/>
        <w:tc>
          <w:tcPr>
            <w:tcW w:w="1799" w:type="dxa"/>
            <w:tcBorders>
              <w:top w:val="single" w:sz="4" w:space="0" w:color="000000"/>
              <w:left w:val="single" w:sz="4" w:space="0" w:color="000000"/>
              <w:bottom w:val="single" w:sz="4" w:space="0" w:color="000000"/>
              <w:right w:val="single" w:sz="4" w:space="0" w:color="000000"/>
            </w:tcBorders>
            <w:shd w:fill="00B3BE" w:val="clear"/>
          </w:tcPr>
          <w:p>
            <w:pPr>
              <w:pStyle w:val="Normal"/>
              <w:snapToGrid w:val="false"/>
              <w:rPr>
                <w:rFonts w:cs="Arial"/>
                <w:b/>
                <w:bCs/>
                <w:sz w:val="22"/>
                <w:szCs w:val="22"/>
              </w:rPr>
            </w:pPr>
            <w:r>
              <w:rPr>
                <w:rFonts w:cs="Arial"/>
                <w:b/>
                <w:bCs/>
                <w:sz w:val="22"/>
                <w:szCs w:val="22"/>
              </w:rPr>
            </w:r>
          </w:p>
          <w:p>
            <w:pPr>
              <w:pStyle w:val="Normal"/>
              <w:rPr>
                <w:rFonts w:cs="Arial"/>
                <w:b/>
                <w:bCs/>
                <w:sz w:val="22"/>
                <w:szCs w:val="22"/>
              </w:rPr>
            </w:pPr>
            <w:r>
              <w:rPr>
                <w:rFonts w:cs="Arial"/>
                <w:b/>
                <w:bCs/>
                <w:sz w:val="22"/>
                <w:szCs w:val="22"/>
              </w:rPr>
              <w:t>Knowledge</w:t>
            </w:r>
          </w:p>
          <w:p>
            <w:pPr>
              <w:pStyle w:val="Normal"/>
              <w:rPr>
                <w:rFonts w:cs="Arial"/>
                <w:b/>
                <w:bCs/>
                <w:sz w:val="22"/>
                <w:szCs w:val="22"/>
              </w:rPr>
            </w:pPr>
            <w:r>
              <w:rPr>
                <w:rFonts w:cs="Arial"/>
                <w:b/>
                <w:bCs/>
                <w:sz w:val="22"/>
                <w:szCs w:val="22"/>
              </w:rPr>
            </w:r>
          </w:p>
        </w:tc>
        <w:tc>
          <w:tcPr>
            <w:tcW w:w="3960" w:type="dxa"/>
            <w:tcBorders>
              <w:top w:val="single" w:sz="4" w:space="0" w:color="000000"/>
              <w:left w:val="single" w:sz="4" w:space="0" w:color="000000"/>
              <w:bottom w:val="single" w:sz="4" w:space="0" w:color="000000"/>
              <w:right w:val="single" w:sz="4" w:space="0" w:color="000000"/>
            </w:tcBorders>
          </w:tcPr>
          <w:p>
            <w:pPr>
              <w:pStyle w:val="Default"/>
              <w:rPr>
                <w:color w:val="auto"/>
                <w:sz w:val="22"/>
                <w:szCs w:val="22"/>
              </w:rPr>
            </w:pPr>
            <w:r>
              <w:rPr>
                <w:color w:val="auto"/>
                <w:sz w:val="22"/>
                <w:szCs w:val="22"/>
              </w:rPr>
              <w:t xml:space="preserve">Knowledge of key housing, planning and development issues at national and local levels. </w:t>
            </w:r>
          </w:p>
          <w:p>
            <w:pPr>
              <w:pStyle w:val="Default"/>
              <w:rPr>
                <w:color w:val="auto"/>
                <w:sz w:val="22"/>
                <w:szCs w:val="22"/>
              </w:rPr>
            </w:pPr>
            <w:r>
              <w:rPr>
                <w:color w:val="auto"/>
                <w:sz w:val="22"/>
                <w:szCs w:val="22"/>
              </w:rPr>
            </w:r>
          </w:p>
          <w:p>
            <w:pPr>
              <w:pStyle w:val="Default"/>
              <w:rPr>
                <w:color w:val="auto"/>
                <w:sz w:val="22"/>
                <w:szCs w:val="22"/>
              </w:rPr>
            </w:pPr>
            <w:r>
              <w:rPr>
                <w:color w:val="auto"/>
                <w:sz w:val="22"/>
                <w:szCs w:val="22"/>
              </w:rPr>
              <w:t>Knowledge and understanding of the legislative requirements surrounding building and fire safety to ensure compliance for of the Council’s HRA stock.</w:t>
            </w:r>
          </w:p>
          <w:p>
            <w:pPr>
              <w:pStyle w:val="Default"/>
              <w:rPr>
                <w:color w:val="auto"/>
                <w:sz w:val="22"/>
                <w:szCs w:val="22"/>
              </w:rPr>
            </w:pPr>
            <w:r>
              <w:rPr>
                <w:color w:val="auto"/>
                <w:sz w:val="22"/>
                <w:szCs w:val="22"/>
              </w:rPr>
            </w:r>
          </w:p>
          <w:p>
            <w:pPr>
              <w:pStyle w:val="Default"/>
              <w:rPr>
                <w:color w:val="auto"/>
                <w:sz w:val="22"/>
                <w:szCs w:val="22"/>
              </w:rPr>
            </w:pPr>
            <w:r>
              <w:rPr>
                <w:color w:val="auto"/>
                <w:sz w:val="22"/>
                <w:szCs w:val="22"/>
              </w:rPr>
              <w:t>Knowledge and understanding of PFI housing funding and contractual related issues.</w:t>
            </w:r>
          </w:p>
          <w:p>
            <w:pPr>
              <w:pStyle w:val="Normal"/>
              <w:rPr>
                <w:rFonts w:cs="Arial"/>
                <w:sz w:val="22"/>
                <w:szCs w:val="22"/>
              </w:rPr>
            </w:pPr>
            <w:r>
              <w:rPr>
                <w:rFonts w:cs="Arial"/>
                <w:sz w:val="22"/>
                <w:szCs w:val="22"/>
              </w:rPr>
            </w:r>
          </w:p>
          <w:p>
            <w:pPr>
              <w:pStyle w:val="Default"/>
              <w:rPr>
                <w:color w:val="auto"/>
                <w:sz w:val="22"/>
                <w:szCs w:val="22"/>
              </w:rPr>
            </w:pPr>
            <w:r>
              <w:rPr>
                <w:color w:val="auto"/>
                <w:sz w:val="22"/>
                <w:szCs w:val="22"/>
              </w:rPr>
              <w:t xml:space="preserve">Knowledge and understanding of the principles of performance management and quality standards including Best Value and Best Consideration. </w:t>
            </w:r>
          </w:p>
          <w:p>
            <w:pPr>
              <w:pStyle w:val="Default"/>
              <w:rPr>
                <w:color w:val="auto"/>
                <w:sz w:val="22"/>
                <w:szCs w:val="22"/>
              </w:rPr>
            </w:pPr>
            <w:r>
              <w:rPr>
                <w:color w:val="auto"/>
                <w:sz w:val="22"/>
                <w:szCs w:val="22"/>
              </w:rPr>
            </w:r>
          </w:p>
          <w:p>
            <w:pPr>
              <w:pStyle w:val="Normal"/>
              <w:rPr>
                <w:rFonts w:cs="Arial"/>
                <w:sz w:val="22"/>
                <w:szCs w:val="22"/>
              </w:rPr>
            </w:pPr>
            <w:r>
              <w:rPr>
                <w:rFonts w:cs="Arial"/>
                <w:sz w:val="22"/>
                <w:szCs w:val="22"/>
              </w:rPr>
              <w:t xml:space="preserve">Knowledge and understanding of procurement (PCR processes, financial regulations and contract standing orders) with regard to planning, tendering, evaluating and selecting. </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t>Knowledge and understanding of Affordable Warmth, Fuel Poverty, Housing and Health, and Housing Retrofit issues, opportunities, policies, programmes, and legislative developments</w:t>
            </w:r>
          </w:p>
          <w:p>
            <w:pPr>
              <w:pStyle w:val="Default"/>
              <w:rPr>
                <w:color w:val="auto"/>
                <w:sz w:val="22"/>
                <w:szCs w:val="22"/>
              </w:rPr>
            </w:pPr>
            <w:r>
              <w:rPr>
                <w:color w:val="auto"/>
                <w:sz w:val="22"/>
                <w:szCs w:val="22"/>
              </w:rPr>
            </w:r>
          </w:p>
          <w:p>
            <w:pPr>
              <w:pStyle w:val="Normal"/>
              <w:rPr>
                <w:rFonts w:cs="Arial"/>
                <w:sz w:val="22"/>
                <w:szCs w:val="22"/>
              </w:rPr>
            </w:pPr>
            <w:r>
              <w:rPr>
                <w:rFonts w:cs="Arial"/>
                <w:sz w:val="22"/>
                <w:szCs w:val="22"/>
              </w:rPr>
              <w:t xml:space="preserve">Knowledge of the methods for public consultation and participation. </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t>Knowledge and thorough understanding of the requirements of the Regulatory Consumer Standards</w:t>
            </w:r>
          </w:p>
        </w:tc>
        <w:tc>
          <w:tcPr>
            <w:tcW w:w="3060" w:type="dxa"/>
            <w:tcBorders>
              <w:top w:val="single" w:sz="4" w:space="0" w:color="000000"/>
              <w:left w:val="single" w:sz="4" w:space="0" w:color="000000"/>
              <w:bottom w:val="single" w:sz="4" w:space="0" w:color="000000"/>
              <w:right w:val="single" w:sz="4" w:space="0" w:color="000000"/>
            </w:tcBorders>
          </w:tcPr>
          <w:p>
            <w:pPr>
              <w:pStyle w:val="Normal"/>
              <w:snapToGrid w:val="false"/>
              <w:rPr>
                <w:rFonts w:cs="Arial"/>
                <w:sz w:val="22"/>
                <w:szCs w:val="22"/>
              </w:rPr>
            </w:pPr>
            <w:r>
              <w:rPr>
                <w:rFonts w:cs="Arial"/>
                <w:sz w:val="22"/>
                <w:szCs w:val="22"/>
              </w:rPr>
            </w:r>
          </w:p>
        </w:tc>
        <w:tc>
          <w:tcPr>
            <w:tcW w:w="1620" w:type="dxa"/>
            <w:tcBorders>
              <w:top w:val="single" w:sz="4" w:space="0" w:color="000000"/>
              <w:left w:val="single" w:sz="4" w:space="0" w:color="000000"/>
              <w:bottom w:val="single" w:sz="4" w:space="0" w:color="000000"/>
              <w:right w:val="single" w:sz="4" w:space="0" w:color="000000"/>
            </w:tcBorders>
          </w:tcPr>
          <w:p>
            <w:pPr>
              <w:pStyle w:val="Normal"/>
              <w:jc w:val="center"/>
              <w:rPr>
                <w:rFonts w:cs="Arial"/>
                <w:sz w:val="22"/>
                <w:szCs w:val="22"/>
              </w:rPr>
            </w:pPr>
            <w:r>
              <w:rPr>
                <w:rFonts w:cs="Arial"/>
                <w:sz w:val="22"/>
                <w:szCs w:val="22"/>
              </w:rPr>
              <w:t>AF / I</w:t>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t>AF / I</w:t>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t>AF / I</w:t>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t>AF / I</w:t>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t>AF / I</w:t>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t>AF / I</w:t>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t>AF / I</w:t>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t>AF / I</w:t>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tc>
      </w:tr>
      <w:tr>
        <w:trPr/>
        <w:tc>
          <w:tcPr>
            <w:tcW w:w="1799" w:type="dxa"/>
            <w:tcBorders>
              <w:top w:val="single" w:sz="4" w:space="0" w:color="000000"/>
              <w:left w:val="single" w:sz="4" w:space="0" w:color="000000"/>
              <w:bottom w:val="single" w:sz="4" w:space="0" w:color="000000"/>
              <w:right w:val="single" w:sz="4" w:space="0" w:color="000000"/>
            </w:tcBorders>
            <w:shd w:fill="00B3BE" w:val="clear"/>
          </w:tcPr>
          <w:p>
            <w:pPr>
              <w:pStyle w:val="Normal"/>
              <w:snapToGrid w:val="false"/>
              <w:rPr>
                <w:rFonts w:cs="Arial"/>
                <w:b/>
                <w:bCs/>
                <w:sz w:val="22"/>
                <w:szCs w:val="22"/>
              </w:rPr>
            </w:pPr>
            <w:r>
              <w:rPr>
                <w:rFonts w:cs="Arial"/>
                <w:b/>
                <w:bCs/>
                <w:sz w:val="22"/>
                <w:szCs w:val="22"/>
              </w:rPr>
            </w:r>
          </w:p>
          <w:p>
            <w:pPr>
              <w:pStyle w:val="BodyText"/>
              <w:rPr>
                <w:rFonts w:cs="Arial"/>
                <w:bCs/>
                <w:szCs w:val="22"/>
              </w:rPr>
            </w:pPr>
            <w:r>
              <w:rPr>
                <w:rFonts w:cs="Arial"/>
                <w:bCs/>
                <w:szCs w:val="22"/>
              </w:rPr>
              <w:t>Work Circumstances</w:t>
            </w:r>
          </w:p>
          <w:p>
            <w:pPr>
              <w:pStyle w:val="Normal"/>
              <w:rPr>
                <w:rFonts w:cs="Arial"/>
                <w:b/>
                <w:bCs/>
                <w:sz w:val="22"/>
                <w:szCs w:val="22"/>
              </w:rPr>
            </w:pPr>
            <w:r>
              <w:rPr>
                <w:rFonts w:cs="Arial"/>
                <w:b/>
                <w:bCs/>
                <w:sz w:val="22"/>
                <w:szCs w:val="22"/>
              </w:rPr>
            </w:r>
          </w:p>
        </w:tc>
        <w:tc>
          <w:tcPr>
            <w:tcW w:w="3960" w:type="dxa"/>
            <w:tcBorders>
              <w:top w:val="single" w:sz="4" w:space="0" w:color="000000"/>
              <w:left w:val="single" w:sz="4" w:space="0" w:color="000000"/>
              <w:bottom w:val="single" w:sz="4" w:space="0" w:color="000000"/>
              <w:right w:val="single" w:sz="4" w:space="0" w:color="000000"/>
            </w:tcBorders>
          </w:tcPr>
          <w:p>
            <w:pPr>
              <w:pStyle w:val="Normal"/>
              <w:rPr>
                <w:rFonts w:cs="Arial"/>
                <w:sz w:val="22"/>
                <w:szCs w:val="22"/>
              </w:rPr>
            </w:pPr>
            <w:r>
              <w:rPr>
                <w:rFonts w:cs="Arial"/>
                <w:sz w:val="22"/>
                <w:szCs w:val="22"/>
              </w:rPr>
              <w:t>The post holder will be required to have access to a vehicle to travel to and between sites to undertake inspections and to attend meetings.</w:t>
            </w:r>
          </w:p>
          <w:p>
            <w:pPr>
              <w:pStyle w:val="Normal"/>
              <w:rPr>
                <w:rFonts w:cs="Arial"/>
                <w:b/>
                <w:bCs/>
                <w:iCs/>
                <w:sz w:val="22"/>
                <w:szCs w:val="22"/>
              </w:rPr>
            </w:pPr>
            <w:r>
              <w:rPr>
                <w:rFonts w:cs="Arial"/>
                <w:b/>
                <w:bCs/>
                <w:iCs/>
                <w:sz w:val="22"/>
                <w:szCs w:val="22"/>
              </w:rPr>
            </w:r>
          </w:p>
          <w:p>
            <w:pPr>
              <w:pStyle w:val="Normal"/>
              <w:rPr>
                <w:rFonts w:cs="Arial"/>
                <w:sz w:val="22"/>
                <w:szCs w:val="22"/>
              </w:rPr>
            </w:pPr>
            <w:r>
              <w:rPr>
                <w:rFonts w:cs="Arial"/>
                <w:sz w:val="22"/>
                <w:szCs w:val="22"/>
              </w:rPr>
              <w:t>The post holder may be required to attend evening or weekend meetings</w:t>
            </w:r>
          </w:p>
        </w:tc>
        <w:tc>
          <w:tcPr>
            <w:tcW w:w="3060" w:type="dxa"/>
            <w:tcBorders>
              <w:top w:val="single" w:sz="4" w:space="0" w:color="000000"/>
              <w:left w:val="single" w:sz="4" w:space="0" w:color="000000"/>
              <w:bottom w:val="single" w:sz="4" w:space="0" w:color="000000"/>
              <w:right w:val="single" w:sz="4" w:space="0" w:color="000000"/>
            </w:tcBorders>
          </w:tcPr>
          <w:p>
            <w:pPr>
              <w:pStyle w:val="Normal"/>
              <w:snapToGrid w:val="false"/>
              <w:rPr>
                <w:rFonts w:cs="Arial"/>
                <w:sz w:val="22"/>
                <w:szCs w:val="22"/>
              </w:rPr>
            </w:pPr>
            <w:r>
              <w:rPr>
                <w:rFonts w:cs="Arial"/>
                <w:sz w:val="22"/>
                <w:szCs w:val="22"/>
              </w:rPr>
            </w:r>
          </w:p>
        </w:tc>
        <w:tc>
          <w:tcPr>
            <w:tcW w:w="1620" w:type="dxa"/>
            <w:tcBorders>
              <w:top w:val="single" w:sz="4" w:space="0" w:color="000000"/>
              <w:left w:val="single" w:sz="4" w:space="0" w:color="000000"/>
              <w:bottom w:val="single" w:sz="4" w:space="0" w:color="000000"/>
              <w:right w:val="single" w:sz="4" w:space="0" w:color="000000"/>
            </w:tcBorders>
          </w:tcPr>
          <w:p>
            <w:pPr>
              <w:pStyle w:val="Normal"/>
              <w:jc w:val="center"/>
              <w:rPr>
                <w:rFonts w:cs="Arial"/>
                <w:sz w:val="22"/>
                <w:szCs w:val="22"/>
              </w:rPr>
            </w:pPr>
            <w:r>
              <w:rPr>
                <w:rFonts w:cs="Arial"/>
                <w:sz w:val="22"/>
                <w:szCs w:val="22"/>
              </w:rPr>
              <w:t>I</w:t>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t>I</w:t>
            </w:r>
          </w:p>
        </w:tc>
      </w:tr>
    </w:tbl>
    <w:p>
      <w:pPr>
        <w:pStyle w:val="Normal"/>
        <w:rPr>
          <w:rFonts w:cs="Arial"/>
          <w:sz w:val="22"/>
          <w:szCs w:val="22"/>
        </w:rPr>
      </w:pPr>
      <w:r>
        <w:rPr>
          <w:rFonts w:cs="Arial"/>
          <w:sz w:val="22"/>
          <w:szCs w:val="22"/>
        </w:rPr>
      </w:r>
    </w:p>
    <w:p>
      <w:pPr>
        <w:pStyle w:val="Normal"/>
        <w:spacing w:before="0" w:after="60"/>
        <w:jc w:val="both"/>
        <w:rPr/>
      </w:pPr>
      <w:r>
        <w:rPr>
          <w:rFonts w:cs="Arial"/>
          <w:i/>
          <w:sz w:val="22"/>
          <w:szCs w:val="22"/>
        </w:rPr>
        <w:t>Abbreviations:</w:t>
      </w:r>
      <w:r>
        <w:rPr>
          <w:rFonts w:cs="Arial"/>
          <w:sz w:val="22"/>
          <w:szCs w:val="22"/>
        </w:rPr>
        <w:t xml:space="preserve"> AF = Application Form; I = Interview; AC = Assessment Centre; T = Test</w:t>
      </w:r>
    </w:p>
    <w:p>
      <w:pPr>
        <w:pStyle w:val="Normal"/>
        <w:rPr>
          <w:rFonts w:cs="Arial"/>
          <w:sz w:val="22"/>
          <w:szCs w:val="22"/>
        </w:rPr>
      </w:pPr>
      <w:r>
        <w:rPr>
          <w:rFonts w:cs="Arial"/>
          <w:sz w:val="22"/>
          <w:szCs w:val="22"/>
        </w:rPr>
      </w:r>
    </w:p>
    <w:p>
      <w:pPr>
        <w:pStyle w:val="Normal"/>
        <w:jc w:val="both"/>
        <w:rPr/>
      </w:pPr>
      <w:r>
        <w:rPr>
          <w:rFonts w:cs="Arial"/>
          <w:b/>
          <w:bCs/>
          <w:sz w:val="22"/>
          <w:szCs w:val="22"/>
        </w:rPr>
        <w:t xml:space="preserve">NB. - Any candidate that meets the criteria of our </w:t>
      </w:r>
      <w:r>
        <w:rPr>
          <w:rFonts w:cs="Arial"/>
          <w:b/>
          <w:bCs/>
          <w:color w:val="0563C1"/>
          <w:sz w:val="22"/>
          <w:szCs w:val="22"/>
          <w:u w:val="single"/>
        </w:rPr>
        <w:t>Guaranteed Assessment Scheme</w:t>
      </w:r>
      <w:r>
        <w:rPr>
          <w:rFonts w:cs="Arial"/>
          <w:b/>
          <w:bCs/>
          <w:sz w:val="22"/>
          <w:szCs w:val="22"/>
        </w:rPr>
        <w:t xml:space="preserve"> and meets the essential criteria of the role, will be guaranteed the first stage of assessment (whether that is an interview or another assessment, as appropriate).</w:t>
      </w:r>
    </w:p>
    <w:p>
      <w:pPr>
        <w:pStyle w:val="Normal"/>
        <w:jc w:val="both"/>
        <w:rPr>
          <w:rFonts w:cs="Arial"/>
          <w:b/>
          <w:bCs/>
          <w:sz w:val="22"/>
          <w:szCs w:val="22"/>
        </w:rPr>
      </w:pPr>
      <w:r>
        <w:rPr>
          <w:rFonts w:cs="Arial"/>
          <w:b/>
          <w:bCs/>
          <w:sz w:val="22"/>
          <w:szCs w:val="22"/>
        </w:rPr>
      </w:r>
    </w:p>
    <w:p>
      <w:pPr>
        <w:pStyle w:val="Normal"/>
        <w:jc w:val="both"/>
        <w:rPr>
          <w:rFonts w:cs="Arial"/>
          <w:b/>
          <w:bCs/>
          <w:sz w:val="22"/>
          <w:szCs w:val="22"/>
        </w:rPr>
      </w:pPr>
      <w:r>
        <w:rPr>
          <w:rFonts w:cs="Arial"/>
          <w:b/>
          <w:bCs/>
          <w:sz w:val="22"/>
          <w:szCs w:val="22"/>
        </w:rPr>
        <w:t>Our Guaranteed Assessment Scheme supports candidates with disabilities, have previously been in or currently in care, those that are carers, and those who have served in the Armed Forces as a regular, reserve or cadet.</w:t>
      </w:r>
      <w:bookmarkStart w:id="1" w:name="_Hlk190765446"/>
      <w:bookmarkEnd w:id="1"/>
    </w:p>
    <w:p>
      <w:pPr>
        <w:pStyle w:val="Normal"/>
        <w:rPr/>
      </w:pPr>
      <w:r>
        <w:rPr/>
      </w:r>
    </w:p>
    <w:sectPr>
      <w:headerReference w:type="default" r:id="rId6"/>
      <w:headerReference w:type="first" r:id="rId7"/>
      <w:type w:val="nextPage"/>
      <w:pgSz w:w="11906" w:h="16838"/>
      <w:pgMar w:left="1440" w:right="1440" w:gutter="0" w:header="567" w:top="624" w:footer="0" w:bottom="1440"/>
      <w:pgNumType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ourier New">
    <w:charset w:val="01"/>
    <w:family w:val="modern"/>
    <w:pitch w:val="default"/>
  </w:font>
  <w:font w:name="Wingdings">
    <w:charset w:val="02"/>
    <w:family w:val="auto"/>
    <w:pitch w:val="variable"/>
  </w:font>
  <w:font w:name="Liberation Sans">
    <w:altName w:val="Arial"/>
    <w:charset w:val="00"/>
    <w:family w:val="swiss"/>
    <w:pitch w:val="variable"/>
  </w:font>
  <w:font w:name="Palatino">
    <w:charset w:val="00"/>
    <w:family w:val="roman"/>
    <w:pitch w:val="variable"/>
  </w:font>
  <w:font w:name="Calibri">
    <w:charset w:val="00"/>
    <w:family w:val="roman"/>
    <w:pitch w:val="variable"/>
  </w:font>
  <w:font w:name="Courier New">
    <w:charset w:val="01"/>
    <w:family w:val="modern"/>
    <w:pitch w:val="fixed"/>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lineRule="auto" w:line="264"/>
      <w:rPr/>
    </w:pPr>
    <w:r>
      <w:rPr/>
    </w:r>
  </w:p>
  <w:p>
    <w:pPr>
      <w:pStyle w:val="Header"/>
      <w:tabs>
        <w:tab w:val="clear" w:pos="4153"/>
        <w:tab w:val="clear" w:pos="8306"/>
        <w:tab w:val="left" w:pos="8565" w:leader="none"/>
      </w:tabs>
      <w:rPr/>
    </w:pPr>
    <w:r>
      <w:rPr/>
      <w:tab/>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abstractNumId w:val="1"/>
  </w:num>
  <w:num w:numId="2">
    <w:abstractNumId w:val="2"/>
  </w:num>
</w:numbering>
</file>

<file path=word/settings.xml><?xml version="1.0" encoding="utf-8"?>
<w:settings xmlns:w="http://schemas.openxmlformats.org/wordprocessingml/2006/main">
  <w:zoom w:percent="100"/>
  <w:displayBackgroundShape/>
  <w:defaultTabStop w:val="720"/>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before="0" w:after="0"/>
      <w:jc w:val="left"/>
    </w:pPr>
    <w:rPr>
      <w:rFonts w:ascii="Arial" w:hAnsi="Arial" w:eastAsia="Times New Roman" w:cs="Times New Roman"/>
      <w:color w:val="auto"/>
      <w:kern w:val="0"/>
      <w:sz w:val="24"/>
      <w:szCs w:val="24"/>
      <w:lang w:val="en-GB" w:eastAsia="en-US" w:bidi="ar-SA"/>
    </w:rPr>
  </w:style>
  <w:style w:type="paragraph" w:styleId="Heading1">
    <w:name w:val="Heading 1"/>
    <w:basedOn w:val="Normal"/>
    <w:next w:val="Normal"/>
    <w:qFormat/>
    <w:pPr>
      <w:keepNext w:val="true"/>
      <w:numPr>
        <w:ilvl w:val="0"/>
        <w:numId w:val="1"/>
      </w:numPr>
      <w:spacing w:lineRule="auto" w:line="264"/>
      <w:outlineLvl w:val="0"/>
    </w:pPr>
    <w:rPr>
      <w:b/>
      <w:bCs/>
      <w:sz w:val="22"/>
      <w:szCs w:val="20"/>
    </w:rPr>
  </w:style>
  <w:style w:type="character" w:styleId="WW8Num1z0">
    <w:name w:val="WW8Num1z0"/>
    <w:qFormat/>
    <w:rPr>
      <w:rFonts w:ascii="Symbol" w:hAnsi="Symbol" w:cs="Symbol"/>
    </w:rPr>
  </w:style>
  <w:style w:type="character" w:styleId="WW8Num1z1">
    <w:name w:val="WW8Num1z1"/>
    <w:qFormat/>
    <w:rPr>
      <w:rFonts w:ascii="Courier New" w:hAnsi="Courier New" w:cs="Courier New"/>
    </w:rPr>
  </w:style>
  <w:style w:type="character" w:styleId="WW8Num1z2">
    <w:name w:val="WW8Num1z2"/>
    <w:qFormat/>
    <w:rPr>
      <w:rFonts w:ascii="Wingdings" w:hAnsi="Wingdings" w:cs="Wingdings"/>
    </w:rPr>
  </w:style>
  <w:style w:type="character" w:styleId="DefaultParagraphFont">
    <w:name w:val="Default Paragraph Font"/>
    <w:qFormat/>
    <w:rPr/>
  </w:style>
  <w:style w:type="character" w:styleId="t286pc">
    <w:name w:val="t286pc"/>
    <w:basedOn w:val="DefaultParagraphFont"/>
    <w:qFormat/>
    <w:rPr/>
  </w:style>
  <w:style w:type="character" w:styleId="Strong">
    <w:name w:val="Strong"/>
    <w:qFormat/>
    <w:rPr>
      <w:b/>
      <w:bCs/>
    </w:rPr>
  </w:style>
  <w:style w:type="character" w:styleId="Hyperlink">
    <w:name w:val="Hyperlink"/>
    <w:rPr>
      <w:color w:val="0000FF"/>
      <w:u w:val="single"/>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rPr>
      <w:b/>
      <w:sz w:val="22"/>
      <w:szCs w:val="20"/>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EndnoteText">
    <w:name w:val="Endnote Text"/>
    <w:basedOn w:val="Normal"/>
    <w:pPr>
      <w:overflowPunct w:val="true"/>
      <w:textAlignment w:val="baseline"/>
    </w:pPr>
    <w:rPr>
      <w:rFonts w:ascii="Palatino" w:hAnsi="Palatino" w:cs="Palatino"/>
      <w:szCs w:val="20"/>
    </w:rPr>
  </w:style>
  <w:style w:type="paragraph" w:styleId="HeaderandFooter">
    <w:name w:val="Header and Footer"/>
    <w:basedOn w:val="Normal"/>
    <w:qFormat/>
    <w:pPr/>
    <w:rPr/>
  </w:style>
  <w:style w:type="paragraph" w:styleId="Header">
    <w:name w:val="Header"/>
    <w:basedOn w:val="Normal"/>
    <w:pPr>
      <w:tabs>
        <w:tab w:val="clear" w:pos="720"/>
        <w:tab w:val="center" w:pos="4153" w:leader="none"/>
        <w:tab w:val="right" w:pos="8306" w:leader="none"/>
      </w:tabs>
    </w:pPr>
    <w:rPr>
      <w:sz w:val="22"/>
      <w:szCs w:val="20"/>
    </w:rPr>
  </w:style>
  <w:style w:type="paragraph" w:styleId="BodyTextIndent">
    <w:name w:val="Body Text Indent"/>
    <w:basedOn w:val="Normal"/>
    <w:pPr>
      <w:spacing w:before="0" w:after="120"/>
      <w:ind w:hanging="0" w:left="283" w:right="0"/>
    </w:pPr>
    <w:rPr/>
  </w:style>
  <w:style w:type="paragraph" w:styleId="ListParagraph">
    <w:name w:val="List Paragraph"/>
    <w:basedOn w:val="Normal"/>
    <w:qFormat/>
    <w:pPr>
      <w:spacing w:lineRule="auto" w:line="276" w:before="0" w:after="200"/>
      <w:ind w:hanging="0" w:left="720" w:right="0"/>
      <w:contextualSpacing/>
    </w:pPr>
    <w:rPr>
      <w:rFonts w:ascii="Calibri" w:hAnsi="Calibri" w:eastAsia="Calibri" w:cs="Calibri"/>
      <w:sz w:val="22"/>
      <w:szCs w:val="22"/>
    </w:rPr>
  </w:style>
  <w:style w:type="paragraph" w:styleId="Default">
    <w:name w:val="Default"/>
    <w:qFormat/>
    <w:pPr>
      <w:widowControl/>
      <w:suppressAutoHyphens w:val="true"/>
      <w:bidi w:val="0"/>
      <w:spacing w:before="0" w:after="0"/>
      <w:jc w:val="left"/>
    </w:pPr>
    <w:rPr>
      <w:rFonts w:ascii="Arial" w:hAnsi="Arial" w:eastAsia="Times New Roman" w:cs="Arial"/>
      <w:color w:val="000000"/>
      <w:kern w:val="0"/>
      <w:sz w:val="24"/>
      <w:szCs w:val="24"/>
      <w:lang w:val="en-GB" w:eastAsia="en-GB" w:bidi="ar-SA"/>
    </w:rPr>
  </w:style>
  <w:style w:type="paragraph" w:styleId="z1qcye">
    <w:name w:val="z1qcye"/>
    <w:basedOn w:val="Normal"/>
    <w:qFormat/>
    <w:pPr>
      <w:spacing w:before="280" w:after="280"/>
    </w:pPr>
    <w:rPr>
      <w:rFonts w:ascii="Times New Roman" w:hAnsi="Times New Roman" w:cs="Times New Roman"/>
      <w:lang w:eastAsia="en-GB"/>
    </w:rPr>
  </w:style>
  <w:style w:type="paragraph" w:styleId="FrameContents">
    <w:name w:val="Frame Contents"/>
    <w:basedOn w:val="Normal"/>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wmf"/><Relationship Id="rId3" Type="http://schemas.openxmlformats.org/officeDocument/2006/relationships/image" Target="media/image1.wmf"/><Relationship Id="rId4" Type="http://schemas.openxmlformats.org/officeDocument/2006/relationships/image" Target="media/image1.wmf"/><Relationship Id="rId5" Type="http://schemas.openxmlformats.org/officeDocument/2006/relationships/image" Target="media/image1.wmf"/><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numbering" Target="numbering.xml"/><Relationship Id="rId9" Type="http://schemas.openxmlformats.org/officeDocument/2006/relationships/fontTable" Target="fontTable.xml"/><Relationship Id="rId10" Type="http://schemas.openxmlformats.org/officeDocument/2006/relationships/settings" Target="settings.xml"/><Relationship Id="rId11"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0</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