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863" w:type="dxa"/>
        <w:jc w:val="left"/>
        <w:tblInd w:w="-118" w:type="dxa"/>
        <w:tblCellMar>
          <w:top w:w="0" w:type="dxa"/>
          <w:left w:w="108" w:type="dxa"/>
          <w:bottom w:w="0" w:type="dxa"/>
          <w:right w:w="108" w:type="dxa"/>
        </w:tblCellMar>
      </w:tblPr>
      <w:tblGrid>
        <w:gridCol w:w="2092"/>
        <w:gridCol w:w="7771"/>
      </w:tblGrid>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Post Title:</w:t>
            </w:r>
          </w:p>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p>
            <w:pPr>
              <w:pStyle w:val="Heading1"/>
              <w:rPr/>
            </w:pPr>
            <w:r>
              <w:rPr>
                <w:rFonts w:cs="IBM Plex Sans Condensed" w:ascii="IBM Plex Sans Condensed" w:hAnsi="IBM Plex Sans Condensed"/>
                <w:sz w:val="24"/>
                <w:szCs w:val="24"/>
              </w:rPr>
              <w:t>Teacher of Psychology - Maternity Cover</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Purpose:</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2"/>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deliver an outstanding learning experience (as specified by the national teaching standards) which allows students to fulfil their individual potential.</w:t>
            </w:r>
          </w:p>
          <w:p>
            <w:pPr>
              <w:pStyle w:val="Normal"/>
              <w:numPr>
                <w:ilvl w:val="0"/>
                <w:numId w:val="2"/>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Accountability for the student achievement at or above target grades for each teaching group, using data and intervention strategies as appropriate.</w:t>
            </w:r>
          </w:p>
          <w:p>
            <w:pPr>
              <w:pStyle w:val="Heading1"/>
              <w:numPr>
                <w:ilvl w:val="0"/>
                <w:numId w:val="2"/>
              </w:numPr>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implement and deliver an appropriately broad, balanced, relevant and differentiated curriculum for students and to support a designated curriculum team as appropriate.</w:t>
            </w:r>
          </w:p>
          <w:p>
            <w:pPr>
              <w:pStyle w:val="Normal"/>
              <w:numPr>
                <w:ilvl w:val="0"/>
                <w:numId w:val="2"/>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share and support the school’s responsibility to provide and monitor opportunities for personal growth and spiritual development.</w:t>
            </w:r>
          </w:p>
          <w:p>
            <w:pPr>
              <w:pStyle w:val="Normal"/>
              <w:numPr>
                <w:ilvl w:val="0"/>
                <w:numId w:val="2"/>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Consistent application of school’s systems, policies and procedures.</w:t>
            </w:r>
          </w:p>
          <w:p>
            <w:pPr>
              <w:pStyle w:val="Normal"/>
              <w:numPr>
                <w:ilvl w:val="0"/>
                <w:numId w:val="2"/>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undertake the duties of a Form Tutor, including the monitoring and support of the overall progress and development of students.</w:t>
            </w:r>
          </w:p>
          <w:p>
            <w:pPr>
              <w:pStyle w:val="Normal"/>
              <w:numPr>
                <w:ilvl w:val="0"/>
                <w:numId w:val="2"/>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Maintain professional relationships with colleagues and with all young people.</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snapToGrid w:val="false"/>
              <w:rPr>
                <w:rFonts w:ascii="IBM Plex Sans Condensed" w:hAnsi="IBM Plex Sans Condensed" w:cs="IBM Plex Sans Condensed"/>
                <w:b w:val="false"/>
                <w:b w:val="false"/>
                <w:bCs w:val="false"/>
                <w:sz w:val="22"/>
                <w:szCs w:val="22"/>
              </w:rPr>
            </w:pPr>
            <w:r>
              <w:rPr>
                <w:rFonts w:cs="IBM Plex Sans Condensed" w:ascii="IBM Plex Sans Condensed" w:hAnsi="IBM Plex Sans Condensed"/>
                <w:b w:val="false"/>
                <w:bCs w:val="false"/>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Reporting to:</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Head of Subject</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snapToGrid w:val="false"/>
              <w:rPr>
                <w:rFonts w:ascii="IBM Plex Sans Condensed" w:hAnsi="IBM Plex Sans Condensed" w:cs="IBM Plex Sans Condensed"/>
                <w:b w:val="false"/>
                <w:b w:val="false"/>
                <w:bCs w:val="false"/>
                <w:sz w:val="22"/>
                <w:szCs w:val="22"/>
              </w:rPr>
            </w:pPr>
            <w:r>
              <w:rPr>
                <w:rFonts w:cs="IBM Plex Sans Condensed" w:ascii="IBM Plex Sans Condensed" w:hAnsi="IBM Plex Sans Condensed"/>
                <w:b w:val="false"/>
                <w:bCs w:val="false"/>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Responsible for:</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The provision of a full learning experience and support for students.</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snapToGrid w:val="false"/>
              <w:rPr>
                <w:rFonts w:ascii="IBM Plex Sans Condensed" w:hAnsi="IBM Plex Sans Condensed" w:cs="IBM Plex Sans Condensed"/>
                <w:b w:val="false"/>
                <w:b w:val="false"/>
                <w:bCs w:val="false"/>
                <w:sz w:val="22"/>
                <w:szCs w:val="22"/>
              </w:rPr>
            </w:pPr>
            <w:r>
              <w:rPr>
                <w:rFonts w:cs="IBM Plex Sans Condensed" w:ascii="IBM Plex Sans Condensed" w:hAnsi="IBM Plex Sans Condensed"/>
                <w:b w:val="false"/>
                <w:bCs w:val="false"/>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Liaising with:</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Teaching colleagues and support staff, members of SLT, LA representatives, external agents and parents.</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snapToGrid w:val="false"/>
              <w:rPr>
                <w:rFonts w:ascii="IBM Plex Sans Condensed" w:hAnsi="IBM Plex Sans Condensed" w:cs="IBM Plex Sans Condensed"/>
                <w:b w:val="false"/>
                <w:b w:val="false"/>
                <w:bCs w:val="false"/>
                <w:sz w:val="22"/>
                <w:szCs w:val="22"/>
              </w:rPr>
            </w:pPr>
            <w:r>
              <w:rPr>
                <w:rFonts w:cs="IBM Plex Sans Condensed" w:ascii="IBM Plex Sans Condensed" w:hAnsi="IBM Plex Sans Condensed"/>
                <w:b w:val="false"/>
                <w:bCs w:val="false"/>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Working Time:</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195 days per year.  Full time.</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snapToGrid w:val="false"/>
              <w:rPr>
                <w:rFonts w:ascii="IBM Plex Sans Condensed" w:hAnsi="IBM Plex Sans Condensed" w:cs="IBM Plex Sans Condensed"/>
                <w:b w:val="false"/>
                <w:b w:val="false"/>
                <w:bCs w:val="false"/>
                <w:sz w:val="22"/>
                <w:szCs w:val="22"/>
              </w:rPr>
            </w:pPr>
            <w:r>
              <w:rPr>
                <w:rFonts w:cs="IBM Plex Sans Condensed" w:ascii="IBM Plex Sans Condensed" w:hAnsi="IBM Plex Sans Condensed"/>
                <w:b w:val="false"/>
                <w:bCs w:val="false"/>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Salary/Grade:</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Heading1"/>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Main Scale</w:t>
            </w:r>
          </w:p>
        </w:tc>
      </w:tr>
      <w:tr>
        <w:trPr/>
        <w:tc>
          <w:tcPr>
            <w:tcW w:w="9863" w:type="dxa"/>
            <w:gridSpan w:val="2"/>
            <w:tcBorders>
              <w:top w:val="dotted" w:sz="4" w:space="0" w:color="000000"/>
              <w:left w:val="dotted" w:sz="4" w:space="0" w:color="000000"/>
              <w:bottom w:val="dotted" w:sz="4" w:space="0" w:color="000000"/>
              <w:right w:val="dotted" w:sz="4" w:space="0" w:color="000000"/>
            </w:tcBorders>
            <w:shd w:fill="auto" w:val="clear"/>
          </w:tcPr>
          <w:p>
            <w:pPr>
              <w:pStyle w:val="Heading2"/>
              <w:snapToGrid w:val="false"/>
              <w:rPr>
                <w:rFonts w:ascii="IBM Plex Sans Condensed" w:hAnsi="IBM Plex Sans Condensed" w:cs="IBM Plex Sans Condensed"/>
                <w:szCs w:val="22"/>
              </w:rPr>
            </w:pPr>
            <w:r>
              <w:rPr>
                <w:rFonts w:cs="IBM Plex Sans Condensed" w:ascii="IBM Plex Sans Condensed" w:hAnsi="IBM Plex Sans Condensed"/>
                <w:szCs w:val="22"/>
              </w:rPr>
            </w:r>
          </w:p>
          <w:p>
            <w:pPr>
              <w:pStyle w:val="Heading2"/>
              <w:rPr>
                <w:rFonts w:ascii="IBM Plex Sans Condensed" w:hAnsi="IBM Plex Sans Condensed" w:cs="IBM Plex Sans Condensed"/>
                <w:szCs w:val="22"/>
              </w:rPr>
            </w:pPr>
            <w:r>
              <w:rPr>
                <w:rFonts w:cs="IBM Plex Sans Condensed" w:ascii="IBM Plex Sans Condensed" w:hAnsi="IBM Plex Sans Condensed"/>
                <w:szCs w:val="22"/>
              </w:rPr>
              <w:t>MAIN (CORE) DUTIES</w:t>
            </w:r>
          </w:p>
          <w:p>
            <w:pPr>
              <w:pStyle w:val="Normal"/>
              <w:rPr>
                <w:rFonts w:ascii="IBM Plex Sans Condensed" w:hAnsi="IBM Plex Sans Condensed" w:cs="IBM Plex Sans Condensed"/>
                <w:sz w:val="22"/>
                <w:szCs w:val="22"/>
              </w:rPr>
            </w:pPr>
            <w:r>
              <w:rPr>
                <w:rFonts w:cs="IBM Plex Sans Condensed" w:ascii="IBM Plex Sans Condensed" w:hAnsi="IBM Plex Sans Condensed"/>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Curriculum Provision:</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assist the Head of Department to ensure that the curriculum team provides outstanding teaching and progress at or above target grades, in accordance with the school’s strategic objectives.</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Curriculum Development:</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assist in the process of curriculum development and change to ensure the continued relevance to the needs of students, examining and awarding bodies and the school’s Mission and Strategic Objectives.</w:t>
            </w:r>
          </w:p>
        </w:tc>
      </w:tr>
      <w:tr>
        <w:trPr/>
        <w:tc>
          <w:tcPr>
            <w:tcW w:w="2092" w:type="dxa"/>
            <w:tcBorders>
              <w:top w:val="dotted" w:sz="4" w:space="0" w:color="000000"/>
              <w:left w:val="dotted" w:sz="4" w:space="0" w:color="000000"/>
              <w:bottom w:val="dotted" w:sz="4" w:space="0" w:color="000000"/>
            </w:tcBorders>
            <w:shd w:fill="auto" w:val="clear"/>
          </w:tcPr>
          <w:p>
            <w:pPr>
              <w:pStyle w:val="Normal"/>
              <w:snapToGrid w:val="false"/>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Heading3"/>
              <w:rPr>
                <w:rFonts w:ascii="IBM Plex Sans Condensed" w:hAnsi="IBM Plex Sans Condensed" w:cs="IBM Plex Sans Condensed"/>
                <w:szCs w:val="22"/>
              </w:rPr>
            </w:pPr>
            <w:r>
              <w:rPr>
                <w:rFonts w:cs="IBM Plex Sans Condensed" w:ascii="IBM Plex Sans Condensed" w:hAnsi="IBM Plex Sans Condensed"/>
                <w:szCs w:val="22"/>
              </w:rPr>
              <w:t>Staffing</w:t>
            </w:r>
          </w:p>
          <w:p>
            <w:pPr>
              <w:pStyle w:val="Normal"/>
              <w:rPr>
                <w:rFonts w:ascii="IBM Plex Sans Condensed" w:hAnsi="IBM Plex Sans Condensed" w:cs="IBM Plex Sans Condensed"/>
                <w:sz w:val="22"/>
                <w:szCs w:val="22"/>
              </w:rPr>
            </w:pPr>
            <w:r>
              <w:rPr>
                <w:rFonts w:cs="IBM Plex Sans Condensed" w:ascii="IBM Plex Sans Condensed" w:hAnsi="IBM Plex Sans Condensed"/>
                <w:sz w:val="22"/>
                <w:szCs w:val="22"/>
              </w:rPr>
            </w:r>
          </w:p>
          <w:p>
            <w:pPr>
              <w:pStyle w:val="TextBody"/>
              <w:rPr>
                <w:rFonts w:ascii="IBM Plex Sans Condensed" w:hAnsi="IBM Plex Sans Condensed" w:cs="IBM Plex Sans Condensed"/>
                <w:szCs w:val="22"/>
              </w:rPr>
            </w:pPr>
            <w:r>
              <w:rPr>
                <w:rFonts w:cs="IBM Plex Sans Condensed" w:ascii="IBM Plex Sans Condensed" w:hAnsi="IBM Plex Sans Condensed"/>
                <w:szCs w:val="22"/>
              </w:rPr>
              <w:t>Staff Development:</w:t>
            </w:r>
          </w:p>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Recruitment/</w:t>
            </w:r>
          </w:p>
          <w:p>
            <w:pPr>
              <w:pStyle w:val="Normal"/>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Deployment of Staff</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take part in the school’s staff development programme by participating in arrangements for further training and professional development.</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continue personal development in the relevant areas including subject knowledge and teaching methods.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engage actively in the Performance Management Review process.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ensure the effective/efficient deployment of classroom support.</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work as a member of a designated team and to contribute positively to effective working relations within the schools.</w:t>
            </w:r>
          </w:p>
        </w:tc>
      </w:tr>
      <w:tr>
        <w:trPr/>
        <w:tc>
          <w:tcPr>
            <w:tcW w:w="2092" w:type="dxa"/>
            <w:tcBorders>
              <w:top w:val="dotted" w:sz="4" w:space="0" w:color="000000"/>
              <w:left w:val="dotted" w:sz="4" w:space="0" w:color="000000"/>
              <w:bottom w:val="dotted" w:sz="4" w:space="0" w:color="000000"/>
            </w:tcBorders>
            <w:shd w:fill="auto" w:val="clear"/>
          </w:tcPr>
          <w:p>
            <w:pPr>
              <w:pStyle w:val="Heading3"/>
              <w:snapToGrid w:val="false"/>
              <w:rPr>
                <w:rFonts w:ascii="IBM Plex Sans Condensed" w:hAnsi="IBM Plex Sans Condensed" w:cs="IBM Plex Sans Condensed"/>
                <w:szCs w:val="22"/>
              </w:rPr>
            </w:pPr>
            <w:r>
              <w:rPr>
                <w:rFonts w:cs="IBM Plex Sans Condensed" w:ascii="IBM Plex Sans Condensed" w:hAnsi="IBM Plex Sans Condensed"/>
                <w:szCs w:val="22"/>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3"/>
              </w:numPr>
              <w:snapToGrid w:val="false"/>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Heading3"/>
              <w:rPr>
                <w:rFonts w:ascii="IBM Plex Sans Condensed" w:hAnsi="IBM Plex Sans Condensed" w:cs="IBM Plex Sans Condensed"/>
                <w:szCs w:val="22"/>
                <w:u w:val="none"/>
              </w:rPr>
            </w:pPr>
            <w:r>
              <w:rPr>
                <w:rFonts w:cs="IBM Plex Sans Condensed" w:ascii="IBM Plex Sans Condensed" w:hAnsi="IBM Plex Sans Condensed"/>
                <w:szCs w:val="22"/>
                <w:u w:val="none"/>
              </w:rPr>
              <w:t>Quality Assurance:</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consistently implement school systems, policies and procedures.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contribute to the process of monitoring and evaluation of the curriculum team in line with agreed school procedures, including evaluation against quality standards and performance criteria.</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implement modification and improvement.</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be actively engaged in day-to-day reviews of teaching and learning strategies, and improvements to schemes of work.</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take part in the review, development and management of activities relating to the curriculum organisation and pastoral functions of the school.</w:t>
            </w:r>
          </w:p>
        </w:tc>
      </w:tr>
      <w:tr>
        <w:trPr/>
        <w:tc>
          <w:tcPr>
            <w:tcW w:w="2092" w:type="dxa"/>
            <w:tcBorders>
              <w:top w:val="dotted" w:sz="4" w:space="0" w:color="000000"/>
              <w:left w:val="dotted" w:sz="4" w:space="0" w:color="000000"/>
              <w:bottom w:val="dotted" w:sz="4" w:space="0" w:color="000000"/>
            </w:tcBorders>
            <w:shd w:fill="auto" w:val="clear"/>
          </w:tcPr>
          <w:p>
            <w:pPr>
              <w:pStyle w:val="Heading3"/>
              <w:snapToGrid w:val="false"/>
              <w:rPr>
                <w:rFonts w:ascii="IBM Plex Sans Condensed" w:hAnsi="IBM Plex Sans Condensed" w:cs="IBM Plex Sans Condensed"/>
                <w:szCs w:val="22"/>
                <w:u w:val="none"/>
              </w:rPr>
            </w:pPr>
            <w:r>
              <w:rPr>
                <w:rFonts w:cs="IBM Plex Sans Condensed" w:ascii="IBM Plex Sans Condensed" w:hAnsi="IBM Plex Sans Condensed"/>
                <w:szCs w:val="22"/>
                <w:u w:val="none"/>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sz w:val="22"/>
                <w:szCs w:val="22"/>
                <w:u w:val="none"/>
              </w:rPr>
            </w:pPr>
            <w:r>
              <w:rPr>
                <w:rFonts w:cs="IBM Plex Sans Condensed" w:ascii="IBM Plex Sans Condensed" w:hAnsi="IBM Plex Sans Condensed"/>
                <w:sz w:val="22"/>
                <w:szCs w:val="22"/>
                <w:u w:val="none"/>
              </w:rPr>
            </w:r>
          </w:p>
        </w:tc>
      </w:tr>
      <w:tr>
        <w:trPr/>
        <w:tc>
          <w:tcPr>
            <w:tcW w:w="2092" w:type="dxa"/>
            <w:tcBorders>
              <w:top w:val="dotted" w:sz="4" w:space="0" w:color="000000"/>
              <w:left w:val="dotted" w:sz="4" w:space="0" w:color="000000"/>
              <w:bottom w:val="dotted" w:sz="4" w:space="0" w:color="000000"/>
            </w:tcBorders>
            <w:shd w:fill="auto" w:val="clear"/>
          </w:tcPr>
          <w:p>
            <w:pPr>
              <w:pStyle w:val="Heading3"/>
              <w:rPr>
                <w:rFonts w:ascii="IBM Plex Sans Condensed" w:hAnsi="IBM Plex Sans Condensed" w:cs="IBM Plex Sans Condensed"/>
                <w:szCs w:val="22"/>
                <w:u w:val="none"/>
              </w:rPr>
            </w:pPr>
            <w:r>
              <w:rPr>
                <w:rFonts w:cs="IBM Plex Sans Condensed" w:ascii="IBM Plex Sans Condensed" w:hAnsi="IBM Plex Sans Condensed"/>
                <w:szCs w:val="22"/>
                <w:u w:val="none"/>
              </w:rPr>
              <w:t>Management Information:</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maintain appropriate records and to provide relevant accurate and up-to-date information, registers etc. when necessary.</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complete the relevant documentation to assist in the tracking of students.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track student progress and use information to inform teaching and learning.</w:t>
            </w:r>
          </w:p>
        </w:tc>
      </w:tr>
      <w:tr>
        <w:trPr/>
        <w:tc>
          <w:tcPr>
            <w:tcW w:w="2092" w:type="dxa"/>
            <w:tcBorders>
              <w:top w:val="dotted" w:sz="4" w:space="0" w:color="000000"/>
              <w:left w:val="dotted" w:sz="4" w:space="0" w:color="000000"/>
              <w:bottom w:val="dotted" w:sz="4" w:space="0" w:color="000000"/>
            </w:tcBorders>
            <w:shd w:fill="auto" w:val="clear"/>
          </w:tcPr>
          <w:p>
            <w:pPr>
              <w:pStyle w:val="Heading3"/>
              <w:snapToGrid w:val="false"/>
              <w:rPr>
                <w:rFonts w:ascii="IBM Plex Sans Condensed" w:hAnsi="IBM Plex Sans Condensed" w:cs="IBM Plex Sans Condensed"/>
                <w:szCs w:val="22"/>
                <w:u w:val="none"/>
              </w:rPr>
            </w:pPr>
            <w:r>
              <w:rPr>
                <w:rFonts w:cs="IBM Plex Sans Condensed" w:ascii="IBM Plex Sans Condensed" w:hAnsi="IBM Plex Sans Condensed"/>
                <w:szCs w:val="22"/>
                <w:u w:val="none"/>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sz w:val="22"/>
                <w:szCs w:val="22"/>
                <w:u w:val="none"/>
              </w:rPr>
            </w:pPr>
            <w:r>
              <w:rPr>
                <w:rFonts w:cs="IBM Plex Sans Condensed" w:ascii="IBM Plex Sans Condensed" w:hAnsi="IBM Plex Sans Condensed"/>
                <w:sz w:val="22"/>
                <w:szCs w:val="22"/>
                <w:u w:val="none"/>
              </w:rPr>
            </w:r>
          </w:p>
        </w:tc>
      </w:tr>
      <w:tr>
        <w:trPr/>
        <w:tc>
          <w:tcPr>
            <w:tcW w:w="2092" w:type="dxa"/>
            <w:tcBorders>
              <w:top w:val="dotted" w:sz="4" w:space="0" w:color="000000"/>
              <w:left w:val="dotted" w:sz="4" w:space="0" w:color="000000"/>
              <w:bottom w:val="dotted" w:sz="4" w:space="0" w:color="000000"/>
            </w:tcBorders>
            <w:shd w:fill="auto" w:val="clear"/>
          </w:tcPr>
          <w:p>
            <w:pPr>
              <w:pStyle w:val="Heading3"/>
              <w:rPr>
                <w:rFonts w:ascii="IBM Plex Sans Condensed" w:hAnsi="IBM Plex Sans Condensed" w:cs="IBM Plex Sans Condensed"/>
                <w:szCs w:val="22"/>
                <w:u w:val="none"/>
              </w:rPr>
            </w:pPr>
            <w:r>
              <w:rPr>
                <w:rFonts w:cs="IBM Plex Sans Condensed" w:ascii="IBM Plex Sans Condensed" w:hAnsi="IBM Plex Sans Condensed"/>
                <w:szCs w:val="22"/>
                <w:u w:val="none"/>
              </w:rPr>
              <w:t>Communications:</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communicate effectively with the parents of students as appropriate.</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Where appropriate, to communicate and co-operate with persons or bodies outside the school.</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follow agreed policies for communications in the school.</w:t>
            </w:r>
          </w:p>
        </w:tc>
      </w:tr>
      <w:tr>
        <w:trPr/>
        <w:tc>
          <w:tcPr>
            <w:tcW w:w="2092" w:type="dxa"/>
            <w:tcBorders>
              <w:top w:val="dotted" w:sz="4" w:space="0" w:color="000000"/>
              <w:left w:val="dotted" w:sz="4" w:space="0" w:color="000000"/>
              <w:bottom w:val="dotted" w:sz="4" w:space="0" w:color="000000"/>
            </w:tcBorders>
            <w:shd w:fill="auto" w:val="clear"/>
          </w:tcPr>
          <w:p>
            <w:pPr>
              <w:pStyle w:val="Heading3"/>
              <w:snapToGrid w:val="false"/>
              <w:rPr>
                <w:rFonts w:ascii="IBM Plex Sans Condensed" w:hAnsi="IBM Plex Sans Condensed" w:cs="IBM Plex Sans Condensed"/>
                <w:szCs w:val="22"/>
                <w:u w:val="none"/>
              </w:rPr>
            </w:pPr>
            <w:r>
              <w:rPr>
                <w:rFonts w:cs="IBM Plex Sans Condensed" w:ascii="IBM Plex Sans Condensed" w:hAnsi="IBM Plex Sans Condensed"/>
                <w:szCs w:val="22"/>
                <w:u w:val="none"/>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sz w:val="22"/>
                <w:szCs w:val="22"/>
                <w:u w:val="none"/>
              </w:rPr>
            </w:pPr>
            <w:r>
              <w:rPr>
                <w:rFonts w:cs="IBM Plex Sans Condensed" w:ascii="IBM Plex Sans Condensed" w:hAnsi="IBM Plex Sans Condensed"/>
                <w:sz w:val="22"/>
                <w:szCs w:val="22"/>
                <w:u w:val="none"/>
              </w:rPr>
            </w:r>
          </w:p>
        </w:tc>
      </w:tr>
      <w:tr>
        <w:trPr/>
        <w:tc>
          <w:tcPr>
            <w:tcW w:w="2092" w:type="dxa"/>
            <w:tcBorders>
              <w:top w:val="dotted" w:sz="4" w:space="0" w:color="000000"/>
              <w:left w:val="dotted" w:sz="4" w:space="0" w:color="000000"/>
              <w:bottom w:val="dotted" w:sz="4" w:space="0" w:color="000000"/>
            </w:tcBorders>
            <w:shd w:fill="auto" w:val="clear"/>
          </w:tcPr>
          <w:p>
            <w:pPr>
              <w:pStyle w:val="Heading3"/>
              <w:rPr>
                <w:rFonts w:ascii="IBM Plex Sans Condensed" w:hAnsi="IBM Plex Sans Condensed" w:cs="IBM Plex Sans Condensed"/>
                <w:szCs w:val="22"/>
                <w:u w:val="none"/>
              </w:rPr>
            </w:pPr>
            <w:r>
              <w:rPr>
                <w:rFonts w:cs="IBM Plex Sans Condensed" w:ascii="IBM Plex Sans Condensed" w:hAnsi="IBM Plex Sans Condensed"/>
                <w:szCs w:val="22"/>
                <w:u w:val="none"/>
              </w:rPr>
              <w:t>Marketing and Liaison:</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take part in marketing and liaison activities such as Open Evenings, Parents’ Evenings, Review days and liaison events with partner schools.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contribute to the development of effective subject links with external agencies.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Attend team meetings for these subjects to which contribution is made as a teacher and any other meetings as reasonably directed by the Head Teacher.</w:t>
            </w:r>
          </w:p>
        </w:tc>
      </w:tr>
      <w:tr>
        <w:trPr/>
        <w:tc>
          <w:tcPr>
            <w:tcW w:w="2092" w:type="dxa"/>
            <w:tcBorders>
              <w:top w:val="dotted" w:sz="4" w:space="0" w:color="000000"/>
              <w:left w:val="dotted" w:sz="4" w:space="0" w:color="000000"/>
              <w:bottom w:val="dotted" w:sz="4" w:space="0" w:color="000000"/>
            </w:tcBorders>
            <w:shd w:fill="auto" w:val="clear"/>
          </w:tcPr>
          <w:p>
            <w:pPr>
              <w:pStyle w:val="Heading3"/>
              <w:snapToGrid w:val="false"/>
              <w:rPr>
                <w:rFonts w:ascii="IBM Plex Sans Condensed" w:hAnsi="IBM Plex Sans Condensed" w:cs="IBM Plex Sans Condensed"/>
                <w:szCs w:val="22"/>
                <w:u w:val="none"/>
              </w:rPr>
            </w:pPr>
            <w:r>
              <w:rPr>
                <w:rFonts w:cs="IBM Plex Sans Condensed" w:ascii="IBM Plex Sans Condensed" w:hAnsi="IBM Plex Sans Condensed"/>
                <w:szCs w:val="22"/>
                <w:u w:val="none"/>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sz w:val="22"/>
                <w:szCs w:val="22"/>
                <w:u w:val="none"/>
              </w:rPr>
            </w:pPr>
            <w:r>
              <w:rPr>
                <w:rFonts w:cs="IBM Plex Sans Condensed" w:ascii="IBM Plex Sans Condensed" w:hAnsi="IBM Plex Sans Condensed"/>
                <w:sz w:val="22"/>
                <w:szCs w:val="22"/>
                <w:u w:val="none"/>
              </w:rPr>
            </w:r>
          </w:p>
        </w:tc>
      </w:tr>
      <w:tr>
        <w:trPr/>
        <w:tc>
          <w:tcPr>
            <w:tcW w:w="2092" w:type="dxa"/>
            <w:tcBorders>
              <w:top w:val="dotted" w:sz="4" w:space="0" w:color="000000"/>
              <w:left w:val="dotted" w:sz="4" w:space="0" w:color="000000"/>
              <w:bottom w:val="dotted" w:sz="4" w:space="0" w:color="000000"/>
            </w:tcBorders>
            <w:shd w:fill="auto" w:val="clear"/>
          </w:tcPr>
          <w:p>
            <w:pPr>
              <w:pStyle w:val="Heading3"/>
              <w:rPr>
                <w:rFonts w:ascii="IBM Plex Sans Condensed" w:hAnsi="IBM Plex Sans Condensed" w:cs="IBM Plex Sans Condensed"/>
                <w:szCs w:val="22"/>
                <w:u w:val="none"/>
              </w:rPr>
            </w:pPr>
            <w:r>
              <w:rPr>
                <w:rFonts w:cs="IBM Plex Sans Condensed" w:ascii="IBM Plex Sans Condensed" w:hAnsi="IBM Plex Sans Condensed"/>
                <w:szCs w:val="22"/>
                <w:u w:val="none"/>
              </w:rPr>
              <w:t>Management of Resources:</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contribute to the process of the ordering and allocation of equipment and materials.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assist the Head of Department to identify resource needs and to contribute to the efficient/effective use of physical resources.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co-operate with other staff to ensure a sharing and effective usage of resources to the benefit of the School, Team and the students.</w:t>
            </w:r>
          </w:p>
          <w:p>
            <w:pPr>
              <w:pStyle w:val="Normal"/>
              <w:numPr>
                <w:ilvl w:val="0"/>
                <w:numId w:val="3"/>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be responsible for the condition of any teaching space used and report any damage to the Head of Department and Site Manager.</w:t>
            </w:r>
          </w:p>
        </w:tc>
      </w:tr>
      <w:tr>
        <w:trPr/>
        <w:tc>
          <w:tcPr>
            <w:tcW w:w="2092" w:type="dxa"/>
            <w:tcBorders>
              <w:top w:val="dotted" w:sz="4" w:space="0" w:color="000000"/>
              <w:left w:val="dotted" w:sz="4" w:space="0" w:color="000000"/>
              <w:bottom w:val="dotted" w:sz="4" w:space="0" w:color="000000"/>
            </w:tcBorders>
            <w:shd w:fill="auto" w:val="clear"/>
          </w:tcPr>
          <w:p>
            <w:pPr>
              <w:pStyle w:val="Heading3"/>
              <w:snapToGrid w:val="false"/>
              <w:rPr>
                <w:rFonts w:ascii="IBM Plex Sans Condensed" w:hAnsi="IBM Plex Sans Condensed" w:cs="IBM Plex Sans Condensed"/>
                <w:szCs w:val="22"/>
                <w:u w:val="none"/>
              </w:rPr>
            </w:pPr>
            <w:r>
              <w:rPr>
                <w:rFonts w:cs="IBM Plex Sans Condensed" w:ascii="IBM Plex Sans Condensed" w:hAnsi="IBM Plex Sans Condensed"/>
                <w:szCs w:val="22"/>
                <w:u w:val="none"/>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sz w:val="22"/>
                <w:szCs w:val="22"/>
                <w:u w:val="none"/>
              </w:rPr>
            </w:pPr>
            <w:r>
              <w:rPr>
                <w:rFonts w:cs="IBM Plex Sans Condensed" w:ascii="IBM Plex Sans Condensed" w:hAnsi="IBM Plex Sans Condensed"/>
                <w:sz w:val="22"/>
                <w:szCs w:val="22"/>
                <w:u w:val="none"/>
              </w:rPr>
            </w:r>
          </w:p>
        </w:tc>
      </w:tr>
      <w:tr>
        <w:trPr/>
        <w:tc>
          <w:tcPr>
            <w:tcW w:w="2092" w:type="dxa"/>
            <w:tcBorders>
              <w:top w:val="dotted" w:sz="4" w:space="0" w:color="000000"/>
              <w:left w:val="dotted" w:sz="4" w:space="0" w:color="000000"/>
              <w:bottom w:val="dotted" w:sz="4" w:space="0" w:color="000000"/>
            </w:tcBorders>
            <w:shd w:fill="auto" w:val="clear"/>
          </w:tcPr>
          <w:p>
            <w:pPr>
              <w:pStyle w:val="Heading3"/>
              <w:rPr>
                <w:rFonts w:ascii="IBM Plex Sans Condensed" w:hAnsi="IBM Plex Sans Condensed" w:cs="IBM Plex Sans Condensed"/>
                <w:szCs w:val="22"/>
                <w:u w:val="none"/>
              </w:rPr>
            </w:pPr>
            <w:r>
              <w:rPr>
                <w:rFonts w:cs="IBM Plex Sans Condensed" w:ascii="IBM Plex Sans Condensed" w:hAnsi="IBM Plex Sans Condensed"/>
                <w:szCs w:val="22"/>
                <w:u w:val="none"/>
              </w:rPr>
              <w:t>Teaching:</w:t>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ensure high standards of professional learning relationship with students of all ages and abilities.</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teach, students according to their educational needs, including the setting and marking of work to be carried out by the student in school and elsewhere.</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take a register at the start of each lesson.</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assess, record and report on the attendance, progress, development and attainment of students and to keep such records as are required.</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provide, or contribute to, oral and written assessments, reports and references relating to individual students and groups of students.</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ensure that ICT, Literacy, Numeracy and school subject specialism(s) are reflected in the teaching/learning experience of students.</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undertake a designated programme of teaching.</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ensure a high-quality learning experience for students which meets internal and external quality standards.</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prepare and update subject materials.</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use a variety of delivery methods which will stimulate learning appropriate to student needs and demands of the syllabus.</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maintain discipline in accordance with the school’s behaviour for learning procedures, and to ensure high standards with regard to punctuality, behaviour, standards of work and homework.</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undertake assessment of students as requested by external examination bodies, departmental and school procedures.</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mark, grade and give written/verbal and diagnostic feedback as required.</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Consult with form tutors/Head of House over individual pupils and engage in agreed courses of action.</w:t>
            </w:r>
          </w:p>
          <w:p>
            <w:pPr>
              <w:pStyle w:val="Normal"/>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r>
          </w:p>
        </w:tc>
      </w:tr>
      <w:tr>
        <w:trPr/>
        <w:tc>
          <w:tcPr>
            <w:tcW w:w="2092" w:type="dxa"/>
            <w:tcBorders>
              <w:top w:val="dotted" w:sz="4" w:space="0" w:color="000000"/>
              <w:left w:val="dotted" w:sz="4" w:space="0" w:color="000000"/>
              <w:bottom w:val="dotted" w:sz="4" w:space="0" w:color="000000"/>
            </w:tcBorders>
            <w:shd w:fill="auto" w:val="clear"/>
          </w:tcPr>
          <w:p>
            <w:pPr>
              <w:pStyle w:val="Heading3"/>
              <w:snapToGrid w:val="false"/>
              <w:rPr>
                <w:rFonts w:ascii="IBM Plex Sans Condensed" w:hAnsi="IBM Plex Sans Condensed" w:cs="IBM Plex Sans Condensed"/>
                <w:sz w:val="22"/>
                <w:szCs w:val="22"/>
                <w:u w:val="none"/>
              </w:rPr>
            </w:pPr>
            <w:r>
              <w:rPr>
                <w:rFonts w:cs="IBM Plex Sans Condensed" w:ascii="IBM Plex Sans Condensed" w:hAnsi="IBM Plex Sans Condensed"/>
                <w:sz w:val="22"/>
                <w:szCs w:val="22"/>
                <w:u w:val="none"/>
              </w:rPr>
            </w:r>
          </w:p>
        </w:tc>
        <w:tc>
          <w:tcPr>
            <w:tcW w:w="7771" w:type="dxa"/>
            <w:tcBorders>
              <w:top w:val="dotted" w:sz="4" w:space="0" w:color="000000"/>
              <w:left w:val="dotted" w:sz="4" w:space="0" w:color="000000"/>
              <w:bottom w:val="dotted" w:sz="4" w:space="0" w:color="000000"/>
              <w:right w:val="dotted" w:sz="4" w:space="0" w:color="000000"/>
            </w:tcBorders>
            <w:shd w:fill="auto" w:val="clear"/>
          </w:tcPr>
          <w:p>
            <w:pPr>
              <w:pStyle w:val="Normal"/>
              <w:snapToGrid w:val="false"/>
              <w:jc w:val="both"/>
              <w:rPr>
                <w:rFonts w:ascii="IBM Plex Sans Condensed" w:hAnsi="IBM Plex Sans Condensed" w:cs="IBM Plex Sans Condensed"/>
                <w:sz w:val="22"/>
                <w:szCs w:val="22"/>
                <w:u w:val="none"/>
              </w:rPr>
            </w:pPr>
            <w:r>
              <w:rPr>
                <w:rFonts w:cs="IBM Plex Sans Condensed" w:ascii="IBM Plex Sans Condensed" w:hAnsi="IBM Plex Sans Condensed"/>
                <w:sz w:val="22"/>
                <w:szCs w:val="22"/>
                <w:u w:val="none"/>
              </w:rPr>
            </w:r>
          </w:p>
        </w:tc>
      </w:tr>
      <w:tr>
        <w:trPr/>
        <w:tc>
          <w:tcPr>
            <w:tcW w:w="9863" w:type="dxa"/>
            <w:gridSpan w:val="2"/>
            <w:tcBorders>
              <w:top w:val="dotted" w:sz="4" w:space="0" w:color="000000"/>
              <w:left w:val="dotted" w:sz="4" w:space="0" w:color="000000"/>
              <w:bottom w:val="dotted" w:sz="4" w:space="0" w:color="000000"/>
              <w:right w:val="dotted" w:sz="4" w:space="0" w:color="000000"/>
            </w:tcBorders>
            <w:shd w:fill="auto" w:val="clear"/>
          </w:tcPr>
          <w:p>
            <w:pPr>
              <w:pStyle w:val="TextBody"/>
              <w:rPr>
                <w:rFonts w:ascii="IBM Plex Sans Condensed" w:hAnsi="IBM Plex Sans Condensed" w:cs="IBM Plex Sans Condensed"/>
                <w:szCs w:val="22"/>
              </w:rPr>
            </w:pPr>
            <w:r>
              <w:rPr>
                <w:rFonts w:cs="IBM Plex Sans Condensed" w:ascii="IBM Plex Sans Condensed" w:hAnsi="IBM Plex Sans Condensed"/>
                <w:szCs w:val="22"/>
              </w:rPr>
              <w:t>Other Specific Duties:</w:t>
            </w:r>
          </w:p>
        </w:tc>
      </w:tr>
      <w:tr>
        <w:trPr/>
        <w:tc>
          <w:tcPr>
            <w:tcW w:w="9863" w:type="dxa"/>
            <w:gridSpan w:val="2"/>
            <w:tcBorders>
              <w:top w:val="dotted" w:sz="4" w:space="0" w:color="000000"/>
              <w:left w:val="dotted" w:sz="4" w:space="0" w:color="000000"/>
              <w:bottom w:val="dotted" w:sz="4" w:space="0" w:color="000000"/>
              <w:right w:val="dotted" w:sz="4" w:space="0" w:color="000000"/>
            </w:tcBorders>
            <w:shd w:fill="auto" w:val="clear"/>
          </w:tcPr>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be a Form Tutor to an assigned group of students as per generic job description.</w:t>
            </w:r>
          </w:p>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play a full part in the life of the school community, to support its distinctive mission and ethos to encourage staff and students to follow this example.</w:t>
            </w:r>
          </w:p>
          <w:p>
            <w:pPr>
              <w:pStyle w:val="Normal"/>
              <w:numPr>
                <w:ilvl w:val="0"/>
                <w:numId w:val="4"/>
              </w:numPr>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To support the religious ethos of school and take part in prayers at the end of the school day.</w:t>
            </w:r>
          </w:p>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attend school/year/House assemblies and school communions.</w:t>
            </w:r>
          </w:p>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promote actively the school’s corporate policies.</w:t>
            </w:r>
          </w:p>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continue personal development as agreed.</w:t>
            </w:r>
          </w:p>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comply with the school’s Health and Safety Policy and undertake risk assessments as appropriate.</w:t>
            </w:r>
          </w:p>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undertake any other duty as specified by STPCD not mentioned in the above.</w:t>
            </w:r>
          </w:p>
          <w:p>
            <w:pPr>
              <w:pStyle w:val="TextBody"/>
              <w:numPr>
                <w:ilvl w:val="0"/>
                <w:numId w:val="5"/>
              </w:numPr>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To carry out a share of supervisory duties in accordance with published rosters.</w:t>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Whilst every effort has been made to explain the main duties and responsibilities of the post, each individual task undertaken may not be identified.</w:t>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Colleagues will be expected to comply with any reasonable request from a manager to undertake work of a similar level that is not specified in this job description.</w:t>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Colleagues are expected to be courteous to other colleagues and provide a welcoming environment to visitors and telephone callers.</w:t>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r>
          </w:p>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pPr>
              <w:pStyle w:val="TextBody"/>
              <w:jc w:val="both"/>
              <w:rPr>
                <w:rFonts w:ascii="IBM Plex Sans Condensed" w:hAnsi="IBM Plex Sans Condensed" w:cs="IBM Plex Sans Condensed"/>
                <w:szCs w:val="22"/>
              </w:rPr>
            </w:pPr>
            <w:r>
              <w:rPr>
                <w:rFonts w:cs="IBM Plex Sans Condensed" w:ascii="IBM Plex Sans Condensed" w:hAnsi="IBM Plex Sans Condensed"/>
                <w:szCs w:val="22"/>
              </w:rPr>
            </w:r>
          </w:p>
        </w:tc>
      </w:tr>
      <w:tr>
        <w:trPr/>
        <w:tc>
          <w:tcPr>
            <w:tcW w:w="9863" w:type="dxa"/>
            <w:gridSpan w:val="2"/>
            <w:tcBorders>
              <w:top w:val="dotted" w:sz="4" w:space="0" w:color="000000"/>
              <w:left w:val="dotted" w:sz="4" w:space="0" w:color="000000"/>
              <w:bottom w:val="dotted" w:sz="4" w:space="0" w:color="000000"/>
              <w:right w:val="dotted" w:sz="4" w:space="0" w:color="000000"/>
            </w:tcBorders>
            <w:shd w:fill="auto" w:val="clear"/>
          </w:tcPr>
          <w:p>
            <w:pPr>
              <w:pStyle w:val="TextBody"/>
              <w:snapToGrid w:val="false"/>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r>
          </w:p>
        </w:tc>
      </w:tr>
      <w:tr>
        <w:trPr/>
        <w:tc>
          <w:tcPr>
            <w:tcW w:w="9863" w:type="dxa"/>
            <w:gridSpan w:val="2"/>
            <w:tcBorders>
              <w:top w:val="dotted" w:sz="4" w:space="0" w:color="000000"/>
              <w:left w:val="dotted" w:sz="4" w:space="0" w:color="000000"/>
              <w:bottom w:val="dotted" w:sz="4" w:space="0" w:color="000000"/>
              <w:right w:val="dotted" w:sz="4" w:space="0" w:color="000000"/>
            </w:tcBorders>
            <w:shd w:fill="auto" w:val="clear"/>
          </w:tcPr>
          <w:p>
            <w:pPr>
              <w:pStyle w:val="TextBody"/>
              <w:jc w:val="both"/>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This job description is current at the date shown, but following consultation with you, may be changed by Leadership to reflect or anticipate changes in the job which are commensurate with the salary and job title.</w:t>
            </w:r>
          </w:p>
        </w:tc>
      </w:tr>
    </w:tbl>
    <w:p>
      <w:pPr>
        <w:sectPr>
          <w:headerReference w:type="default" r:id="rId2"/>
          <w:footerReference w:type="default" r:id="rId3"/>
          <w:type w:val="nextPage"/>
          <w:pgSz w:w="11906" w:h="16838"/>
          <w:pgMar w:left="1134" w:right="1134" w:header="720" w:top="1702" w:footer="720" w:bottom="851" w:gutter="0"/>
          <w:pgNumType w:fmt="decimal"/>
          <w:formProt w:val="false"/>
          <w:textDirection w:val="lrTb"/>
          <w:docGrid w:type="default" w:linePitch="100" w:charSpace="8192"/>
        </w:sectPr>
      </w:pPr>
    </w:p>
    <w:p>
      <w:pPr>
        <w:pStyle w:val="Normal"/>
        <w:jc w:val="center"/>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t>Person Specification</w:t>
      </w:r>
    </w:p>
    <w:p>
      <w:pPr>
        <w:pStyle w:val="Normal"/>
        <w:jc w:val="both"/>
        <w:rPr>
          <w:rFonts w:ascii="IBM Plex Sans Condensed" w:hAnsi="IBM Plex Sans Condensed" w:cs="IBM Plex Sans Condensed"/>
          <w:b/>
          <w:b/>
          <w:bCs/>
          <w:sz w:val="22"/>
          <w:szCs w:val="22"/>
        </w:rPr>
      </w:pPr>
      <w:r>
        <w:rPr>
          <w:rFonts w:cs="IBM Plex Sans Condensed" w:ascii="IBM Plex Sans Condensed" w:hAnsi="IBM Plex Sans Condensed"/>
          <w:b/>
          <w:bCs/>
          <w:sz w:val="22"/>
          <w:szCs w:val="22"/>
        </w:rPr>
      </w:r>
    </w:p>
    <w:p>
      <w:pPr>
        <w:pStyle w:val="Heading1"/>
        <w:rPr/>
      </w:pPr>
      <w:r>
        <w:rPr>
          <w:rFonts w:cs="IBM Plex Sans Condensed" w:ascii="IBM Plex Sans Condensed" w:hAnsi="IBM Plex Sans Condensed"/>
          <w:szCs w:val="22"/>
        </w:rPr>
        <w:t>Post:</w:t>
        <w:tab/>
        <w:t xml:space="preserve">Teacher of Psychology - </w:t>
      </w:r>
      <w:r>
        <w:rPr>
          <w:rFonts w:cs="IBM Plex Sans Condensed" w:ascii="IBM Plex Sans Condensed" w:hAnsi="IBM Plex Sans Condensed"/>
          <w:sz w:val="24"/>
          <w:szCs w:val="24"/>
        </w:rPr>
        <w:t>Maternity Cover</w:t>
      </w:r>
    </w:p>
    <w:p>
      <w:pPr>
        <w:pStyle w:val="Heading1"/>
        <w:rPr>
          <w:rFonts w:ascii="IBM Plex Sans Condensed" w:hAnsi="IBM Plex Sans Condensed" w:cs="IBM Plex Sans Condensed"/>
          <w:b w:val="false"/>
          <w:b w:val="false"/>
          <w:bCs w:val="false"/>
          <w:szCs w:val="22"/>
        </w:rPr>
      </w:pPr>
      <w:r>
        <w:rPr>
          <w:rFonts w:cs="IBM Plex Sans Condensed" w:ascii="IBM Plex Sans Condensed" w:hAnsi="IBM Plex Sans Condensed"/>
          <w:b w:val="false"/>
          <w:bCs w:val="false"/>
          <w:szCs w:val="22"/>
        </w:rPr>
        <w:tab/>
        <w:tab/>
        <w:tab/>
        <w:tab/>
        <w:tab/>
        <w:tab/>
        <w:tab/>
        <w:tab/>
      </w:r>
    </w:p>
    <w:p>
      <w:pPr>
        <w:pStyle w:val="Normal"/>
        <w:jc w:val="both"/>
        <w:rPr>
          <w:rFonts w:ascii="IBM Plex Sans Condensed" w:hAnsi="IBM Plex Sans Condensed" w:cs="IBM Plex Sans Condensed"/>
          <w:sz w:val="22"/>
          <w:szCs w:val="22"/>
        </w:rPr>
      </w:pPr>
      <w:r>
        <w:rPr>
          <w:rFonts w:cs="IBM Plex Sans Condensed" w:ascii="IBM Plex Sans Condensed" w:hAnsi="IBM Plex Sans Condensed"/>
          <w:sz w:val="22"/>
          <w:szCs w:val="22"/>
        </w:rPr>
        <w:t>In your application, please demonstrate how you meet these criteria.</w:t>
      </w:r>
    </w:p>
    <w:tbl>
      <w:tblPr>
        <w:tblW w:w="14343" w:type="dxa"/>
        <w:jc w:val="left"/>
        <w:tblInd w:w="0" w:type="dxa"/>
        <w:tblCellMar>
          <w:top w:w="0" w:type="dxa"/>
          <w:left w:w="108" w:type="dxa"/>
          <w:bottom w:w="0" w:type="dxa"/>
          <w:right w:w="108" w:type="dxa"/>
        </w:tblCellMar>
      </w:tblPr>
      <w:tblGrid>
        <w:gridCol w:w="1807"/>
        <w:gridCol w:w="6976"/>
        <w:gridCol w:w="4143"/>
        <w:gridCol w:w="1417"/>
      </w:tblGrid>
      <w:tr>
        <w:trPr/>
        <w:tc>
          <w:tcPr>
            <w:tcW w:w="1807" w:type="dxa"/>
            <w:tcBorders>
              <w:top w:val="single" w:sz="4" w:space="0" w:color="000000"/>
              <w:left w:val="single" w:sz="4" w:space="0" w:color="000000"/>
              <w:bottom w:val="single" w:sz="4" w:space="0" w:color="000000"/>
            </w:tcBorders>
            <w:shd w:fill="auto" w:val="clear"/>
          </w:tcPr>
          <w:p>
            <w:pPr>
              <w:pStyle w:val="Normal"/>
              <w:keepNext w:val="true"/>
              <w:numPr>
                <w:ilvl w:val="0"/>
                <w:numId w:val="0"/>
              </w:numPr>
              <w:ind w:left="0" w:hanging="0"/>
              <w:jc w:val="both"/>
              <w:rPr>
                <w:rFonts w:ascii="IBM Plex Sans Condensed" w:hAnsi="IBM Plex Sans Condensed" w:cs="IBM Plex Sans Condensed"/>
                <w:b/>
                <w:b/>
                <w:bCs/>
                <w:sz w:val="22"/>
                <w:szCs w:val="24"/>
              </w:rPr>
            </w:pPr>
            <w:r>
              <w:rPr>
                <w:rFonts w:cs="IBM Plex Sans Condensed" w:ascii="IBM Plex Sans Condensed" w:hAnsi="IBM Plex Sans Condensed"/>
                <w:b/>
                <w:bCs/>
                <w:sz w:val="22"/>
                <w:szCs w:val="24"/>
              </w:rPr>
              <w:t>Attributes</w:t>
            </w:r>
          </w:p>
        </w:tc>
        <w:tc>
          <w:tcPr>
            <w:tcW w:w="6976" w:type="dxa"/>
            <w:tcBorders>
              <w:top w:val="single" w:sz="4" w:space="0" w:color="000000"/>
              <w:left w:val="single" w:sz="4" w:space="0" w:color="000000"/>
              <w:bottom w:val="single" w:sz="4" w:space="0" w:color="000000"/>
            </w:tcBorders>
            <w:shd w:fill="auto" w:val="clear"/>
          </w:tcPr>
          <w:p>
            <w:pPr>
              <w:pStyle w:val="Normal"/>
              <w:keepNext w:val="true"/>
              <w:numPr>
                <w:ilvl w:val="0"/>
                <w:numId w:val="0"/>
              </w:numPr>
              <w:ind w:left="0" w:hanging="0"/>
              <w:jc w:val="both"/>
              <w:rPr>
                <w:rFonts w:ascii="IBM Plex Sans Condensed" w:hAnsi="IBM Plex Sans Condensed" w:cs="IBM Plex Sans Condensed"/>
                <w:b/>
                <w:b/>
                <w:bCs/>
                <w:sz w:val="22"/>
                <w:szCs w:val="24"/>
              </w:rPr>
            </w:pPr>
            <w:r>
              <w:rPr>
                <w:rFonts w:cs="IBM Plex Sans Condensed" w:ascii="IBM Plex Sans Condensed" w:hAnsi="IBM Plex Sans Condensed"/>
                <w:b/>
                <w:bCs/>
                <w:sz w:val="22"/>
                <w:szCs w:val="24"/>
              </w:rPr>
              <w:t>Essential</w:t>
            </w:r>
          </w:p>
        </w:tc>
        <w:tc>
          <w:tcPr>
            <w:tcW w:w="4143" w:type="dxa"/>
            <w:tcBorders>
              <w:top w:val="single" w:sz="4" w:space="0" w:color="000000"/>
              <w:left w:val="single" w:sz="4" w:space="0" w:color="000000"/>
              <w:bottom w:val="single" w:sz="4" w:space="0" w:color="000000"/>
            </w:tcBorders>
            <w:shd w:fill="auto" w:val="clear"/>
          </w:tcPr>
          <w:p>
            <w:pPr>
              <w:pStyle w:val="Normal"/>
              <w:keepNext w:val="true"/>
              <w:numPr>
                <w:ilvl w:val="0"/>
                <w:numId w:val="0"/>
              </w:numPr>
              <w:ind w:left="0" w:hanging="0"/>
              <w:jc w:val="both"/>
              <w:rPr>
                <w:rFonts w:ascii="IBM Plex Sans Condensed" w:hAnsi="IBM Plex Sans Condensed" w:cs="IBM Plex Sans Condensed"/>
                <w:b/>
                <w:b/>
                <w:bCs/>
                <w:sz w:val="22"/>
                <w:szCs w:val="24"/>
              </w:rPr>
            </w:pPr>
            <w:r>
              <w:rPr>
                <w:rFonts w:cs="IBM Plex Sans Condensed" w:ascii="IBM Plex Sans Condensed" w:hAnsi="IBM Plex Sans Condensed"/>
                <w:b/>
                <w:bCs/>
                <w:sz w:val="22"/>
                <w:szCs w:val="24"/>
              </w:rPr>
              <w:t>Desirable</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ind w:left="0" w:hanging="0"/>
              <w:jc w:val="both"/>
              <w:rPr>
                <w:rFonts w:ascii="IBM Plex Sans Condensed" w:hAnsi="IBM Plex Sans Condensed" w:cs="IBM Plex Sans Condensed"/>
                <w:b/>
                <w:b/>
                <w:bCs/>
                <w:sz w:val="22"/>
                <w:szCs w:val="24"/>
              </w:rPr>
            </w:pPr>
            <w:r>
              <w:rPr>
                <w:rFonts w:cs="IBM Plex Sans Condensed" w:ascii="IBM Plex Sans Condensed" w:hAnsi="IBM Plex Sans Condensed"/>
                <w:b/>
                <w:bCs/>
                <w:sz w:val="22"/>
                <w:szCs w:val="24"/>
              </w:rPr>
              <w:t>How Identified</w:t>
            </w:r>
          </w:p>
        </w:tc>
      </w:tr>
      <w:tr>
        <w:trPr/>
        <w:tc>
          <w:tcPr>
            <w:tcW w:w="1807" w:type="dxa"/>
            <w:tcBorders>
              <w:top w:val="single" w:sz="4" w:space="0" w:color="000000"/>
              <w:left w:val="single" w:sz="4" w:space="0" w:color="000000"/>
              <w:bottom w:val="single" w:sz="4" w:space="0" w:color="000000"/>
            </w:tcBorders>
            <w:shd w:fill="auto" w:val="clear"/>
          </w:tcPr>
          <w:p>
            <w:pPr>
              <w:pStyle w:val="Normal"/>
              <w:jc w:val="both"/>
              <w:rPr>
                <w:rFonts w:ascii="IBM Plex Sans Condensed" w:hAnsi="IBM Plex Sans Condensed" w:cs="IBM Plex Sans Condensed"/>
                <w:sz w:val="24"/>
                <w:szCs w:val="24"/>
              </w:rPr>
            </w:pPr>
            <w:r>
              <w:rPr>
                <w:rFonts w:cs="IBM Plex Sans Condensed" w:ascii="IBM Plex Sans Condensed" w:hAnsi="IBM Plex Sans Condensed"/>
                <w:sz w:val="24"/>
                <w:szCs w:val="24"/>
              </w:rPr>
              <w:t>Qualifications</w:t>
            </w:r>
          </w:p>
        </w:tc>
        <w:tc>
          <w:tcPr>
            <w:tcW w:w="6976" w:type="dxa"/>
            <w:tcBorders>
              <w:top w:val="single" w:sz="4" w:space="0" w:color="000000"/>
              <w:left w:val="single" w:sz="4" w:space="0" w:color="000000"/>
              <w:bottom w:val="single" w:sz="4" w:space="0" w:color="000000"/>
            </w:tcBorders>
            <w:shd w:fill="auto" w:val="clear"/>
          </w:tcPr>
          <w:p>
            <w:pPr>
              <w:pStyle w:val="Normal"/>
              <w:numPr>
                <w:ilvl w:val="0"/>
                <w:numId w:val="8"/>
              </w:numPr>
              <w:spacing w:before="0" w:after="0"/>
              <w:contextualSpacing/>
              <w:rPr/>
            </w:pPr>
            <w:r>
              <w:rPr>
                <w:rFonts w:cs="IBM Plex Sans Condensed" w:ascii="IBM Plex Sans Condensed" w:hAnsi="IBM Plex Sans Condensed"/>
                <w:sz w:val="24"/>
                <w:szCs w:val="24"/>
              </w:rPr>
              <w:t>Degree, teaching qualification in the specified subject area</w:t>
            </w:r>
            <w:r>
              <w:rPr>
                <w:rFonts w:cs="IBM Plex Sans Condensed" w:ascii="IBM Plex Sans Condensed" w:hAnsi="IBM Plex Sans Condensed"/>
                <w:color w:val="000000"/>
                <w:sz w:val="24"/>
                <w:szCs w:val="24"/>
                <w:lang w:eastAsia="en-GB"/>
              </w:rPr>
              <w:t xml:space="preserve">, </w:t>
            </w:r>
            <w:r>
              <w:rPr>
                <w:rFonts w:cs="IBM Plex Sans Condensed" w:ascii="IBM Plex Sans Condensed" w:hAnsi="IBM Plex Sans Condensed"/>
                <w:color w:val="000000"/>
                <w:sz w:val="22"/>
                <w:szCs w:val="22"/>
                <w:lang w:eastAsia="en-GB"/>
              </w:rPr>
              <w:t>(Psychology, Social and/or Health &amp; Social Care).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Recent record of appropriate in-service training</w:t>
            </w:r>
          </w:p>
        </w:tc>
        <w:tc>
          <w:tcPr>
            <w:tcW w:w="4143" w:type="dxa"/>
            <w:tcBorders>
              <w:top w:val="single" w:sz="4" w:space="0" w:color="000000"/>
              <w:left w:val="single" w:sz="4" w:space="0" w:color="000000"/>
              <w:bottom w:val="single" w:sz="4" w:space="0" w:color="000000"/>
            </w:tcBorders>
            <w:shd w:fill="auto" w:val="clear"/>
          </w:tcPr>
          <w:p>
            <w:pPr>
              <w:pStyle w:val="Normal"/>
              <w:numPr>
                <w:ilvl w:val="0"/>
                <w:numId w:val="6"/>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Higher level degree, further educational qualifications</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IBM Plex Sans Condensed" w:hAnsi="IBM Plex Sans Condensed" w:cs="IBM Plex Sans Condensed"/>
                <w:sz w:val="24"/>
                <w:szCs w:val="24"/>
              </w:rPr>
            </w:pPr>
            <w:r>
              <w:rPr>
                <w:rFonts w:cs="IBM Plex Sans Condensed" w:ascii="IBM Plex Sans Condensed" w:hAnsi="IBM Plex Sans Condensed"/>
                <w:sz w:val="24"/>
                <w:szCs w:val="24"/>
              </w:rPr>
              <w:t>A</w:t>
            </w:r>
          </w:p>
          <w:p>
            <w:pPr>
              <w:pStyle w:val="Normal"/>
              <w:jc w:val="center"/>
              <w:rPr>
                <w:rFonts w:ascii="IBM Plex Sans Condensed" w:hAnsi="IBM Plex Sans Condensed" w:cs="IBM Plex Sans Condensed"/>
                <w:sz w:val="24"/>
                <w:szCs w:val="24"/>
              </w:rPr>
            </w:pPr>
            <w:r>
              <w:rPr>
                <w:rFonts w:cs="IBM Plex Sans Condensed" w:ascii="IBM Plex Sans Condensed" w:hAnsi="IBM Plex Sans Condensed"/>
                <w:sz w:val="24"/>
                <w:szCs w:val="24"/>
              </w:rPr>
            </w:r>
          </w:p>
        </w:tc>
      </w:tr>
      <w:tr>
        <w:trPr/>
        <w:tc>
          <w:tcPr>
            <w:tcW w:w="1807" w:type="dxa"/>
            <w:tcBorders>
              <w:top w:val="single" w:sz="4" w:space="0" w:color="000000"/>
              <w:left w:val="single" w:sz="4" w:space="0" w:color="000000"/>
              <w:bottom w:val="single" w:sz="4" w:space="0" w:color="000000"/>
            </w:tcBorders>
            <w:shd w:fill="auto" w:val="clear"/>
          </w:tcPr>
          <w:p>
            <w:pPr>
              <w:pStyle w:val="Normal"/>
              <w:rPr>
                <w:rFonts w:ascii="IBM Plex Sans Condensed" w:hAnsi="IBM Plex Sans Condensed" w:cs="IBM Plex Sans Condensed"/>
                <w:sz w:val="24"/>
                <w:szCs w:val="24"/>
              </w:rPr>
            </w:pPr>
            <w:r>
              <w:rPr>
                <w:rFonts w:cs="IBM Plex Sans Condensed" w:ascii="IBM Plex Sans Condensed" w:hAnsi="IBM Plex Sans Condensed"/>
                <w:sz w:val="24"/>
                <w:szCs w:val="24"/>
              </w:rPr>
              <w:t>Work Related Experience and Associated Skills</w:t>
            </w:r>
          </w:p>
        </w:tc>
        <w:tc>
          <w:tcPr>
            <w:tcW w:w="6976" w:type="dxa"/>
            <w:tcBorders>
              <w:top w:val="single" w:sz="4" w:space="0" w:color="000000"/>
              <w:left w:val="single" w:sz="4" w:space="0" w:color="000000"/>
              <w:bottom w:val="single" w:sz="4" w:space="0" w:color="000000"/>
            </w:tcBorders>
            <w:shd w:fill="auto" w:val="clear"/>
          </w:tcPr>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Successful classroom experience across the 11 – 16 range, demonstrating excellent student progress against targets at all levels.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 xml:space="preserve">Ability to teach Psychology </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Ability to teach A Level.</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Experience of being a team player with good people skills and evidence of the impact of these.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Experience of developments in teaching and learning, with demonstrable impact, demonstrating strategic planning and task completion.</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Knowledge in the use of ICT and data to monitor and raise pupil achievement.</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 xml:space="preserve">Willingness to promote school ethos and participate and or coordinate extra-curricular and whole school activities. </w:t>
            </w:r>
          </w:p>
          <w:p>
            <w:pPr>
              <w:pStyle w:val="Normal"/>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r>
          </w:p>
        </w:tc>
        <w:tc>
          <w:tcPr>
            <w:tcW w:w="4143" w:type="dxa"/>
            <w:tcBorders>
              <w:top w:val="single" w:sz="4" w:space="0" w:color="000000"/>
              <w:left w:val="single" w:sz="4" w:space="0" w:color="000000"/>
              <w:bottom w:val="single" w:sz="4" w:space="0" w:color="000000"/>
            </w:tcBorders>
            <w:shd w:fill="auto" w:val="clear"/>
          </w:tcPr>
          <w:p>
            <w:pPr>
              <w:pStyle w:val="Normal"/>
              <w:numPr>
                <w:ilvl w:val="0"/>
                <w:numId w:val="7"/>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Substantial successful classroom experience across the 11 – 18 range, demonstrating excellent student progress against targets at all levels.</w:t>
            </w:r>
          </w:p>
          <w:p>
            <w:pPr>
              <w:pStyle w:val="Normal"/>
              <w:numPr>
                <w:ilvl w:val="0"/>
                <w:numId w:val="7"/>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Ability to teach Health &amp; Social Care.</w:t>
            </w:r>
          </w:p>
          <w:p>
            <w:pPr>
              <w:pStyle w:val="Normal"/>
              <w:numPr>
                <w:ilvl w:val="0"/>
                <w:numId w:val="7"/>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Contribution to or leading whole school improvement work, including INSET, with demonstrable impact.</w:t>
            </w:r>
          </w:p>
          <w:p>
            <w:pPr>
              <w:pStyle w:val="Normal"/>
              <w:numPr>
                <w:ilvl w:val="0"/>
                <w:numId w:val="7"/>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Collaboration with feeder schools, partner schools and partners.</w:t>
            </w:r>
          </w:p>
          <w:p>
            <w:pPr>
              <w:pStyle w:val="Normal"/>
              <w:numPr>
                <w:ilvl w:val="0"/>
                <w:numId w:val="7"/>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Evidence of good progress against targets of any taught groups who have recently completed external qualifications e.g. GCSE and A Level.</w:t>
            </w:r>
          </w:p>
          <w:p>
            <w:pPr>
              <w:pStyle w:val="Normal"/>
              <w:numPr>
                <w:ilvl w:val="0"/>
                <w:numId w:val="7"/>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Currently working in a UK school.</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IBM Plex Sans Condensed" w:hAnsi="IBM Plex Sans Condensed" w:cs="IBM Plex Sans Condensed"/>
                <w:sz w:val="24"/>
                <w:szCs w:val="24"/>
              </w:rPr>
            </w:pPr>
            <w:r>
              <w:rPr>
                <w:rFonts w:cs="IBM Plex Sans Condensed" w:ascii="IBM Plex Sans Condensed" w:hAnsi="IBM Plex Sans Condensed"/>
                <w:sz w:val="24"/>
                <w:szCs w:val="24"/>
              </w:rPr>
              <w:t>A/L/LO/I/R</w:t>
            </w:r>
          </w:p>
        </w:tc>
      </w:tr>
      <w:tr>
        <w:trPr/>
        <w:tc>
          <w:tcPr>
            <w:tcW w:w="1807" w:type="dxa"/>
            <w:tcBorders>
              <w:top w:val="single" w:sz="4" w:space="0" w:color="000000"/>
              <w:left w:val="single" w:sz="4" w:space="0" w:color="000000"/>
              <w:bottom w:val="single" w:sz="4" w:space="0" w:color="000000"/>
            </w:tcBorders>
            <w:shd w:fill="auto" w:val="clear"/>
          </w:tcPr>
          <w:p>
            <w:pPr>
              <w:pStyle w:val="Normal"/>
              <w:rPr>
                <w:rFonts w:ascii="IBM Plex Sans Condensed" w:hAnsi="IBM Plex Sans Condensed" w:cs="IBM Plex Sans Condensed"/>
                <w:sz w:val="24"/>
                <w:szCs w:val="24"/>
              </w:rPr>
            </w:pPr>
            <w:r>
              <w:rPr>
                <w:rFonts w:cs="IBM Plex Sans Condensed" w:ascii="IBM Plex Sans Condensed" w:hAnsi="IBM Plex Sans Condensed"/>
                <w:sz w:val="24"/>
                <w:szCs w:val="24"/>
              </w:rPr>
              <w:t>Personal Skills/Specialist Knowledge</w:t>
            </w:r>
          </w:p>
        </w:tc>
        <w:tc>
          <w:tcPr>
            <w:tcW w:w="6976" w:type="dxa"/>
            <w:tcBorders>
              <w:top w:val="single" w:sz="4" w:space="0" w:color="000000"/>
              <w:left w:val="single" w:sz="4" w:space="0" w:color="000000"/>
              <w:bottom w:val="single" w:sz="4" w:space="0" w:color="000000"/>
            </w:tcBorders>
            <w:shd w:fill="auto" w:val="clear"/>
          </w:tcPr>
          <w:p>
            <w:pPr>
              <w:pStyle w:val="Normal"/>
              <w:rPr>
                <w:rFonts w:ascii="IBM Plex Sans Condensed" w:hAnsi="IBM Plex Sans Condensed" w:cs="IBM Plex Sans Condensed"/>
                <w:b/>
                <w:b/>
                <w:sz w:val="24"/>
                <w:szCs w:val="24"/>
              </w:rPr>
            </w:pPr>
            <w:r>
              <w:rPr>
                <w:rFonts w:cs="IBM Plex Sans Condensed" w:ascii="IBM Plex Sans Condensed" w:hAnsi="IBM Plex Sans Condensed"/>
                <w:b/>
                <w:sz w:val="24"/>
                <w:szCs w:val="24"/>
              </w:rPr>
              <w:t>Learning &amp; Teaching:</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Demonstrate good and outstanding classroom practice against the national standards in both formal and informal observations.</w:t>
            </w:r>
          </w:p>
          <w:p>
            <w:pPr>
              <w:pStyle w:val="Normal"/>
              <w:rPr>
                <w:rFonts w:ascii="IBM Plex Sans Condensed" w:hAnsi="IBM Plex Sans Condensed" w:cs="IBM Plex Sans Condensed"/>
                <w:b/>
                <w:b/>
                <w:sz w:val="24"/>
                <w:szCs w:val="24"/>
              </w:rPr>
            </w:pPr>
            <w:r>
              <w:rPr>
                <w:rFonts w:cs="IBM Plex Sans Condensed" w:ascii="IBM Plex Sans Condensed" w:hAnsi="IBM Plex Sans Condensed"/>
                <w:b/>
                <w:sz w:val="24"/>
                <w:szCs w:val="24"/>
              </w:rPr>
              <w:t>Leading People: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Being a strong team player, showing the potential to motivate and inspire staff to be involved in change and school improvement.</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An understanding of how Christian values translate into outstanding education, and examples of how personal values have impacted on development.</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Understanding the balance of whole school and subject based priorities.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Understanding “outstanding performance” and have ideas and creativity to move from “good” to “outstanding”.</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Ability to monitor student progress giving meaningful feedback to them, in order for them to improve.</w:t>
            </w:r>
          </w:p>
          <w:p>
            <w:pPr>
              <w:pStyle w:val="Normal"/>
              <w:rPr>
                <w:rFonts w:ascii="IBM Plex Sans Condensed" w:hAnsi="IBM Plex Sans Condensed" w:cs="IBM Plex Sans Condensed"/>
                <w:b/>
                <w:b/>
                <w:sz w:val="24"/>
                <w:szCs w:val="24"/>
              </w:rPr>
            </w:pPr>
            <w:r>
              <w:rPr>
                <w:rFonts w:cs="IBM Plex Sans Condensed" w:ascii="IBM Plex Sans Condensed" w:hAnsi="IBM Plex Sans Condensed"/>
                <w:b/>
                <w:sz w:val="24"/>
                <w:szCs w:val="24"/>
              </w:rPr>
              <w:t>Decision making:</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Have good judgment in decision making, knowing when to delegate and consult senior staff and maintain confidentiality.</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Be creative in anticipating and solving problems.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To use comparative data to make judgments and make decisions.</w:t>
            </w:r>
          </w:p>
          <w:p>
            <w:pPr>
              <w:pStyle w:val="Normal"/>
              <w:rPr>
                <w:rFonts w:ascii="IBM Plex Sans Condensed" w:hAnsi="IBM Plex Sans Condensed" w:cs="IBM Plex Sans Condensed"/>
                <w:b/>
                <w:b/>
                <w:sz w:val="24"/>
                <w:szCs w:val="24"/>
              </w:rPr>
            </w:pPr>
            <w:r>
              <w:rPr>
                <w:rFonts w:cs="IBM Plex Sans Condensed" w:ascii="IBM Plex Sans Condensed" w:hAnsi="IBM Plex Sans Condensed"/>
                <w:b/>
                <w:sz w:val="24"/>
                <w:szCs w:val="24"/>
              </w:rPr>
              <w:t>Communication:</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Confident and competent in the use of ICT, literacy and numeracy to enhance learning, monitor progress and communicate.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Effective communication skills with students, parents and adults.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Effective communication with staff in other school teams such as pastoral, special needs and associate staff teams.</w:t>
            </w:r>
          </w:p>
          <w:p>
            <w:pPr>
              <w:pStyle w:val="Normal"/>
              <w:rPr>
                <w:rFonts w:ascii="IBM Plex Sans Condensed" w:hAnsi="IBM Plex Sans Condensed" w:cs="IBM Plex Sans Condensed"/>
                <w:b/>
                <w:b/>
                <w:sz w:val="24"/>
                <w:szCs w:val="24"/>
              </w:rPr>
            </w:pPr>
            <w:r>
              <w:rPr>
                <w:rFonts w:cs="IBM Plex Sans Condensed" w:ascii="IBM Plex Sans Condensed" w:hAnsi="IBM Plex Sans Condensed"/>
                <w:b/>
                <w:sz w:val="24"/>
                <w:szCs w:val="24"/>
              </w:rPr>
              <w:t>Self-Management:</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Self-critical, awareness of own strengths and development targets, and professional development requirements.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Ability to work independently, using initiative, sticking to deadlines, completing tasks accountably.</w:t>
            </w:r>
          </w:p>
          <w:p>
            <w:pPr>
              <w:pStyle w:val="Normal"/>
              <w:rPr>
                <w:rFonts w:ascii="IBM Plex Sans Condensed" w:hAnsi="IBM Plex Sans Condensed" w:cs="IBM Plex Sans Condensed"/>
                <w:b/>
                <w:b/>
                <w:sz w:val="24"/>
                <w:szCs w:val="24"/>
              </w:rPr>
            </w:pPr>
            <w:r>
              <w:rPr>
                <w:rFonts w:cs="IBM Plex Sans Condensed" w:ascii="IBM Plex Sans Condensed" w:hAnsi="IBM Plex Sans Condensed"/>
                <w:b/>
                <w:sz w:val="24"/>
                <w:szCs w:val="24"/>
              </w:rPr>
              <w:t>Learning Relationships: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Have the ability to set and maintain high standards and respond to feedback.</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Excellent subject knowledge, planning and delivery, classroom management and assessment practice.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Understand the principles of outstanding learning, independent learning and intervention.</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Be a role model, promoting the school’s values.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Ability to articulate, form and maintain appropriate relationships and boundaries with children and young people.</w:t>
            </w:r>
          </w:p>
        </w:tc>
        <w:tc>
          <w:tcPr>
            <w:tcW w:w="4143" w:type="dxa"/>
            <w:tcBorders>
              <w:top w:val="single" w:sz="4" w:space="0" w:color="000000"/>
              <w:left w:val="single" w:sz="4" w:space="0" w:color="000000"/>
              <w:bottom w:val="single" w:sz="4" w:space="0" w:color="000000"/>
            </w:tcBorders>
            <w:shd w:fill="auto" w:val="clear"/>
          </w:tcPr>
          <w:p>
            <w:pPr>
              <w:pStyle w:val="Normal"/>
              <w:numPr>
                <w:ilvl w:val="0"/>
                <w:numId w:val="9"/>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Demonstrate outstanding classroom practice against the national standards in both formal and informal observations.</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IBM Plex Sans Condensed" w:hAnsi="IBM Plex Sans Condensed" w:cs="IBM Plex Sans Condensed"/>
                <w:sz w:val="24"/>
                <w:szCs w:val="24"/>
              </w:rPr>
            </w:pPr>
            <w:r>
              <w:rPr>
                <w:rFonts w:cs="IBM Plex Sans Condensed" w:ascii="IBM Plex Sans Condensed" w:hAnsi="IBM Plex Sans Condensed"/>
                <w:sz w:val="24"/>
                <w:szCs w:val="24"/>
              </w:rPr>
              <w:t>L/LO/I/R</w:t>
            </w:r>
          </w:p>
        </w:tc>
      </w:tr>
      <w:tr>
        <w:trPr/>
        <w:tc>
          <w:tcPr>
            <w:tcW w:w="1807" w:type="dxa"/>
            <w:tcBorders>
              <w:top w:val="single" w:sz="4" w:space="0" w:color="000000"/>
              <w:left w:val="single" w:sz="4" w:space="0" w:color="000000"/>
              <w:bottom w:val="single" w:sz="4" w:space="0" w:color="000000"/>
            </w:tcBorders>
            <w:shd w:fill="auto" w:val="clear"/>
          </w:tcPr>
          <w:p>
            <w:pPr>
              <w:pStyle w:val="Normal"/>
              <w:jc w:val="both"/>
              <w:rPr>
                <w:rFonts w:ascii="IBM Plex Sans Condensed" w:hAnsi="IBM Plex Sans Condensed" w:cs="IBM Plex Sans Condensed"/>
                <w:sz w:val="24"/>
                <w:szCs w:val="24"/>
              </w:rPr>
            </w:pPr>
            <w:r>
              <w:rPr>
                <w:rFonts w:cs="IBM Plex Sans Condensed" w:ascii="IBM Plex Sans Condensed" w:hAnsi="IBM Plex Sans Condensed"/>
                <w:sz w:val="24"/>
                <w:szCs w:val="24"/>
              </w:rPr>
              <w:t>Personal Qualities</w:t>
            </w:r>
          </w:p>
        </w:tc>
        <w:tc>
          <w:tcPr>
            <w:tcW w:w="6976" w:type="dxa"/>
            <w:tcBorders>
              <w:top w:val="single" w:sz="4" w:space="0" w:color="000000"/>
              <w:left w:val="single" w:sz="4" w:space="0" w:color="000000"/>
              <w:bottom w:val="single" w:sz="4" w:space="0" w:color="000000"/>
            </w:tcBorders>
            <w:shd w:fill="auto" w:val="clear"/>
          </w:tcPr>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To be professional at all times.</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To be approachable and inclusive.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Positive, adaptable.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Energetic and enthusiastic.</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Self-motivated, self-confident, reliable.</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Calm under pressure, emotionally intelligent.</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Sensitivity, fairness, tact and discretion.</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Commitment, generosity of spirit.</w:t>
            </w:r>
          </w:p>
          <w:p>
            <w:pPr>
              <w:pStyle w:val="Normal"/>
              <w:numPr>
                <w:ilvl w:val="0"/>
                <w:numId w:val="8"/>
              </w:numPr>
              <w:spacing w:before="0" w:after="0"/>
              <w:contextualSpacing/>
              <w:rPr>
                <w:rFonts w:ascii="IBM Plex Sans Condensed" w:hAnsi="IBM Plex Sans Condensed" w:cs="IBM Plex Sans Condensed"/>
                <w:sz w:val="24"/>
                <w:szCs w:val="24"/>
              </w:rPr>
            </w:pPr>
            <w:r>
              <w:rPr>
                <w:rFonts w:cs="IBM Plex Sans Condensed" w:ascii="IBM Plex Sans Condensed" w:hAnsi="IBM Plex Sans Condensed"/>
                <w:sz w:val="24"/>
                <w:szCs w:val="24"/>
              </w:rPr>
              <w:t>Demonstrate consistently high standards of personal and professional conduct.</w:t>
            </w:r>
          </w:p>
        </w:tc>
        <w:tc>
          <w:tcPr>
            <w:tcW w:w="4143"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ascii="IBM Plex Sans Condensed" w:hAnsi="IBM Plex Sans Condensed" w:cs="IBM Plex Sans Condensed"/>
                <w:sz w:val="24"/>
                <w:szCs w:val="24"/>
              </w:rPr>
            </w:pPr>
            <w:r>
              <w:rPr>
                <w:rFonts w:cs="IBM Plex Sans Condensed" w:ascii="IBM Plex Sans Condensed" w:hAnsi="IBM Plex Sans Condensed"/>
                <w:sz w:val="24"/>
                <w:szCs w:val="24"/>
              </w:rPr>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ascii="IBM Plex Sans Condensed" w:hAnsi="IBM Plex Sans Condensed" w:cs="IBM Plex Sans Condensed"/>
                <w:sz w:val="24"/>
                <w:szCs w:val="24"/>
              </w:rPr>
            </w:pPr>
            <w:r>
              <w:rPr>
                <w:rFonts w:cs="IBM Plex Sans Condensed" w:ascii="IBM Plex Sans Condensed" w:hAnsi="IBM Plex Sans Condensed"/>
                <w:sz w:val="24"/>
                <w:szCs w:val="24"/>
              </w:rPr>
              <w:t>I/R/L</w:t>
            </w:r>
          </w:p>
        </w:tc>
      </w:tr>
      <w:tr>
        <w:trPr/>
        <w:tc>
          <w:tcPr>
            <w:tcW w:w="143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jc w:val="center"/>
              <w:rPr>
                <w:rFonts w:ascii="IBM Plex Sans Condensed" w:hAnsi="IBM Plex Sans Condensed" w:cs="IBM Plex Sans Condensed"/>
                <w:sz w:val="24"/>
                <w:szCs w:val="24"/>
              </w:rPr>
            </w:pPr>
            <w:r>
              <w:rPr>
                <w:rFonts w:cs="IBM Plex Sans Condensed" w:ascii="IBM Plex Sans Condensed" w:hAnsi="IBM Plex Sans Condensed"/>
                <w:sz w:val="24"/>
                <w:szCs w:val="24"/>
              </w:rPr>
              <w:t>A = Application L = Letter I = Interview LO = Lesson Observation R = Reference P = Presentation</w:t>
            </w:r>
          </w:p>
        </w:tc>
      </w:tr>
    </w:tbl>
    <w:p>
      <w:pPr>
        <w:pStyle w:val="Normal"/>
        <w:jc w:val="both"/>
        <w:rPr>
          <w:rFonts w:ascii="IBM Plex Sans Condensed" w:hAnsi="IBM Plex Sans Condensed" w:cs="IBM Plex Sans Condensed"/>
          <w:sz w:val="24"/>
          <w:szCs w:val="24"/>
        </w:rPr>
      </w:pPr>
      <w:r>
        <w:rPr>
          <w:rFonts w:cs="IBM Plex Sans Condensed" w:ascii="IBM Plex Sans Condensed" w:hAnsi="IBM Plex Sans Condensed"/>
          <w:sz w:val="24"/>
          <w:szCs w:val="24"/>
        </w:rPr>
      </w:r>
    </w:p>
    <w:p>
      <w:pPr>
        <w:pStyle w:val="Normal"/>
        <w:jc w:val="center"/>
        <w:rPr>
          <w:rFonts w:ascii="IBM Plex Sans Condensed" w:hAnsi="IBM Plex Sans Condensed" w:cs="IBM Plex Sans Condensed"/>
          <w:b/>
          <w:b/>
          <w:sz w:val="24"/>
          <w:szCs w:val="24"/>
        </w:rPr>
      </w:pPr>
      <w:r>
        <w:rPr>
          <w:rFonts w:cs="IBM Plex Sans Condensed" w:ascii="IBM Plex Sans Condensed" w:hAnsi="IBM Plex Sans Condensed"/>
          <w:b/>
          <w:sz w:val="24"/>
          <w:szCs w:val="24"/>
        </w:rPr>
        <w:t>Crompton House School is committed to safeguarding and promoting the welfare of children and young people and expects all staff to share this commitment.</w:t>
      </w:r>
    </w:p>
    <w:p>
      <w:pPr>
        <w:pStyle w:val="Normal"/>
        <w:jc w:val="center"/>
        <w:rPr>
          <w:rFonts w:ascii="IBM Plex Sans Condensed" w:hAnsi="IBM Plex Sans Condensed" w:cs="IBM Plex Sans Condensed"/>
          <w:b/>
          <w:b/>
          <w:sz w:val="24"/>
          <w:szCs w:val="24"/>
        </w:rPr>
      </w:pPr>
      <w:r>
        <w:rPr>
          <w:rFonts w:cs="IBM Plex Sans Condensed" w:ascii="IBM Plex Sans Condensed" w:hAnsi="IBM Plex Sans Condensed"/>
          <w:b/>
          <w:sz w:val="24"/>
          <w:szCs w:val="24"/>
        </w:rPr>
      </w:r>
    </w:p>
    <w:p>
      <w:pPr>
        <w:pStyle w:val="Normal"/>
        <w:jc w:val="center"/>
        <w:rPr>
          <w:rFonts w:ascii="IBM Plex Sans Condensed" w:hAnsi="IBM Plex Sans Condensed" w:cs="IBM Plex Sans Condensed"/>
          <w:b/>
          <w:b/>
          <w:sz w:val="24"/>
          <w:szCs w:val="24"/>
        </w:rPr>
      </w:pPr>
      <w:r>
        <w:rPr>
          <w:rFonts w:cs="IBM Plex Sans Condensed" w:ascii="IBM Plex Sans Condensed" w:hAnsi="IBM Plex Sans Condensed"/>
          <w:b/>
          <w:sz w:val="24"/>
          <w:szCs w:val="24"/>
        </w:rPr>
        <w:t>An enhanced CRB check is required for all successful applicants.</w:t>
      </w:r>
    </w:p>
    <w:p>
      <w:pPr>
        <w:pStyle w:val="Normal"/>
        <w:jc w:val="both"/>
        <w:rPr>
          <w:rFonts w:ascii="IBM Plex Sans Condensed" w:hAnsi="IBM Plex Sans Condensed" w:cs="IBM Plex Sans Condensed"/>
          <w:sz w:val="24"/>
          <w:szCs w:val="24"/>
        </w:rPr>
      </w:pPr>
      <w:r>
        <w:rPr>
          <w:rFonts w:cs="IBM Plex Sans Condensed" w:ascii="IBM Plex Sans Condensed" w:hAnsi="IBM Plex Sans Condensed"/>
          <w:sz w:val="24"/>
          <w:szCs w:val="24"/>
        </w:rPr>
      </w:r>
    </w:p>
    <w:p>
      <w:pPr>
        <w:pStyle w:val="Normal"/>
        <w:jc w:val="both"/>
        <w:rPr>
          <w:rFonts w:ascii="IBM Plex Sans Condensed" w:hAnsi="IBM Plex Sans Condensed" w:cs="IBM Plex Sans Condensed"/>
          <w:sz w:val="24"/>
          <w:szCs w:val="24"/>
        </w:rPr>
      </w:pPr>
      <w:r>
        <w:rPr>
          <w:rFonts w:cs="IBM Plex Sans Condensed" w:ascii="IBM Plex Sans Condensed" w:hAnsi="IBM Plex Sans Condensed"/>
          <w:sz w:val="24"/>
          <w:szCs w:val="24"/>
        </w:rPr>
      </w:r>
    </w:p>
    <w:sectPr>
      <w:headerReference w:type="default" r:id="rId4"/>
      <w:footerReference w:type="default" r:id="rId5"/>
      <w:type w:val="nextPage"/>
      <w:pgSz w:orient="landscape" w:w="16838" w:h="11906"/>
      <w:pgMar w:left="1247" w:right="1247" w:header="720" w:top="851" w:footer="720" w:bottom="85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IBM Plex Sans Condense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9">
          <wp:simplePos x="0" y="0"/>
          <wp:positionH relativeFrom="column">
            <wp:posOffset>-721360</wp:posOffset>
          </wp:positionH>
          <wp:positionV relativeFrom="paragraph">
            <wp:posOffset>-631825</wp:posOffset>
          </wp:positionV>
          <wp:extent cx="7559675" cy="1243330"/>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5" t="88400" r="-5" b="-3"/>
                  <a:stretch>
                    <a:fillRect/>
                  </a:stretch>
                </pic:blipFill>
                <pic:spPr bwMode="auto">
                  <a:xfrm>
                    <a:off x="0" y="0"/>
                    <a:ext cx="7559675" cy="124333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19">
          <wp:simplePos x="0" y="0"/>
          <wp:positionH relativeFrom="column">
            <wp:posOffset>-870585</wp:posOffset>
          </wp:positionH>
          <wp:positionV relativeFrom="paragraph">
            <wp:posOffset>-351790</wp:posOffset>
          </wp:positionV>
          <wp:extent cx="10691495" cy="949960"/>
          <wp:effectExtent l="0" t="0" r="0" b="0"/>
          <wp:wrapNone/>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1"/>
                  <a:srcRect l="-3" t="87469" r="-3" b="-5"/>
                  <a:stretch>
                    <a:fillRect/>
                  </a:stretch>
                </pic:blipFill>
                <pic:spPr bwMode="auto">
                  <a:xfrm>
                    <a:off x="0" y="0"/>
                    <a:ext cx="10691495" cy="94996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sz w:val="16"/>
      </w:rPr>
    </w:pPr>
    <w:r>
      <w:rPr>
        <w:b/>
        <w:sz w:val="16"/>
      </w:rPr>
      <w:drawing>
        <wp:anchor behindDoc="1" distT="0" distB="0" distL="0" distR="0" simplePos="0" locked="0" layoutInCell="1" allowOverlap="1" relativeHeight="5">
          <wp:simplePos x="0" y="0"/>
          <wp:positionH relativeFrom="column">
            <wp:posOffset>-721995</wp:posOffset>
          </wp:positionH>
          <wp:positionV relativeFrom="paragraph">
            <wp:posOffset>-481330</wp:posOffset>
          </wp:positionV>
          <wp:extent cx="7559675" cy="1272540"/>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5" t="-3" r="-5" b="88124"/>
                  <a:stretch>
                    <a:fillRect/>
                  </a:stretch>
                </pic:blipFill>
                <pic:spPr bwMode="auto">
                  <a:xfrm>
                    <a:off x="0" y="0"/>
                    <a:ext cx="7559675" cy="1272540"/>
                  </a:xfrm>
                  <a:prstGeom prst="rect">
                    <a:avLst/>
                  </a:prstGeom>
                </pic:spPr>
              </pic:pic>
            </a:graphicData>
          </a:graphic>
        </wp:anchor>
      </w:drawing>
      <w:drawing>
        <wp:anchor behindDoc="1" distT="0" distB="0" distL="0" distR="0" simplePos="0" locked="0" layoutInCell="1" allowOverlap="1" relativeHeight="13">
          <wp:simplePos x="0" y="0"/>
          <wp:positionH relativeFrom="column">
            <wp:posOffset>-1381760</wp:posOffset>
          </wp:positionH>
          <wp:positionV relativeFrom="paragraph">
            <wp:posOffset>10323195</wp:posOffset>
          </wp:positionV>
          <wp:extent cx="7559675" cy="15875"/>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2"/>
                  <a:srcRect l="-3" t="-5" r="-3" b="86902"/>
                  <a:stretch>
                    <a:fillRect/>
                  </a:stretch>
                </pic:blipFill>
                <pic:spPr bwMode="auto">
                  <a:xfrm>
                    <a:off x="0" y="0"/>
                    <a:ext cx="7559675" cy="15875"/>
                  </a:xfrm>
                  <a:prstGeom prst="rect">
                    <a:avLst/>
                  </a:prstGeom>
                </pic:spPr>
              </pic:pic>
            </a:graphicData>
          </a:graphic>
        </wp:anchor>
      </w:drawing>
    </w:r>
  </w:p>
  <w:p>
    <w:pPr>
      <w:pStyle w:val="Header"/>
      <w:rPr>
        <w:b/>
        <w:b/>
        <w:sz w:val="16"/>
      </w:rPr>
    </w:pPr>
    <w:r>
      <w:rPr>
        <w:b/>
        <w:sz w:val="16"/>
      </w:rPr>
    </w:r>
  </w:p>
  <w:p>
    <w:pPr>
      <w:pStyle w:val="Header"/>
      <w:rPr>
        <w:b/>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6">
          <wp:simplePos x="0" y="0"/>
          <wp:positionH relativeFrom="column">
            <wp:posOffset>-791845</wp:posOffset>
          </wp:positionH>
          <wp:positionV relativeFrom="paragraph">
            <wp:posOffset>-469265</wp:posOffset>
          </wp:positionV>
          <wp:extent cx="10671175" cy="102870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1"/>
                  <a:srcRect l="-3" t="-5" r="-3" b="86341"/>
                  <a:stretch>
                    <a:fillRect/>
                  </a:stretch>
                </pic:blipFill>
                <pic:spPr bwMode="auto">
                  <a:xfrm>
                    <a:off x="0" y="0"/>
                    <a:ext cx="10671175" cy="1028700"/>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7">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paragraph" w:styleId="Heading2">
    <w:name w:val="Heading 2"/>
    <w:basedOn w:val="Normal"/>
    <w:next w:val="Normal"/>
    <w:qFormat/>
    <w:pPr>
      <w:keepNext w:val="true"/>
      <w:numPr>
        <w:ilvl w:val="1"/>
        <w:numId w:val="1"/>
      </w:numPr>
      <w:outlineLvl w:val="1"/>
    </w:pPr>
    <w:rPr>
      <w:rFonts w:ascii="Arial" w:hAnsi="Arial" w:cs="Arial"/>
      <w:b/>
      <w:bCs/>
      <w:sz w:val="22"/>
    </w:rPr>
  </w:style>
  <w:style w:type="paragraph" w:styleId="Heading3">
    <w:name w:val="Heading 3"/>
    <w:basedOn w:val="Normal"/>
    <w:next w:val="Normal"/>
    <w:qFormat/>
    <w:pPr>
      <w:keepNext w:val="true"/>
      <w:numPr>
        <w:ilvl w:val="2"/>
        <w:numId w:val="1"/>
      </w:numPr>
      <w:outlineLvl w:val="2"/>
    </w:pPr>
    <w:rPr>
      <w:rFonts w:ascii="Arial" w:hAnsi="Arial" w:cs="Arial"/>
      <w:b/>
      <w:bCs/>
      <w:sz w:val="2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bCs/>
      <w:sz w:val="24"/>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Company>CHS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2026-04-15T06:11:00Z</dcterms:created>
  <dc:creator>tonie</dc:creator>
  <dc:description/>
  <dc:language>en-US</dc:language>
  <cp:lastModifiedBy>V.Morgan</cp:lastModifiedBy>
  <cp:lastPrinted>1995-11-21T17:41:00Z</cp:lastPrinted>
  <dcterms:modified xsi:type="dcterms:W3CDTF">2026-04-17T10:45:00Z</dcterms:modified>
  <cp:revision>8</cp:revision>
  <dc:subject/>
  <dc:title>Draft 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