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drawing>
          <wp:anchor behindDoc="1" distT="0" distB="0" distL="114300" distR="114300" simplePos="0" locked="0" layoutInCell="0" allowOverlap="1" relativeHeight="19">
            <wp:simplePos x="0" y="0"/>
            <wp:positionH relativeFrom="margin">
              <wp:posOffset>31750</wp:posOffset>
            </wp:positionH>
            <wp:positionV relativeFrom="margin">
              <wp:posOffset>666115</wp:posOffset>
            </wp:positionV>
            <wp:extent cx="5814060"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5814060" cy="2327275"/>
                    </a:xfrm>
                    <a:prstGeom prst="rect">
                      <a:avLst/>
                    </a:prstGeom>
                  </pic:spPr>
                </pic:pic>
              </a:graphicData>
            </a:graphic>
          </wp:anchor>
        </w:drawing>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0" allowOverlap="1" relativeHeight="20">
                <wp:simplePos x="0" y="0"/>
                <wp:positionH relativeFrom="column">
                  <wp:posOffset>-563880</wp:posOffset>
                </wp:positionH>
                <wp:positionV relativeFrom="paragraph">
                  <wp:posOffset>546735</wp:posOffset>
                </wp:positionV>
                <wp:extent cx="6850380" cy="1574800"/>
                <wp:effectExtent l="0" t="0" r="0" b="0"/>
                <wp:wrapSquare wrapText="bothSides"/>
                <wp:docPr id="2" name=""/>
                <a:graphic xmlns:a="http://schemas.openxmlformats.org/drawingml/2006/main">
                  <a:graphicData uri="http://schemas.microsoft.com/office/word/2010/wordprocessingShape">
                    <wps:wsp>
                      <wps:cNvSpPr txBox="1"/>
                      <wps:spPr>
                        <a:xfrm>
                          <a:off x="0" y="0"/>
                          <a:ext cx="685044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44.4pt;margin-top:43.05pt;width:539.35pt;height:123.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21">
                <wp:simplePos x="0" y="0"/>
                <wp:positionH relativeFrom="column">
                  <wp:posOffset>-563880</wp:posOffset>
                </wp:positionH>
                <wp:positionV relativeFrom="paragraph">
                  <wp:posOffset>546735</wp:posOffset>
                </wp:positionV>
                <wp:extent cx="6850380" cy="1574800"/>
                <wp:effectExtent l="0" t="0" r="0" b="0"/>
                <wp:wrapNone/>
                <wp:docPr id="3" name="Frame1"/>
                <a:graphic xmlns:a="http://schemas.openxmlformats.org/drawingml/2006/main">
                  <a:graphicData uri="http://schemas.microsoft.com/office/word/2010/wordprocessingShape">
                    <wps:wsp>
                      <wps:cNvSpPr txBox="1"/>
                      <wps:spPr>
                        <a:xfrm>
                          <a:off x="0" y="0"/>
                          <a:ext cx="6850380" cy="1574800"/>
                        </a:xfrm>
                        <a:prstGeom prst="rect"/>
                        <a:solidFill>
                          <a:srgbClr val="FFFFFF"/>
                        </a:solidFill>
                      </wps:spPr>
                      <wps:txbx>
                        <w:txbxContent>
                          <w:p>
                            <w:pPr>
                              <w:pStyle w:val="FrameContents"/>
                              <w:jc w:val="right"/>
                              <w:rPr>
                                <w:rFonts w:cs="Arial"/>
                                <w:b/>
                                <w:sz w:val="48"/>
                                <w:szCs w:val="48"/>
                              </w:rPr>
                            </w:pPr>
                            <w:r>
                              <w:rPr>
                                <w:rFonts w:cs="Arial"/>
                                <w:b/>
                                <w:sz w:val="48"/>
                                <w:szCs w:val="48"/>
                              </w:rPr>
                              <w:t>Job Description &amp; Person Specification</w:t>
                            </w:r>
                          </w:p>
                          <w:p>
                            <w:pPr>
                              <w:pStyle w:val="FrameContents"/>
                              <w:rPr>
                                <w:rFonts w:eastAsia="Times New Roman" w:cs="Arial"/>
                                <w:color w:val="000000"/>
                                <w:sz w:val="24"/>
                                <w:szCs w:val="24"/>
                                <w:lang w:eastAsia="en-GB"/>
                              </w:rPr>
                            </w:pPr>
                            <w:r>
                              <w:rPr>
                                <w:rFonts w:eastAsia="Times New Roman" w:cs="Arial"/>
                                <w:color w:val="000000"/>
                                <w:sz w:val="24"/>
                                <w:szCs w:val="24"/>
                                <w:lang w:eastAsia="en-GB"/>
                              </w:rPr>
                            </w:r>
                          </w:p>
                          <w:p>
                            <w:pPr>
                              <w:pStyle w:val="FrameContents"/>
                              <w:jc w:val="right"/>
                              <w:rPr/>
                            </w:pPr>
                            <w:r>
                              <w:rPr>
                                <w:rFonts w:eastAsia="Arial" w:cs="Arial"/>
                                <w:color w:val="000000"/>
                                <w:sz w:val="24"/>
                                <w:szCs w:val="24"/>
                                <w:lang w:eastAsia="en-GB"/>
                              </w:rPr>
                              <w:t xml:space="preserve"> </w:t>
                            </w:r>
                            <w:r>
                              <w:rPr>
                                <w:rFonts w:eastAsia="Times New Roman" w:cs="Arial"/>
                                <w:color w:val="000000"/>
                                <w:sz w:val="44"/>
                                <w:szCs w:val="44"/>
                                <w:lang w:eastAsia="en-GB"/>
                              </w:rPr>
                              <w:t xml:space="preserve">Admissions and Education, Health &amp; Care Plan </w:t>
                            </w:r>
                          </w:p>
                          <w:p>
                            <w:pPr>
                              <w:pStyle w:val="FrameContents"/>
                              <w:jc w:val="right"/>
                              <w:rPr>
                                <w:rFonts w:eastAsia="Times New Roman" w:cs="Arial"/>
                                <w:color w:val="000000"/>
                                <w:sz w:val="44"/>
                                <w:szCs w:val="44"/>
                                <w:lang w:eastAsia="en-GB"/>
                              </w:rPr>
                            </w:pPr>
                            <w:r>
                              <w:rPr>
                                <w:rFonts w:eastAsia="Times New Roman" w:cs="Arial"/>
                                <w:color w:val="000000"/>
                                <w:sz w:val="44"/>
                                <w:szCs w:val="44"/>
                                <w:lang w:eastAsia="en-GB"/>
                              </w:rPr>
                              <w:t>Co-Ordinator</w:t>
                            </w:r>
                          </w:p>
                        </w:txbxContent>
                      </wps:txbx>
                      <wps:bodyPr anchor="t" lIns="92075" tIns="46355" rIns="92075" bIns="46355">
                        <a:noAutofit/>
                      </wps:bodyPr>
                    </wps:wsp>
                  </a:graphicData>
                </a:graphic>
              </wp:anchor>
            </w:drawing>
          </mc:Choice>
          <mc:Fallback>
            <w:pict>
              <v:rect fillcolor="#FFFFFF" style="position:absolute;rotation:-0;width:539.4pt;height:124pt;mso-wrap-distance-left:9pt;mso-wrap-distance-right:9pt;mso-wrap-distance-top:5.7pt;mso-wrap-distance-bottom:5.7pt;margin-top:43.05pt;mso-position-vertical-relative:text;margin-left:-44.4pt;mso-position-horizontal-relative:text">
                <v:textbox inset="0.100694444444444in,0.0506944444444444in,0.100694444444444in,0.0506944444444444in">
                  <w:txbxContent>
                    <w:p>
                      <w:pPr>
                        <w:pStyle w:val="FrameContents"/>
                        <w:jc w:val="right"/>
                        <w:rPr>
                          <w:rFonts w:cs="Arial"/>
                          <w:b/>
                          <w:sz w:val="48"/>
                          <w:szCs w:val="48"/>
                        </w:rPr>
                      </w:pPr>
                      <w:r>
                        <w:rPr>
                          <w:rFonts w:cs="Arial"/>
                          <w:b/>
                          <w:sz w:val="48"/>
                          <w:szCs w:val="48"/>
                        </w:rPr>
                        <w:t>Job Description &amp; Person Specification</w:t>
                      </w:r>
                    </w:p>
                    <w:p>
                      <w:pPr>
                        <w:pStyle w:val="FrameContents"/>
                        <w:rPr>
                          <w:rFonts w:eastAsia="Times New Roman" w:cs="Arial"/>
                          <w:color w:val="000000"/>
                          <w:sz w:val="24"/>
                          <w:szCs w:val="24"/>
                          <w:lang w:eastAsia="en-GB"/>
                        </w:rPr>
                      </w:pPr>
                      <w:r>
                        <w:rPr>
                          <w:rFonts w:eastAsia="Times New Roman" w:cs="Arial"/>
                          <w:color w:val="000000"/>
                          <w:sz w:val="24"/>
                          <w:szCs w:val="24"/>
                          <w:lang w:eastAsia="en-GB"/>
                        </w:rPr>
                      </w:r>
                    </w:p>
                    <w:p>
                      <w:pPr>
                        <w:pStyle w:val="FrameContents"/>
                        <w:jc w:val="right"/>
                        <w:rPr/>
                      </w:pPr>
                      <w:r>
                        <w:rPr>
                          <w:rFonts w:eastAsia="Arial" w:cs="Arial"/>
                          <w:color w:val="000000"/>
                          <w:sz w:val="24"/>
                          <w:szCs w:val="24"/>
                          <w:lang w:eastAsia="en-GB"/>
                        </w:rPr>
                        <w:t xml:space="preserve"> </w:t>
                      </w:r>
                      <w:r>
                        <w:rPr>
                          <w:rFonts w:eastAsia="Times New Roman" w:cs="Arial"/>
                          <w:color w:val="000000"/>
                          <w:sz w:val="44"/>
                          <w:szCs w:val="44"/>
                          <w:lang w:eastAsia="en-GB"/>
                        </w:rPr>
                        <w:t xml:space="preserve">Admissions and Education, Health &amp; Care Plan </w:t>
                      </w:r>
                    </w:p>
                    <w:p>
                      <w:pPr>
                        <w:pStyle w:val="FrameContents"/>
                        <w:jc w:val="right"/>
                        <w:rPr>
                          <w:rFonts w:eastAsia="Times New Roman" w:cs="Arial"/>
                          <w:color w:val="000000"/>
                          <w:sz w:val="44"/>
                          <w:szCs w:val="44"/>
                          <w:lang w:eastAsia="en-GB"/>
                        </w:rPr>
                      </w:pPr>
                      <w:r>
                        <w:rPr>
                          <w:rFonts w:eastAsia="Times New Roman" w:cs="Arial"/>
                          <w:color w:val="000000"/>
                          <w:sz w:val="44"/>
                          <w:szCs w:val="44"/>
                          <w:lang w:eastAsia="en-GB"/>
                        </w:rPr>
                        <w:t>Co-Ordinator</w:t>
                      </w:r>
                    </w:p>
                  </w:txbxContent>
                </v:textbox>
                <w10:wrap type="none"/>
              </v:rect>
            </w:pict>
          </mc:Fallback>
        </mc:AlternateContent>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ind w:hanging="0" w:left="0"/>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Job Title:</w:t>
            </w:r>
          </w:p>
        </w:tc>
        <w:tc>
          <w:tcPr>
            <w:tcW w:w="5855" w:type="dxa"/>
            <w:tcBorders>
              <w:top w:val="single" w:sz="12" w:space="0" w:color="000000"/>
              <w:left w:val="single" w:sz="4" w:space="0" w:color="808080"/>
              <w:bottom w:val="single" w:sz="4" w:space="0" w:color="808080"/>
              <w:right w:val="single" w:sz="12" w:space="0" w:color="000000"/>
            </w:tcBorders>
            <w:vAlign w:val="center"/>
          </w:tcPr>
          <w:p>
            <w:pPr>
              <w:pStyle w:val="Normal"/>
              <w:overflowPunct w:val="true"/>
              <w:snapToGrid w:val="false"/>
              <w:rPr/>
            </w:pPr>
            <w:r>
              <w:rPr/>
            </w:r>
          </w:p>
          <w:p>
            <w:pPr>
              <w:pStyle w:val="Normal"/>
              <w:overflowPunct w:val="true"/>
              <w:rPr>
                <w:rFonts w:cs="Arial"/>
                <w:color w:val="000000"/>
              </w:rPr>
            </w:pPr>
            <w:r>
              <w:rPr>
                <w:rFonts w:cs="Arial"/>
                <w:color w:val="000000"/>
              </w:rPr>
              <w:t>Admissions and Education, Health &amp; Care Plan Co-ordinator</w:t>
            </w:r>
          </w:p>
          <w:p>
            <w:pPr>
              <w:pStyle w:val="Normal"/>
              <w:overflowPunct w:val="true"/>
              <w:rPr>
                <w:rFonts w:cs="Arial"/>
                <w:color w:val="000000"/>
              </w:rPr>
            </w:pPr>
            <w:r>
              <w:rPr>
                <w:rFonts w:cs="Arial"/>
                <w:color w:val="000000"/>
              </w:rPr>
            </w:r>
          </w:p>
          <w:p>
            <w:pPr>
              <w:pStyle w:val="Normal"/>
              <w:overflowPunct w:val="true"/>
              <w:rPr>
                <w:rFonts w:cs="Arial"/>
                <w:color w:val="000000"/>
              </w:rPr>
            </w:pPr>
            <w:r>
              <w:rPr>
                <w:rFonts w:cs="Arial"/>
                <w:color w:val="000000"/>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snapToGrid w:val="false"/>
              <w:rPr/>
            </w:pPr>
            <w:r>
              <w:rPr/>
            </w:r>
          </w:p>
          <w:p>
            <w:pPr>
              <w:pStyle w:val="Normal"/>
              <w:rPr/>
            </w:pPr>
            <w:r>
              <w:rPr/>
              <w:t>SO2 – NJC points 26-28</w:t>
            </w:r>
          </w:p>
          <w:p>
            <w:pPr>
              <w:pStyle w:val="Normal"/>
              <w:rPr/>
            </w:pPr>
            <w:r>
              <w:rPr/>
              <w:t>SEN allowance</w:t>
            </w:r>
          </w:p>
          <w:p>
            <w:pPr>
              <w:pStyle w:val="Normal"/>
              <w:rPr/>
            </w:pPr>
            <w:r>
              <w:rPr/>
            </w:r>
          </w:p>
          <w:p>
            <w:pPr>
              <w:pStyle w:val="Normal"/>
              <w:rPr/>
            </w:pPr>
            <w:r>
              <w:rPr/>
              <w:t>Actual salary pro rata will be calculated based on individual years’ service.  See advertisement</w:t>
            </w:r>
          </w:p>
          <w:p>
            <w:pPr>
              <w:pStyle w:val="Normal"/>
              <w:rPr/>
            </w:pPr>
            <w:r>
              <w:rPr/>
            </w:r>
          </w:p>
          <w:p>
            <w:pPr>
              <w:pStyle w:val="Normal"/>
              <w:rPr>
                <w:b/>
              </w:rPr>
            </w:pPr>
            <w:r>
              <w:rPr>
                <w:b/>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Default"/>
              <w:snapToGrid w:val="false"/>
              <w:rPr>
                <w:sz w:val="22"/>
                <w:szCs w:val="22"/>
              </w:rPr>
            </w:pPr>
            <w:r>
              <w:rPr>
                <w:sz w:val="22"/>
                <w:szCs w:val="22"/>
              </w:rPr>
            </w:r>
          </w:p>
          <w:p>
            <w:pPr>
              <w:pStyle w:val="Default"/>
              <w:rPr>
                <w:sz w:val="22"/>
                <w:szCs w:val="22"/>
              </w:rPr>
            </w:pPr>
            <w:r>
              <w:rPr>
                <w:sz w:val="22"/>
                <w:szCs w:val="22"/>
              </w:rPr>
              <w:t>Flexible Working, occupational pension scheme, occupational sickness scheme, health scheme</w:t>
            </w:r>
          </w:p>
          <w:p>
            <w:pPr>
              <w:pStyle w:val="Default"/>
              <w:rPr/>
            </w:pPr>
            <w:r>
              <w:rPr/>
            </w:r>
          </w:p>
          <w:p>
            <w:pPr>
              <w:pStyle w:val="Heading1"/>
              <w:ind w:hanging="0" w:left="0"/>
              <w:jc w:val="left"/>
              <w:rPr>
                <w:rFonts w:cs="Arial"/>
                <w:b w:val="false"/>
                <w:i w:val="false"/>
                <w:i w:val="false"/>
                <w:color w:val="000000"/>
              </w:rPr>
            </w:pPr>
            <w:r>
              <w:rPr>
                <w:rFonts w:cs="Arial"/>
                <w:b w:val="false"/>
                <w:i w:val="false"/>
                <w:color w:val="000000"/>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pPr>
            <w:r>
              <w:rPr>
                <w:rFonts w:cs="Arial"/>
                <w:i w:val="false"/>
                <w:color w:val="000000"/>
              </w:rPr>
              <w:t xml:space="preserve">36 hours 40 minutes per week, Term Time plus 10 days </w:t>
            </w:r>
            <w:r>
              <w:rPr>
                <w:rFonts w:cs="Arial"/>
                <w:b w:val="false"/>
                <w:bCs w:val="false"/>
                <w:i w:val="false"/>
                <w:color w:val="000000"/>
              </w:rPr>
              <w:t>(5 inset days and 5 additional days to be worked wen required in the holidays)</w:t>
            </w:r>
          </w:p>
          <w:p>
            <w:pPr>
              <w:pStyle w:val="Normal"/>
              <w:rPr>
                <w:rFonts w:cs="Arial"/>
              </w:rPr>
            </w:pPr>
            <w:r>
              <w:rPr>
                <w:rFonts w:cs="Arial"/>
              </w:rPr>
            </w:r>
          </w:p>
          <w:p>
            <w:pPr>
              <w:pStyle w:val="Normal"/>
              <w:rPr>
                <w:rFonts w:cs="Arial"/>
              </w:rPr>
            </w:pPr>
            <w:r>
              <w:rPr>
                <w:rFonts w:cs="Arial"/>
              </w:rPr>
              <w:t>Ability to work the hours needed to meet all the demands of the job.</w:t>
            </w:r>
          </w:p>
          <w:p>
            <w:pPr>
              <w:pStyle w:val="Normal"/>
              <w:rPr/>
            </w:pPr>
            <w:r>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rFonts w:cs="Arial"/>
                <w:b w:val="false"/>
                <w:i w:val="false"/>
                <w:i w:val="false"/>
                <w:color w:val="000000"/>
              </w:rPr>
            </w:pPr>
            <w:r>
              <w:rPr>
                <w:rFonts w:cs="Arial"/>
                <w:b w:val="false"/>
                <w:i w:val="false"/>
                <w:color w:val="000000"/>
              </w:rPr>
              <w:t>You may be required to work at any site of the New Bridge MAT</w:t>
            </w:r>
          </w:p>
          <w:p>
            <w:pPr>
              <w:pStyle w:val="Normal"/>
              <w:rPr/>
            </w:pPr>
            <w:r>
              <w:rPr/>
            </w:r>
          </w:p>
          <w:p>
            <w:pPr>
              <w:pStyle w:val="Normal"/>
              <w:rPr/>
            </w:pPr>
            <w:r>
              <w:rPr/>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 xml:space="preserve">Some out-of-hours working required at busy times.  </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 xml:space="preserve">Head Teacher </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EHCP Administrator</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Chief Executive Officer</w:t>
            </w:r>
          </w:p>
        </w:tc>
      </w:tr>
      <w:tr>
        <w:trPr>
          <w:trHeight w:val="706" w:hRule="atLeast"/>
        </w:trPr>
        <w:tc>
          <w:tcPr>
            <w:tcW w:w="3350" w:type="dxa"/>
            <w:tcBorders>
              <w:top w:val="single" w:sz="4" w:space="0" w:color="808080"/>
              <w:left w:val="single" w:sz="12" w:space="0" w:color="000000"/>
              <w:bottom w:val="single" w:sz="12" w:space="0" w:color="00000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55" w:type="dxa"/>
            <w:tcBorders>
              <w:top w:val="single" w:sz="4" w:space="0" w:color="808080"/>
              <w:left w:val="single" w:sz="4" w:space="0" w:color="808080"/>
              <w:bottom w:val="single" w:sz="12" w:space="0" w:color="000000"/>
              <w:right w:val="single" w:sz="12" w:space="0" w:color="000000"/>
            </w:tcBorders>
            <w:vAlign w:val="center"/>
          </w:tcPr>
          <w:p>
            <w:pPr>
              <w:pStyle w:val="Normal"/>
              <w:rPr>
                <w:rFonts w:cs="Arial"/>
                <w:color w:val="000000"/>
              </w:rPr>
            </w:pPr>
            <w:r>
              <w:rPr>
                <w:rFonts w:cs="Arial"/>
                <w:color w:val="000000"/>
              </w:rPr>
              <w:t>26 weeks</w:t>
            </w:r>
          </w:p>
        </w:tc>
      </w:tr>
    </w:tbl>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Default"/>
        <w:jc w:val="center"/>
        <w:rPr>
          <w:rFonts w:cs="Arial"/>
          <w:b/>
          <w:bCs/>
          <w:color w:val="auto"/>
          <w:sz w:val="40"/>
          <w:szCs w:val="40"/>
        </w:rPr>
      </w:pPr>
      <w:r>
        <w:rPr>
          <w:rFonts w:cs="Arial"/>
          <w:b/>
          <w:bCs/>
          <w:color w:val="auto"/>
          <w:sz w:val="40"/>
          <w:szCs w:val="40"/>
        </w:rPr>
      </w:r>
    </w:p>
    <w:p>
      <w:pPr>
        <w:pStyle w:val="Normal"/>
        <w:rPr>
          <w:rFonts w:eastAsia="Times New Roman" w:cs="Arial"/>
          <w:b/>
          <w:bCs/>
          <w:color w:val="auto"/>
          <w:sz w:val="40"/>
          <w:szCs w:val="40"/>
          <w:lang w:eastAsia="en-GB"/>
        </w:rPr>
      </w:pPr>
      <w:r>
        <w:rPr>
          <w:rFonts w:eastAsia="Times New Roman" w:cs="Arial"/>
          <w:b/>
          <w:bCs/>
          <w:color w:val="auto"/>
          <w:sz w:val="40"/>
          <w:szCs w:val="40"/>
          <w:lang w:eastAsia="en-GB"/>
        </w:rPr>
      </w:r>
      <w:r>
        <w:br w:type="page"/>
      </w:r>
    </w:p>
    <w:tbl>
      <w:tblPr>
        <w:tblW w:w="9322" w:type="dxa"/>
        <w:jc w:val="left"/>
        <w:tblInd w:w="108" w:type="dxa"/>
        <w:tblLayout w:type="fixed"/>
        <w:tblCellMar>
          <w:top w:w="0" w:type="dxa"/>
          <w:left w:w="108" w:type="dxa"/>
          <w:bottom w:w="0" w:type="dxa"/>
          <w:right w:w="108" w:type="dxa"/>
        </w:tblCellMar>
      </w:tblPr>
      <w:tblGrid>
        <w:gridCol w:w="9322"/>
      </w:tblGrid>
      <w:tr>
        <w:trPr/>
        <w:tc>
          <w:tcPr>
            <w:tcW w:w="9322" w:type="dxa"/>
            <w:tcBorders>
              <w:top w:val="single" w:sz="4" w:space="0" w:color="000000"/>
              <w:left w:val="single" w:sz="4" w:space="0" w:color="000000"/>
              <w:bottom w:val="single" w:sz="4" w:space="0" w:color="000000"/>
              <w:right w:val="single" w:sz="4" w:space="0" w:color="000000"/>
            </w:tcBorders>
          </w:tcPr>
          <w:p>
            <w:pPr>
              <w:pStyle w:val="EndnoteText"/>
              <w:pageBreakBefore/>
              <w:jc w:val="both"/>
              <w:rPr>
                <w:rFonts w:ascii="Arial" w:hAnsi="Arial" w:cs="Arial"/>
                <w:b/>
                <w:bCs/>
              </w:rPr>
            </w:pPr>
            <w:r>
              <w:rPr>
                <w:rFonts w:cs="Arial" w:ascii="Arial" w:hAnsi="Arial"/>
                <w:b/>
                <w:bCs/>
              </w:rPr>
              <w:t>JOB PURPOSE</w:t>
            </w:r>
          </w:p>
          <w:p>
            <w:pPr>
              <w:pStyle w:val="EndnoteText"/>
              <w:jc w:val="both"/>
              <w:rPr>
                <w:rFonts w:ascii="Arial" w:hAnsi="Arial" w:cs="Arial"/>
                <w:bCs/>
                <w:sz w:val="22"/>
                <w:szCs w:val="22"/>
              </w:rPr>
            </w:pPr>
            <w:r>
              <w:rPr>
                <w:rFonts w:cs="Arial" w:ascii="Arial" w:hAnsi="Arial"/>
                <w:bCs/>
                <w:sz w:val="22"/>
                <w:szCs w:val="22"/>
              </w:rPr>
            </w:r>
          </w:p>
          <w:p>
            <w:pPr>
              <w:pStyle w:val="EndnoteText"/>
              <w:jc w:val="both"/>
              <w:rPr>
                <w:rFonts w:ascii="Arial" w:hAnsi="Arial" w:cs="Arial"/>
                <w:bCs/>
                <w:sz w:val="22"/>
                <w:szCs w:val="22"/>
              </w:rPr>
            </w:pPr>
            <w:r>
              <w:rPr>
                <w:rFonts w:cs="Arial" w:ascii="Arial" w:hAnsi="Arial"/>
                <w:bCs/>
                <w:sz w:val="22"/>
                <w:szCs w:val="22"/>
              </w:rPr>
              <w:t>To support the Admissions process as required.</w:t>
            </w:r>
          </w:p>
          <w:p>
            <w:pPr>
              <w:pStyle w:val="EndnoteText"/>
              <w:jc w:val="both"/>
              <w:rPr>
                <w:rFonts w:ascii="Arial" w:hAnsi="Arial" w:cs="Arial"/>
                <w:bCs/>
                <w:sz w:val="22"/>
                <w:szCs w:val="22"/>
              </w:rPr>
            </w:pPr>
            <w:r>
              <w:rPr>
                <w:rFonts w:cs="Arial" w:ascii="Arial" w:hAnsi="Arial"/>
                <w:bCs/>
                <w:sz w:val="22"/>
                <w:szCs w:val="22"/>
              </w:rPr>
            </w:r>
          </w:p>
          <w:p>
            <w:pPr>
              <w:pStyle w:val="EndnoteText"/>
              <w:jc w:val="both"/>
              <w:rPr>
                <w:rFonts w:ascii="Arial" w:hAnsi="Arial" w:cs="Arial"/>
                <w:bCs/>
                <w:sz w:val="22"/>
                <w:szCs w:val="22"/>
              </w:rPr>
            </w:pPr>
            <w:r>
              <w:rPr>
                <w:rFonts w:cs="Arial" w:ascii="Arial" w:hAnsi="Arial"/>
                <w:bCs/>
                <w:sz w:val="22"/>
                <w:szCs w:val="22"/>
              </w:rPr>
              <w:t xml:space="preserve">To be fully responsible for the Education, Health and Care Plans and ensuring all the processes around them are carried out to regulatory requirements. </w:t>
            </w:r>
          </w:p>
          <w:p>
            <w:pPr>
              <w:pStyle w:val="Normal"/>
              <w:jc w:val="both"/>
              <w:rPr/>
            </w:pPr>
            <w:r>
              <w:rPr/>
            </w:r>
          </w:p>
        </w:tc>
      </w:tr>
    </w:tbl>
    <w:p>
      <w:pPr>
        <w:pStyle w:val="Normal"/>
        <w:rPr/>
      </w:pPr>
      <w:r>
        <w:rPr/>
      </w:r>
    </w:p>
    <w:tbl>
      <w:tblPr>
        <w:tblW w:w="9463" w:type="dxa"/>
        <w:jc w:val="left"/>
        <w:tblInd w:w="74" w:type="dxa"/>
        <w:tblLayout w:type="fixed"/>
        <w:tblCellMar>
          <w:top w:w="0" w:type="dxa"/>
          <w:left w:w="108" w:type="dxa"/>
          <w:bottom w:w="0" w:type="dxa"/>
          <w:right w:w="108" w:type="dxa"/>
        </w:tblCellMar>
      </w:tblPr>
      <w:tblGrid>
        <w:gridCol w:w="283"/>
        <w:gridCol w:w="9180"/>
      </w:tblGrid>
      <w:tr>
        <w:trPr>
          <w:cantSplit w:val="true"/>
        </w:trPr>
        <w:tc>
          <w:tcPr>
            <w:tcW w:w="9463" w:type="dxa"/>
            <w:gridSpan w:val="2"/>
            <w:tcBorders>
              <w:top w:val="single" w:sz="4" w:space="0" w:color="000000"/>
              <w:left w:val="single" w:sz="4" w:space="0" w:color="000000"/>
              <w:right w:val="single" w:sz="4" w:space="0" w:color="000000"/>
            </w:tcBorders>
          </w:tcPr>
          <w:p>
            <w:pPr>
              <w:pStyle w:val="Normal"/>
              <w:jc w:val="both"/>
              <w:rPr>
                <w:rFonts w:cs="Arial"/>
                <w:b/>
              </w:rPr>
            </w:pPr>
            <w:r>
              <w:rPr>
                <w:rFonts w:cs="Arial"/>
                <w:b/>
              </w:rPr>
              <w:t>KEY TASKS – Admissions</w:t>
            </w:r>
          </w:p>
          <w:p>
            <w:pPr>
              <w:pStyle w:val="Normal"/>
              <w:jc w:val="both"/>
              <w:rPr>
                <w:rFonts w:cs="Arial"/>
                <w:b/>
              </w:rPr>
            </w:pPr>
            <w:r>
              <w:rPr>
                <w:rFonts w:cs="Arial"/>
                <w:b/>
              </w:rPr>
            </w:r>
          </w:p>
          <w:p>
            <w:pPr>
              <w:pStyle w:val="ListParagraph"/>
              <w:numPr>
                <w:ilvl w:val="0"/>
                <w:numId w:val="2"/>
              </w:numPr>
              <w:jc w:val="both"/>
              <w:rPr/>
            </w:pPr>
            <w:r>
              <w:rPr>
                <w:rFonts w:cs="Arial"/>
                <w:b w:val="false"/>
                <w:bCs/>
                <w:sz w:val="22"/>
                <w:szCs w:val="22"/>
              </w:rPr>
              <w:t xml:space="preserve">To liaise with professionals in order to share information or to gather further evidence for the Admissions meeting if needed; working flexibly with other schools to promote a speedy and smooth admission process for the pupil(s), including the effective transfer of appropriate pupil data/information. </w:t>
            </w:r>
          </w:p>
          <w:p>
            <w:pPr>
              <w:pStyle w:val="ListParagraph"/>
              <w:jc w:val="both"/>
              <w:rPr>
                <w:rFonts w:cs="Arial"/>
                <w:b w:val="false"/>
                <w:bCs/>
                <w:sz w:val="22"/>
                <w:szCs w:val="22"/>
              </w:rPr>
            </w:pPr>
            <w:r>
              <w:rPr>
                <w:rFonts w:cs="Arial"/>
                <w:b w:val="false"/>
                <w:bCs/>
                <w:sz w:val="22"/>
                <w:szCs w:val="22"/>
              </w:rPr>
            </w:r>
          </w:p>
          <w:p>
            <w:pPr>
              <w:pStyle w:val="ListParagraph"/>
              <w:numPr>
                <w:ilvl w:val="0"/>
                <w:numId w:val="2"/>
              </w:numPr>
              <w:jc w:val="both"/>
              <w:rPr/>
            </w:pPr>
            <w:r>
              <w:rPr>
                <w:rFonts w:cs="Arial"/>
                <w:b w:val="false"/>
                <w:bCs/>
                <w:sz w:val="22"/>
                <w:szCs w:val="22"/>
              </w:rPr>
              <w:t xml:space="preserve">To contribute to consultation requests supporting accurate analysis, ensuring pertinent information has been captured and recorded. </w:t>
            </w:r>
          </w:p>
          <w:p>
            <w:pPr>
              <w:pStyle w:val="ListParagraph"/>
              <w:jc w:val="both"/>
              <w:rPr>
                <w:rFonts w:cs="Arial"/>
                <w:b w:val="false"/>
                <w:bCs/>
                <w:sz w:val="22"/>
                <w:szCs w:val="22"/>
                <w:highlight w:val="yellow"/>
              </w:rPr>
            </w:pPr>
            <w:r>
              <w:rPr>
                <w:rFonts w:cs="Arial"/>
                <w:b w:val="false"/>
                <w:bCs/>
                <w:sz w:val="22"/>
                <w:szCs w:val="22"/>
                <w:highlight w:val="yellow"/>
              </w:rPr>
            </w:r>
          </w:p>
          <w:p>
            <w:pPr>
              <w:pStyle w:val="ListParagraph"/>
              <w:numPr>
                <w:ilvl w:val="0"/>
                <w:numId w:val="2"/>
              </w:numPr>
              <w:jc w:val="both"/>
              <w:rPr/>
            </w:pPr>
            <w:r>
              <w:rPr>
                <w:rFonts w:cs="Arial"/>
                <w:b w:val="false"/>
                <w:bCs/>
                <w:sz w:val="22"/>
                <w:szCs w:val="22"/>
              </w:rPr>
              <w:t>To contribute to the admission process by sharing gathered information and complete actions set.</w:t>
            </w:r>
          </w:p>
          <w:p>
            <w:pPr>
              <w:pStyle w:val="ListParagraph"/>
              <w:jc w:val="both"/>
              <w:rPr>
                <w:rFonts w:cs="Arial"/>
                <w:b w:val="false"/>
                <w:bCs/>
                <w:sz w:val="22"/>
                <w:szCs w:val="22"/>
              </w:rPr>
            </w:pPr>
            <w:r>
              <w:rPr>
                <w:rFonts w:cs="Arial"/>
                <w:b w:val="false"/>
                <w:bCs/>
                <w:sz w:val="22"/>
                <w:szCs w:val="22"/>
              </w:rPr>
            </w:r>
          </w:p>
          <w:p>
            <w:pPr>
              <w:pStyle w:val="ListParagraph"/>
              <w:numPr>
                <w:ilvl w:val="0"/>
                <w:numId w:val="2"/>
              </w:numPr>
              <w:jc w:val="both"/>
              <w:rPr/>
            </w:pPr>
            <w:r>
              <w:rPr>
                <w:rFonts w:cs="Arial"/>
                <w:b w:val="false"/>
                <w:bCs/>
                <w:sz w:val="22"/>
                <w:szCs w:val="22"/>
              </w:rPr>
              <w:t>To contribute to the development, planning and implementation of strategies in line with the Admissions policy.</w:t>
            </w:r>
          </w:p>
          <w:p>
            <w:pPr>
              <w:pStyle w:val="ListParagraph"/>
              <w:jc w:val="both"/>
              <w:rPr>
                <w:rFonts w:cs="Arial"/>
                <w:b w:val="false"/>
                <w:bCs/>
                <w:sz w:val="22"/>
                <w:szCs w:val="22"/>
              </w:rPr>
            </w:pPr>
            <w:r>
              <w:rPr>
                <w:rFonts w:cs="Arial"/>
                <w:b w:val="false"/>
                <w:bCs/>
                <w:sz w:val="22"/>
                <w:szCs w:val="22"/>
              </w:rPr>
            </w:r>
          </w:p>
          <w:p>
            <w:pPr>
              <w:pStyle w:val="ListParagraph"/>
              <w:numPr>
                <w:ilvl w:val="0"/>
                <w:numId w:val="2"/>
              </w:numPr>
              <w:jc w:val="both"/>
              <w:rPr>
                <w:rFonts w:cs="Arial"/>
                <w:b w:val="false"/>
                <w:bCs/>
                <w:sz w:val="22"/>
                <w:szCs w:val="22"/>
              </w:rPr>
            </w:pPr>
            <w:r>
              <w:rPr>
                <w:rFonts w:cs="Arial"/>
                <w:b w:val="false"/>
                <w:bCs/>
                <w:sz w:val="22"/>
                <w:szCs w:val="22"/>
              </w:rPr>
              <w:t>To contribute to the preparation of appeals documentation/tribunals.</w:t>
            </w:r>
          </w:p>
        </w:tc>
      </w:tr>
      <w:tr>
        <w:trPr/>
        <w:tc>
          <w:tcPr>
            <w:tcW w:w="9463" w:type="dxa"/>
            <w:gridSpan w:val="2"/>
            <w:tcBorders>
              <w:left w:val="single" w:sz="4" w:space="0" w:color="000000"/>
              <w:right w:val="single" w:sz="4" w:space="0" w:color="000000"/>
            </w:tcBorders>
          </w:tcPr>
          <w:p>
            <w:pPr>
              <w:pStyle w:val="Normal"/>
              <w:snapToGrid w:val="false"/>
              <w:jc w:val="both"/>
              <w:rPr>
                <w:rFonts w:cs="Arial"/>
                <w:b/>
              </w:rPr>
            </w:pPr>
            <w:r>
              <w:rPr>
                <w:rFonts w:cs="Arial"/>
                <w:b/>
              </w:rPr>
            </w:r>
          </w:p>
          <w:p>
            <w:pPr>
              <w:pStyle w:val="Normal"/>
              <w:jc w:val="both"/>
              <w:rPr>
                <w:rFonts w:cs="Arial"/>
                <w:b/>
              </w:rPr>
            </w:pPr>
            <w:r>
              <w:rPr>
                <w:rFonts w:cs="Arial"/>
                <w:b/>
              </w:rPr>
            </w:r>
          </w:p>
          <w:p>
            <w:pPr>
              <w:pStyle w:val="Normal"/>
              <w:jc w:val="both"/>
              <w:rPr>
                <w:rFonts w:cs="Arial"/>
                <w:b/>
              </w:rPr>
            </w:pPr>
            <w:r>
              <w:rPr>
                <w:rFonts w:cs="Arial"/>
                <w:b/>
              </w:rPr>
              <w:t>KEY TASKS – Annual Reviews</w:t>
            </w:r>
          </w:p>
          <w:p>
            <w:pPr>
              <w:pStyle w:val="Normal"/>
              <w:ind w:hanging="544" w:left="601" w:right="0"/>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p>
            <w:pPr>
              <w:pStyle w:val="Normal"/>
              <w:jc w:val="both"/>
              <w:rPr/>
            </w:pPr>
            <w:r>
              <w:rPr/>
            </w:r>
          </w:p>
        </w:tc>
        <w:tc>
          <w:tcPr>
            <w:tcW w:w="9180" w:type="dxa"/>
            <w:tcBorders>
              <w:right w:val="single" w:sz="4" w:space="0" w:color="000000"/>
            </w:tcBorders>
          </w:tcPr>
          <w:p>
            <w:pPr>
              <w:pStyle w:val="ListParagraph"/>
              <w:numPr>
                <w:ilvl w:val="0"/>
                <w:numId w:val="2"/>
              </w:numPr>
              <w:spacing w:before="0" w:after="200"/>
              <w:ind w:hanging="360" w:left="491" w:right="0"/>
              <w:contextualSpacing/>
              <w:jc w:val="both"/>
              <w:rPr>
                <w:rFonts w:ascii="Arial" w:hAnsi="Arial" w:cs="Arial"/>
                <w:b w:val="false"/>
                <w:sz w:val="22"/>
                <w:szCs w:val="22"/>
              </w:rPr>
            </w:pPr>
            <w:r>
              <w:rPr>
                <w:rFonts w:cs="Arial" w:ascii="Arial" w:hAnsi="Arial"/>
                <w:b w:val="false"/>
                <w:sz w:val="22"/>
                <w:szCs w:val="22"/>
              </w:rPr>
              <w:t>To set Annual Review dates for all pupils within the organisation in liaison with the Local Authority.</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before="0" w:after="200"/>
              <w:ind w:hanging="360" w:left="491" w:right="0"/>
              <w:contextualSpacing/>
              <w:jc w:val="both"/>
              <w:rPr>
                <w:rFonts w:ascii="Arial" w:hAnsi="Arial" w:cs="Arial"/>
                <w:b w:val="false"/>
                <w:sz w:val="22"/>
                <w:szCs w:val="22"/>
              </w:rPr>
            </w:pPr>
            <w:r>
              <w:rPr>
                <w:rFonts w:cs="Arial" w:ascii="Arial" w:hAnsi="Arial"/>
                <w:b w:val="false"/>
                <w:sz w:val="22"/>
                <w:szCs w:val="22"/>
              </w:rPr>
              <w:t>To devise formats and effective ways of facilitating the Annual Reviews using a person-centred approach.</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before="0" w:after="200"/>
              <w:ind w:hanging="360" w:left="491" w:right="0"/>
              <w:contextualSpacing/>
              <w:jc w:val="both"/>
              <w:rPr/>
            </w:pPr>
            <w:r>
              <w:rPr>
                <w:rFonts w:cs="Arial" w:ascii="Arial" w:hAnsi="Arial"/>
                <w:b w:val="false"/>
                <w:sz w:val="22"/>
                <w:szCs w:val="22"/>
              </w:rPr>
              <w:t>To liaise with relevant colleagues within the New Bridge Group and external agencies to request pre Annual Review documentation in preparation for the Annual Review Meetings in line with outlined deadlines, ensuring that the views of the young people and staff are captured.</w:t>
            </w:r>
          </w:p>
          <w:p>
            <w:pPr>
              <w:pStyle w:val="ListParagraph"/>
              <w:spacing w:before="0" w:after="200"/>
              <w:ind w:left="491" w:right="0"/>
              <w:contextualSpacing/>
              <w:jc w:val="both"/>
              <w:rPr>
                <w:rFonts w:ascii="Arial" w:hAnsi="Arial" w:cs="Arial"/>
                <w:b w:val="false"/>
                <w:sz w:val="22"/>
                <w:szCs w:val="22"/>
              </w:rPr>
            </w:pPr>
            <w:r>
              <w:rPr>
                <w:rFonts w:cs="Arial" w:ascii="Arial" w:hAnsi="Arial"/>
                <w:b w:val="false"/>
                <w:sz w:val="22"/>
                <w:szCs w:val="22"/>
              </w:rPr>
            </w:r>
          </w:p>
          <w:p>
            <w:pPr>
              <w:pStyle w:val="ListParagraph"/>
              <w:numPr>
                <w:ilvl w:val="0"/>
                <w:numId w:val="2"/>
              </w:numPr>
              <w:spacing w:before="0" w:after="200"/>
              <w:ind w:hanging="360" w:left="491" w:right="0"/>
              <w:contextualSpacing/>
              <w:jc w:val="both"/>
              <w:rPr/>
            </w:pPr>
            <w:r>
              <w:rPr>
                <w:rFonts w:cs="Arial" w:ascii="Arial" w:hAnsi="Arial"/>
                <w:b w:val="false"/>
                <w:bCs/>
                <w:sz w:val="22"/>
                <w:szCs w:val="22"/>
              </w:rPr>
              <w:t>To ensure that all necessary EHCP-related paperwork, including reviews, is prepared, maintained and presented within the processes and timeframes required, and that all statutory deadlines for documentation are met.</w:t>
            </w:r>
          </w:p>
          <w:p>
            <w:pPr>
              <w:pStyle w:val="ListParagraph"/>
              <w:rPr>
                <w:rFonts w:cs="Arial"/>
              </w:rPr>
            </w:pPr>
            <w:r>
              <w:rPr>
                <w:rFonts w:cs="Arial"/>
              </w:rPr>
            </w:r>
          </w:p>
          <w:p>
            <w:pPr>
              <w:pStyle w:val="ListParagraph"/>
              <w:numPr>
                <w:ilvl w:val="0"/>
                <w:numId w:val="2"/>
              </w:numPr>
              <w:spacing w:before="0" w:after="200"/>
              <w:ind w:hanging="360" w:left="491" w:right="0"/>
              <w:contextualSpacing/>
              <w:jc w:val="both"/>
              <w:rPr/>
            </w:pPr>
            <w:r>
              <w:rPr>
                <w:rFonts w:cs="Arial" w:ascii="Arial" w:hAnsi="Arial"/>
                <w:b w:val="false"/>
                <w:bCs/>
                <w:sz w:val="22"/>
                <w:szCs w:val="22"/>
              </w:rPr>
              <w:t>To facilitate Annual Review Meetings and to appropriately share information to relevant audiences to facilitate pupil welfare, promote pupil learning, independence and safety to parents, colleagues and education/healthcare professionals, within procedures covering confidentiality and data protection. Providing objective and accurate feedback and reports, written and verbal, appropriate to the intended</w:t>
            </w:r>
            <w:r>
              <w:rPr>
                <w:rFonts w:cs="Arial" w:ascii="Arial" w:hAnsi="Arial"/>
                <w:b w:val="false"/>
                <w:sz w:val="20"/>
                <w:szCs w:val="20"/>
              </w:rPr>
              <w:t xml:space="preserve"> </w:t>
            </w:r>
            <w:r>
              <w:rPr>
                <w:rFonts w:cs="Arial" w:ascii="Arial" w:hAnsi="Arial"/>
                <w:b w:val="false"/>
                <w:sz w:val="22"/>
                <w:szCs w:val="22"/>
              </w:rPr>
              <w:t>audience regarding pupil progress and achievements, ensuring the availability of suitable evidence.</w:t>
            </w:r>
          </w:p>
          <w:p>
            <w:pPr>
              <w:pStyle w:val="Normal"/>
              <w:spacing w:before="0" w:after="200"/>
              <w:jc w:val="both"/>
              <w:rPr>
                <w:rFonts w:cs="Arial"/>
                <w:bCs/>
              </w:rPr>
            </w:pPr>
            <w:r>
              <w:rPr>
                <w:rFonts w:cs="Arial"/>
                <w:bCs/>
              </w:rPr>
            </w:r>
          </w:p>
        </w:tc>
      </w:tr>
      <w:tr>
        <w:trPr/>
        <w:tc>
          <w:tcPr>
            <w:tcW w:w="283" w:type="dxa"/>
            <w:tcBorders>
              <w:left w:val="single" w:sz="4" w:space="0" w:color="000000"/>
            </w:tcBorders>
          </w:tcPr>
          <w:p>
            <w:pPr>
              <w:pStyle w:val="Normal"/>
              <w:snapToGrid w:val="false"/>
              <w:jc w:val="both"/>
              <w:rPr>
                <w:rFonts w:cs="Arial"/>
                <w:bCs/>
              </w:rPr>
            </w:pPr>
            <w:r>
              <w:rPr>
                <w:rFonts w:cs="Arial"/>
                <w:bCs/>
              </w:rPr>
            </w:r>
          </w:p>
        </w:tc>
        <w:tc>
          <w:tcPr>
            <w:tcW w:w="9180" w:type="dxa"/>
            <w:tcBorders>
              <w:right w:val="single" w:sz="4" w:space="0" w:color="000000"/>
            </w:tcBorders>
          </w:tcPr>
          <w:p>
            <w:pPr>
              <w:pStyle w:val="ListParagraph"/>
              <w:numPr>
                <w:ilvl w:val="0"/>
                <w:numId w:val="2"/>
              </w:numPr>
              <w:spacing w:before="0" w:after="200"/>
              <w:contextualSpacing/>
              <w:jc w:val="both"/>
              <w:rPr/>
            </w:pPr>
            <w:r>
              <w:rPr>
                <w:rFonts w:cs="Arial" w:ascii="Arial" w:hAnsi="Arial"/>
                <w:b w:val="false"/>
                <w:bCs/>
                <w:sz w:val="22"/>
                <w:szCs w:val="22"/>
              </w:rPr>
              <w:t>To establish and maintain positive and appropriate relationships with professionals, the young people and their families that engages, motivates and removes barriers to learning, aimed at achieving the goals defined in their action plan.</w:t>
            </w:r>
          </w:p>
          <w:p>
            <w:pPr>
              <w:pStyle w:val="ListParagraph"/>
              <w:spacing w:before="0" w:after="200"/>
              <w:contextualSpacing/>
              <w:jc w:val="both"/>
              <w:rPr>
                <w:rFonts w:ascii="Arial" w:hAnsi="Arial" w:cs="Arial"/>
                <w:b w:val="false"/>
                <w:bCs/>
                <w:sz w:val="22"/>
                <w:szCs w:val="22"/>
              </w:rPr>
            </w:pPr>
            <w:r>
              <w:rPr>
                <w:rFonts w:cs="Arial" w:ascii="Arial" w:hAnsi="Arial"/>
                <w:b w:val="false"/>
                <w:bCs/>
                <w:sz w:val="22"/>
                <w:szCs w:val="22"/>
              </w:rPr>
            </w:r>
          </w:p>
          <w:p>
            <w:pPr>
              <w:pStyle w:val="ListParagraph"/>
              <w:numPr>
                <w:ilvl w:val="0"/>
                <w:numId w:val="2"/>
              </w:numPr>
              <w:spacing w:before="0" w:after="200"/>
              <w:contextualSpacing/>
              <w:jc w:val="both"/>
              <w:rPr/>
            </w:pPr>
            <w:r>
              <w:rPr>
                <w:rFonts w:cs="Arial" w:ascii="Arial" w:hAnsi="Arial"/>
                <w:b w:val="false"/>
                <w:bCs/>
                <w:sz w:val="22"/>
                <w:szCs w:val="22"/>
              </w:rPr>
              <w:t xml:space="preserve">To provide feedback to staff, professionals and agencies, completing all actions from the Annual Review Meeting (this could include making appropriate referrals as </w:t>
            </w:r>
            <w:r>
              <w:rPr>
                <w:rFonts w:cs="Arial"/>
                <w:b w:val="false"/>
                <w:bCs/>
              </w:rPr>
              <w:t xml:space="preserve">necessary on behalf of families, requesting updated advice from agencies, liaising with </w:t>
            </w:r>
            <w:r>
              <w:rPr>
                <w:rFonts w:cs="Arial" w:ascii="Arial" w:hAnsi="Arial"/>
                <w:b w:val="false"/>
                <w:bCs/>
                <w:sz w:val="22"/>
                <w:szCs w:val="22"/>
              </w:rPr>
              <w:t>the Responsible Local Authority ensuring that families are updated and aware of the progress of any set actions).</w:t>
            </w:r>
          </w:p>
          <w:p>
            <w:pPr>
              <w:pStyle w:val="ListParagraph"/>
              <w:rPr>
                <w:rFonts w:ascii="Arial" w:hAnsi="Arial" w:cs="Arial"/>
                <w:b w:val="false"/>
                <w:bCs/>
                <w:sz w:val="22"/>
                <w:szCs w:val="22"/>
              </w:rPr>
            </w:pPr>
            <w:r>
              <w:rPr>
                <w:rFonts w:cs="Arial" w:ascii="Arial" w:hAnsi="Arial"/>
                <w:b w:val="false"/>
                <w:bCs/>
                <w:sz w:val="22"/>
                <w:szCs w:val="22"/>
              </w:rPr>
            </w:r>
          </w:p>
          <w:p>
            <w:pPr>
              <w:pStyle w:val="ListParagraph"/>
              <w:numPr>
                <w:ilvl w:val="0"/>
                <w:numId w:val="2"/>
              </w:numPr>
              <w:spacing w:before="0" w:after="200"/>
              <w:contextualSpacing/>
              <w:jc w:val="both"/>
              <w:rPr/>
            </w:pPr>
            <w:r>
              <w:rPr>
                <w:rFonts w:cs="Arial" w:ascii="Arial" w:hAnsi="Arial"/>
                <w:b w:val="false"/>
                <w:bCs/>
                <w:sz w:val="22"/>
                <w:szCs w:val="22"/>
              </w:rPr>
              <w:t>To ensure that parents/carers of the young people with SEN are provided with support and advice about the needs assessment process, the statement/EHC plan and the annual review processes. They also make sure that the young people they hold responsibility for receive suitable educational provision in line with what is set out in the statement or EHC plan.</w:t>
            </w:r>
          </w:p>
          <w:p>
            <w:pPr>
              <w:pStyle w:val="ListParagraph"/>
              <w:rPr>
                <w:rFonts w:ascii="Arial" w:hAnsi="Arial" w:cs="Arial"/>
                <w:b w:val="false"/>
                <w:bCs/>
                <w:sz w:val="22"/>
                <w:szCs w:val="22"/>
              </w:rPr>
            </w:pPr>
            <w:r>
              <w:rPr>
                <w:rFonts w:cs="Arial" w:ascii="Arial" w:hAnsi="Arial"/>
                <w:b w:val="false"/>
                <w:bCs/>
                <w:sz w:val="22"/>
                <w:szCs w:val="22"/>
              </w:rPr>
            </w:r>
          </w:p>
          <w:p>
            <w:pPr>
              <w:pStyle w:val="ListParagraph"/>
              <w:numPr>
                <w:ilvl w:val="0"/>
                <w:numId w:val="2"/>
              </w:numPr>
              <w:spacing w:before="0" w:after="200"/>
              <w:contextualSpacing/>
              <w:jc w:val="both"/>
              <w:rPr/>
            </w:pPr>
            <w:r>
              <w:rPr>
                <w:rFonts w:cs="Arial" w:ascii="Arial" w:hAnsi="Arial"/>
                <w:b w:val="false"/>
                <w:bCs/>
                <w:sz w:val="22"/>
                <w:szCs w:val="22"/>
                <w:lang w:val="en-US"/>
              </w:rPr>
              <w:t>To finalise the Annual Review Summary along with documentation from the responsible</w:t>
            </w:r>
            <w:r>
              <w:rPr>
                <w:rFonts w:cs="Arial" w:ascii="Arial" w:hAnsi="Arial"/>
                <w:b w:val="false"/>
                <w:bCs/>
                <w:sz w:val="22"/>
                <w:szCs w:val="22"/>
              </w:rPr>
              <w:t> </w:t>
            </w:r>
            <w:r>
              <w:rPr>
                <w:rFonts w:cs="Arial" w:ascii="Arial" w:hAnsi="Arial"/>
                <w:b w:val="false"/>
                <w:bCs/>
                <w:sz w:val="22"/>
                <w:szCs w:val="22"/>
                <w:lang w:val="en-US"/>
              </w:rPr>
              <w:t>Local Authority as requested ensuring that minutes taken (during the Annual Review</w:t>
            </w:r>
            <w:r>
              <w:rPr>
                <w:rFonts w:cs="Arial" w:ascii="Arial" w:hAnsi="Arial"/>
                <w:b w:val="false"/>
                <w:bCs/>
                <w:sz w:val="22"/>
                <w:szCs w:val="22"/>
              </w:rPr>
              <w:t> </w:t>
            </w:r>
            <w:r>
              <w:rPr>
                <w:rFonts w:cs="Arial" w:ascii="Arial" w:hAnsi="Arial"/>
                <w:b w:val="false"/>
                <w:bCs/>
                <w:sz w:val="22"/>
                <w:szCs w:val="22"/>
                <w:lang w:val="en-US"/>
              </w:rPr>
              <w:t>Meeting are accurately recorded and outcomes/targets are set.</w:t>
            </w:r>
          </w:p>
        </w:tc>
      </w:tr>
      <w:tr>
        <w:trPr>
          <w:trHeight w:val="80" w:hRule="atLeast"/>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Normal"/>
              <w:snapToGrid w:val="false"/>
              <w:spacing w:before="0" w:after="200"/>
              <w:jc w:val="both"/>
              <w:rPr>
                <w:rFonts w:cs="Arial"/>
              </w:rPr>
            </w:pPr>
            <w:r>
              <w:rPr>
                <w:rFonts w:cs="Arial"/>
              </w:rPr>
            </w:r>
          </w:p>
        </w:tc>
      </w:tr>
      <w:tr>
        <w:trPr/>
        <w:tc>
          <w:tcPr>
            <w:tcW w:w="9463" w:type="dxa"/>
            <w:gridSpan w:val="2"/>
            <w:tcBorders>
              <w:left w:val="single" w:sz="4" w:space="0" w:color="000000"/>
              <w:right w:val="single" w:sz="4" w:space="0" w:color="000000"/>
            </w:tcBorders>
          </w:tcPr>
          <w:p>
            <w:pPr>
              <w:pStyle w:val="Normal"/>
              <w:jc w:val="both"/>
              <w:rPr>
                <w:rFonts w:cs="Arial"/>
                <w:b/>
              </w:rPr>
            </w:pPr>
            <w:r>
              <w:rPr>
                <w:rFonts w:cs="Arial"/>
                <w:b/>
              </w:rPr>
              <w:t>KEY TASKS – Whole School (MAT)</w:t>
            </w:r>
          </w:p>
          <w:p>
            <w:pPr>
              <w:pStyle w:val="Normal"/>
              <w:ind w:hanging="544" w:left="601" w:right="0"/>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tc>
        <w:tc>
          <w:tcPr>
            <w:tcW w:w="9180" w:type="dxa"/>
            <w:tcBorders>
              <w:right w:val="single" w:sz="4" w:space="0" w:color="000000"/>
            </w:tcBorders>
          </w:tcPr>
          <w:p>
            <w:pPr>
              <w:pStyle w:val="ListParagraph"/>
              <w:snapToGrid w:val="false"/>
              <w:ind w:hanging="544" w:left="601" w:right="0"/>
              <w:jc w:val="both"/>
              <w:rPr>
                <w:rFonts w:ascii="Arial" w:hAnsi="Arial" w:cs="Arial"/>
                <w:b w:val="false"/>
                <w:sz w:val="22"/>
                <w:szCs w:val="22"/>
              </w:rPr>
            </w:pPr>
            <w:r>
              <w:rPr>
                <w:rFonts w:cs="Arial" w:ascii="Arial" w:hAnsi="Arial"/>
                <w:b w:val="false"/>
                <w:sz w:val="22"/>
                <w:szCs w:val="22"/>
              </w:rPr>
            </w:r>
          </w:p>
        </w:tc>
      </w:tr>
      <w:tr>
        <w:trPr/>
        <w:tc>
          <w:tcPr>
            <w:tcW w:w="283" w:type="dxa"/>
            <w:tcBorders>
              <w:left w:val="single" w:sz="4" w:space="0" w:color="000000"/>
            </w:tcBorders>
          </w:tcPr>
          <w:p>
            <w:pPr>
              <w:pStyle w:val="Normal"/>
              <w:snapToGrid w:val="false"/>
              <w:jc w:val="both"/>
              <w:rPr>
                <w:rFonts w:ascii="Arial" w:hAnsi="Arial" w:cs="Arial"/>
                <w:b w:val="false"/>
                <w:sz w:val="22"/>
                <w:szCs w:val="22"/>
              </w:rPr>
            </w:pPr>
            <w:r>
              <w:rPr>
                <w:rFonts w:cs="Arial"/>
                <w:b w:val="false"/>
                <w:sz w:val="22"/>
                <w:szCs w:val="22"/>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 xml:space="preserve">To offer information, advice and guidance to others regarding the support of pupils. This could include sharing knowledge of activities, courses, organisations and individuals that can be accessed to provide additional support to pupils. </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pPr>
            <w:r>
              <w:rPr>
                <w:rFonts w:cs="Arial" w:ascii="Arial" w:hAnsi="Arial"/>
                <w:b w:val="false"/>
                <w:sz w:val="22"/>
                <w:szCs w:val="22"/>
              </w:rPr>
              <w:t>To use School and LA systems and procedures to ensure personal details, reports and Annual Review documentation is updated and uploaded following the School’s policy and procedures on Safeguarding, data protection and confidentiality.</w:t>
            </w:r>
          </w:p>
          <w:p>
            <w:pPr>
              <w:pStyle w:val="ListParagraph"/>
              <w:spacing w:lineRule="auto" w:line="276" w:before="0" w:after="200"/>
              <w:ind w:left="601" w:right="0"/>
              <w:contextualSpacing/>
              <w:jc w:val="both"/>
              <w:rPr>
                <w:rFonts w:ascii="Arial" w:hAnsi="Arial" w:cs="Arial"/>
                <w:b w:val="false"/>
                <w:sz w:val="22"/>
                <w:szCs w:val="22"/>
              </w:rPr>
            </w:pPr>
            <w:r>
              <w:rPr>
                <w:rFonts w:cs="Arial" w:ascii="Arial" w:hAnsi="Arial"/>
                <w:b w:val="false"/>
                <w:sz w:val="22"/>
                <w:szCs w:val="22"/>
              </w:rPr>
            </w:r>
          </w:p>
          <w:p>
            <w:pPr>
              <w:pStyle w:val="ListParagraph"/>
              <w:numPr>
                <w:ilvl w:val="0"/>
                <w:numId w:val="2"/>
              </w:numPr>
              <w:spacing w:lineRule="auto" w:line="276" w:before="0" w:after="200"/>
              <w:contextualSpacing/>
              <w:jc w:val="both"/>
              <w:rPr/>
            </w:pPr>
            <w:r>
              <w:rPr>
                <w:rFonts w:cs="Arial" w:ascii="Arial" w:hAnsi="Arial"/>
                <w:b w:val="false"/>
                <w:sz w:val="22"/>
                <w:szCs w:val="22"/>
              </w:rPr>
              <w:t>To support the school senior leadership team to maintain accurate pupil information records and provision mapping, in line with school processes.</w:t>
            </w:r>
          </w:p>
          <w:p>
            <w:pPr>
              <w:pStyle w:val="ListParagraph"/>
              <w:rPr>
                <w:rFonts w:ascii="Arial" w:hAnsi="Arial" w:cs="Arial"/>
                <w:b w:val="false"/>
                <w:sz w:val="22"/>
                <w:szCs w:val="22"/>
              </w:rPr>
            </w:pPr>
            <w:r>
              <w:rPr>
                <w:rFonts w:cs="Arial" w:ascii="Arial" w:hAnsi="Arial"/>
                <w:b w:val="false"/>
                <w:sz w:val="22"/>
                <w:szCs w:val="22"/>
              </w:rPr>
            </w:r>
          </w:p>
          <w:p>
            <w:pPr>
              <w:pStyle w:val="ListParagraph"/>
              <w:numPr>
                <w:ilvl w:val="0"/>
                <w:numId w:val="2"/>
              </w:numPr>
              <w:spacing w:lineRule="auto" w:line="276" w:before="0" w:after="200"/>
              <w:contextualSpacing/>
              <w:jc w:val="both"/>
              <w:rPr/>
            </w:pPr>
            <w:r>
              <w:rPr>
                <w:rFonts w:cs="Arial" w:ascii="Arial" w:hAnsi="Arial"/>
                <w:b w:val="false"/>
                <w:sz w:val="22"/>
                <w:szCs w:val="22"/>
              </w:rPr>
              <w:t xml:space="preserve">To be an active member of Samuel Laycock school SEND team. </w:t>
            </w:r>
          </w:p>
          <w:p>
            <w:pPr>
              <w:pStyle w:val="ListParagraph"/>
              <w:rPr>
                <w:rFonts w:ascii="Arial" w:hAnsi="Arial" w:cs="Arial"/>
                <w:b w:val="false"/>
                <w:sz w:val="22"/>
                <w:szCs w:val="22"/>
              </w:rPr>
            </w:pPr>
            <w:r>
              <w:rPr>
                <w:rFonts w:cs="Arial" w:ascii="Arial" w:hAnsi="Arial"/>
                <w:b w:val="false"/>
                <w:sz w:val="22"/>
                <w:szCs w:val="22"/>
              </w:rPr>
            </w:r>
          </w:p>
          <w:p>
            <w:pPr>
              <w:pStyle w:val="ListParagraph"/>
              <w:spacing w:lineRule="auto" w:line="276" w:before="0" w:after="200"/>
              <w:contextualSpacing/>
              <w:jc w:val="both"/>
              <w:rPr>
                <w:rFonts w:ascii="Arial" w:hAnsi="Arial" w:cs="Arial"/>
                <w:b w:val="false"/>
                <w:sz w:val="22"/>
                <w:szCs w:val="22"/>
              </w:rPr>
            </w:pPr>
            <w:r>
              <w:rPr>
                <w:rFonts w:cs="Arial" w:ascii="Arial" w:hAnsi="Arial"/>
                <w:b w:val="false"/>
                <w:sz w:val="22"/>
                <w:szCs w:val="22"/>
              </w:rPr>
            </w:r>
          </w:p>
        </w:tc>
      </w:tr>
      <w:tr>
        <w:trPr/>
        <w:tc>
          <w:tcPr>
            <w:tcW w:w="9463" w:type="dxa"/>
            <w:gridSpan w:val="2"/>
            <w:tcBorders>
              <w:left w:val="single" w:sz="4" w:space="0" w:color="000000"/>
              <w:right w:val="single" w:sz="4" w:space="0" w:color="000000"/>
            </w:tcBorders>
          </w:tcPr>
          <w:p>
            <w:pPr>
              <w:pStyle w:val="Normal"/>
              <w:snapToGrid w:val="false"/>
              <w:jc w:val="both"/>
              <w:rPr>
                <w:rFonts w:ascii="Arial" w:hAnsi="Arial" w:cs="Arial"/>
                <w:b w:val="false"/>
                <w:sz w:val="22"/>
                <w:szCs w:val="22"/>
              </w:rPr>
            </w:pPr>
            <w:r>
              <w:rPr>
                <w:rFonts w:cs="Arial"/>
                <w:b w:val="false"/>
                <w:sz w:val="22"/>
                <w:szCs w:val="22"/>
              </w:rPr>
            </w:r>
          </w:p>
          <w:p>
            <w:pPr>
              <w:pStyle w:val="Normal"/>
              <w:ind w:hanging="544" w:left="601" w:right="0"/>
              <w:jc w:val="both"/>
              <w:rPr>
                <w:rFonts w:cs="Arial"/>
                <w:b/>
              </w:rPr>
            </w:pPr>
            <w:r>
              <w:rPr>
                <w:rFonts w:cs="Arial"/>
                <w:b/>
              </w:rPr>
              <w:t>KEY TASKS – Individual Pupils</w:t>
            </w:r>
          </w:p>
          <w:p>
            <w:pPr>
              <w:pStyle w:val="Normal"/>
              <w:ind w:hanging="544" w:left="601" w:right="0"/>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tc>
        <w:tc>
          <w:tcPr>
            <w:tcW w:w="9180" w:type="dxa"/>
            <w:tcBorders>
              <w:right w:val="single" w:sz="4" w:space="0" w:color="000000"/>
            </w:tcBorders>
          </w:tcPr>
          <w:p>
            <w:pPr>
              <w:pStyle w:val="ListParagraph"/>
              <w:numPr>
                <w:ilvl w:val="0"/>
                <w:numId w:val="2"/>
              </w:numPr>
              <w:jc w:val="both"/>
              <w:rPr/>
            </w:pPr>
            <w:r>
              <w:rPr>
                <w:rFonts w:cs="Arial" w:ascii="Arial" w:hAnsi="Arial"/>
                <w:b w:val="false"/>
                <w:sz w:val="22"/>
                <w:szCs w:val="22"/>
              </w:rPr>
              <w:t xml:space="preserve">Under direction of the school leadership team, develop and implement action plans for all young people relating directly to their individual needs and circumstances, which could be particularly complex needs, to overcome barriers.  </w:t>
            </w:r>
          </w:p>
          <w:p>
            <w:pPr>
              <w:pStyle w:val="Normal"/>
              <w:ind w:hanging="544" w:left="601" w:right="0"/>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To monitor and evaluate pupil’s responses, progress and achievements against the action plan through techniques such as observation and gathering relevant data.  To amend the action plan as appropriate to take into account on-going assessment of pupil’s progress and individual needs and circumstances.</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To establish and maintain positive and appropriate relationships with pupils and their families that engages, motivates and removes barriers to learning, aimed at achieving the goals defined in their action plan.</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 xml:space="preserve">To provide a range of information, advice and guidance to support and enable pupils, tailored to their specific needs, to make choices about their own learning and aspirations.  </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jc w:val="both"/>
              <w:rPr/>
            </w:pPr>
            <w:r>
              <w:rPr>
                <w:rFonts w:cs="Arial" w:ascii="Arial" w:hAnsi="Arial"/>
                <w:b w:val="false"/>
                <w:sz w:val="22"/>
                <w:szCs w:val="22"/>
              </w:rPr>
              <w:t>To provide objective and accurate feedback and reports, written and verbal, appropriate to the intended audience regarding pupil progress and achievements, ensuring the availability of suitable evidence</w:t>
            </w:r>
            <w:r>
              <w:rPr>
                <w:rFonts w:cs="Arial" w:ascii="Arial" w:hAnsi="Arial"/>
                <w:sz w:val="22"/>
                <w:szCs w:val="22"/>
              </w:rPr>
              <w:t>.</w:t>
            </w:r>
          </w:p>
          <w:p>
            <w:pPr>
              <w:pStyle w:val="Normal"/>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 xml:space="preserve">To be a “point of contact” between the school and external agencies involved in supporting pupils throughout the Annual Review process, proactively initiating and establishing links with other services as necessary, and maintaining positive working relationships to facilitate successful outcomes for pupils.  </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To maintain regular contact with families/carers of pupils, to keep them informed of the pupil’s actions/outcomes of the Annual Review, and to secure positive family support and professional involvement.  The role could include conducting home/ school visits as part of the Admissions process.</w:t>
            </w:r>
          </w:p>
        </w:tc>
      </w:tr>
      <w:tr>
        <w:trPr/>
        <w:tc>
          <w:tcPr>
            <w:tcW w:w="283" w:type="dxa"/>
            <w:tcBorders>
              <w:left w:val="single" w:sz="4" w:space="0" w:color="000000"/>
            </w:tcBorders>
          </w:tcPr>
          <w:p>
            <w:pPr>
              <w:pStyle w:val="Normal"/>
              <w:snapToGrid w:val="false"/>
              <w:jc w:val="both"/>
              <w:rPr/>
            </w:pPr>
            <w:r>
              <w:rPr/>
            </w:r>
          </w:p>
        </w:tc>
        <w:tc>
          <w:tcPr>
            <w:tcW w:w="9180" w:type="dxa"/>
            <w:tcBorders>
              <w:right w:val="single" w:sz="4" w:space="0" w:color="000000"/>
            </w:tcBorders>
          </w:tcPr>
          <w:p>
            <w:pPr>
              <w:pStyle w:val="ListParagraph"/>
              <w:numPr>
                <w:ilvl w:val="0"/>
                <w:numId w:val="2"/>
              </w:numPr>
              <w:spacing w:lineRule="auto" w:line="276" w:before="0" w:after="200"/>
              <w:contextualSpacing/>
              <w:jc w:val="both"/>
              <w:rPr>
                <w:rFonts w:ascii="Arial" w:hAnsi="Arial" w:cs="Arial"/>
                <w:b w:val="false"/>
                <w:sz w:val="22"/>
                <w:szCs w:val="22"/>
              </w:rPr>
            </w:pPr>
            <w:r>
              <w:rPr>
                <w:rFonts w:cs="Arial" w:ascii="Arial" w:hAnsi="Arial"/>
                <w:b w:val="false"/>
                <w:sz w:val="22"/>
                <w:szCs w:val="22"/>
              </w:rPr>
              <w:t>To appropriately share information to relevant audiences to facilitate pupil welfare and promote pupil learning and future aspirations to parents, colleagues and education/healthcare professionals, within procedures covering confidentiality and data protection.</w:t>
            </w:r>
          </w:p>
        </w:tc>
      </w:tr>
      <w:tr>
        <w:trPr/>
        <w:tc>
          <w:tcPr>
            <w:tcW w:w="9463" w:type="dxa"/>
            <w:gridSpan w:val="2"/>
            <w:tcBorders>
              <w:left w:val="single" w:sz="4" w:space="0" w:color="000000"/>
              <w:right w:val="single" w:sz="4" w:space="0" w:color="000000"/>
            </w:tcBorders>
          </w:tcPr>
          <w:p>
            <w:pPr>
              <w:pStyle w:val="Normal"/>
              <w:ind w:hanging="544" w:left="601" w:right="0"/>
              <w:jc w:val="both"/>
              <w:rPr>
                <w:rFonts w:cs="Arial"/>
                <w:b/>
              </w:rPr>
            </w:pPr>
            <w:r>
              <w:rPr>
                <w:rFonts w:cs="Arial"/>
                <w:b/>
              </w:rPr>
              <w:t>KEY TASKS – General Clerical</w:t>
            </w:r>
          </w:p>
          <w:p>
            <w:pPr>
              <w:pStyle w:val="Normal"/>
              <w:ind w:hanging="544" w:left="601" w:right="0"/>
              <w:jc w:val="both"/>
              <w:rPr>
                <w:rFonts w:cs="Arial"/>
              </w:rPr>
            </w:pPr>
            <w:r>
              <w:rPr>
                <w:rFonts w:cs="Arial"/>
              </w:rPr>
            </w:r>
          </w:p>
        </w:tc>
      </w:tr>
      <w:tr>
        <w:trPr/>
        <w:tc>
          <w:tcPr>
            <w:tcW w:w="283" w:type="dxa"/>
            <w:tcBorders>
              <w:left w:val="single" w:sz="4" w:space="0" w:color="000000"/>
            </w:tcBorders>
          </w:tcPr>
          <w:p>
            <w:pPr>
              <w:pStyle w:val="Normal"/>
              <w:snapToGrid w:val="false"/>
              <w:jc w:val="both"/>
              <w:rPr>
                <w:rFonts w:cs="Arial"/>
              </w:rPr>
            </w:pPr>
            <w:r>
              <w:rPr>
                <w:rFonts w:cs="Arial"/>
              </w:rPr>
            </w:r>
          </w:p>
        </w:tc>
        <w:tc>
          <w:tcPr>
            <w:tcW w:w="9180" w:type="dxa"/>
            <w:tcBorders>
              <w:right w:val="single" w:sz="4" w:space="0" w:color="000000"/>
            </w:tcBorders>
          </w:tcPr>
          <w:p>
            <w:pPr>
              <w:pStyle w:val="ListParagraph"/>
              <w:numPr>
                <w:ilvl w:val="0"/>
                <w:numId w:val="2"/>
              </w:numPr>
              <w:jc w:val="both"/>
              <w:rPr/>
            </w:pPr>
            <w:r>
              <w:rPr>
                <w:rFonts w:cs="Arial" w:ascii="Arial" w:hAnsi="Arial"/>
                <w:b w:val="false"/>
                <w:sz w:val="22"/>
                <w:szCs w:val="22"/>
              </w:rPr>
              <w:t>To provide and organise general clerical support, e.g. photocopying, filing, emailing, completing forms, dealing with mail and responding to routine and complex correspondence.</w:t>
            </w:r>
          </w:p>
          <w:p>
            <w:pPr>
              <w:pStyle w:val="Normal"/>
              <w:ind w:left="360" w:right="0"/>
              <w:jc w:val="both"/>
              <w:rPr>
                <w:rFonts w:cs="Arial"/>
              </w:rPr>
            </w:pPr>
            <w:r>
              <w:rPr>
                <w:rFonts w:cs="Arial"/>
              </w:rPr>
            </w:r>
          </w:p>
          <w:p>
            <w:pPr>
              <w:pStyle w:val="Normal"/>
              <w:ind w:left="360" w:right="0"/>
              <w:jc w:val="both"/>
              <w:rPr>
                <w:rFonts w:cs="Arial"/>
              </w:rPr>
            </w:pPr>
            <w:r>
              <w:rPr>
                <w:rFonts w:cs="Arial"/>
              </w:rPr>
            </w:r>
          </w:p>
        </w:tc>
      </w:tr>
      <w:tr>
        <w:trPr/>
        <w:tc>
          <w:tcPr>
            <w:tcW w:w="9463" w:type="dxa"/>
            <w:gridSpan w:val="2"/>
            <w:tcBorders>
              <w:left w:val="single" w:sz="4" w:space="0" w:color="000000"/>
              <w:right w:val="single" w:sz="4" w:space="0" w:color="000000"/>
            </w:tcBorders>
          </w:tcPr>
          <w:p>
            <w:pPr>
              <w:pStyle w:val="Normal"/>
              <w:ind w:hanging="544" w:left="601" w:right="0"/>
              <w:jc w:val="both"/>
              <w:rPr>
                <w:rFonts w:cs="Arial"/>
                <w:b/>
              </w:rPr>
            </w:pPr>
            <w:r>
              <w:rPr>
                <w:rFonts w:cs="Arial"/>
                <w:b/>
              </w:rPr>
              <w:t>KEY TASKS – Line Management</w:t>
            </w:r>
          </w:p>
          <w:p>
            <w:pPr>
              <w:pStyle w:val="Normal"/>
              <w:jc w:val="both"/>
              <w:rPr>
                <w:rFonts w:cs="Arial"/>
                <w:b/>
              </w:rPr>
            </w:pPr>
            <w:r>
              <w:rPr>
                <w:rFonts w:cs="Arial"/>
                <w:b/>
              </w:rPr>
            </w:r>
          </w:p>
          <w:p>
            <w:pPr>
              <w:pStyle w:val="ListParagraph"/>
              <w:numPr>
                <w:ilvl w:val="0"/>
                <w:numId w:val="2"/>
              </w:numPr>
              <w:ind w:hanging="369" w:left="720" w:right="0"/>
              <w:jc w:val="both"/>
              <w:rPr/>
            </w:pPr>
            <w:r>
              <w:rPr>
                <w:rFonts w:cs="Arial" w:ascii="Arial" w:hAnsi="Arial"/>
                <w:b w:val="false"/>
                <w:sz w:val="22"/>
                <w:szCs w:val="22"/>
              </w:rPr>
              <w:t>Line manage the EHCP Administrator, providing supervision, guidance and performance management to ensure the effective administration, monitoring and coordination of Education, Health and Care Plan (EHCP) processes and statutory requirements.</w:t>
            </w:r>
          </w:p>
          <w:p>
            <w:pPr>
              <w:pStyle w:val="Normal"/>
              <w:ind w:hanging="544" w:left="601" w:right="0"/>
              <w:jc w:val="both"/>
              <w:rPr>
                <w:rFonts w:cs="Arial"/>
                <w:b/>
              </w:rPr>
            </w:pPr>
            <w:r>
              <w:rPr>
                <w:rFonts w:cs="Arial"/>
                <w:b/>
              </w:rPr>
            </w:r>
          </w:p>
          <w:p>
            <w:pPr>
              <w:pStyle w:val="Normal"/>
              <w:ind w:hanging="544" w:left="601" w:right="0"/>
              <w:jc w:val="both"/>
              <w:rPr>
                <w:rFonts w:cs="Arial"/>
                <w:b/>
              </w:rPr>
            </w:pPr>
            <w:r>
              <w:rPr>
                <w:rFonts w:cs="Arial"/>
                <w:b/>
              </w:rPr>
            </w:r>
          </w:p>
          <w:p>
            <w:pPr>
              <w:pStyle w:val="Normal"/>
              <w:ind w:hanging="544" w:left="601" w:right="0"/>
              <w:jc w:val="both"/>
              <w:rPr>
                <w:rFonts w:cs="Arial"/>
                <w:b/>
              </w:rPr>
            </w:pPr>
            <w:r>
              <w:rPr>
                <w:rFonts w:cs="Arial"/>
                <w:b/>
              </w:rPr>
            </w:r>
          </w:p>
          <w:p>
            <w:pPr>
              <w:pStyle w:val="Normal"/>
              <w:ind w:hanging="544" w:left="601" w:right="0"/>
              <w:jc w:val="both"/>
              <w:rPr>
                <w:rFonts w:cs="Arial"/>
                <w:b/>
              </w:rPr>
            </w:pPr>
            <w:r>
              <w:rPr>
                <w:rFonts w:cs="Arial"/>
                <w:b/>
              </w:rPr>
            </w:r>
          </w:p>
          <w:p>
            <w:pPr>
              <w:pStyle w:val="Normal"/>
              <w:ind w:hanging="544" w:left="601" w:right="0"/>
              <w:jc w:val="both"/>
              <w:rPr>
                <w:rFonts w:cs="Arial"/>
                <w:b/>
              </w:rPr>
            </w:pPr>
            <w:r>
              <w:rPr>
                <w:rFonts w:cs="Arial"/>
                <w:b/>
              </w:rPr>
              <w:t>KEY TASKS – General Clerical</w:t>
            </w:r>
          </w:p>
          <w:p>
            <w:pPr>
              <w:pStyle w:val="Normal"/>
              <w:ind w:hanging="544" w:left="601" w:right="0"/>
              <w:jc w:val="both"/>
              <w:rPr>
                <w:rFonts w:cs="Arial"/>
              </w:rPr>
            </w:pPr>
            <w:r>
              <w:rPr>
                <w:rFonts w:cs="Arial"/>
              </w:rPr>
            </w:r>
          </w:p>
        </w:tc>
      </w:tr>
      <w:tr>
        <w:trPr/>
        <w:tc>
          <w:tcPr>
            <w:tcW w:w="283" w:type="dxa"/>
            <w:tcBorders>
              <w:left w:val="single" w:sz="4" w:space="0" w:color="000000"/>
              <w:bottom w:val="single" w:sz="4" w:space="0" w:color="000000"/>
            </w:tcBorders>
          </w:tcPr>
          <w:p>
            <w:pPr>
              <w:pStyle w:val="Normal"/>
              <w:snapToGrid w:val="false"/>
              <w:jc w:val="both"/>
              <w:rPr>
                <w:rFonts w:cs="Arial"/>
              </w:rPr>
            </w:pPr>
            <w:r>
              <w:rPr>
                <w:rFonts w:cs="Arial"/>
              </w:rPr>
            </w:r>
          </w:p>
        </w:tc>
        <w:tc>
          <w:tcPr>
            <w:tcW w:w="9180" w:type="dxa"/>
            <w:tcBorders>
              <w:bottom w:val="single" w:sz="4" w:space="0" w:color="000000"/>
              <w:right w:val="single" w:sz="4" w:space="0" w:color="000000"/>
            </w:tcBorders>
          </w:tcPr>
          <w:p>
            <w:pPr>
              <w:pStyle w:val="ListParagraph"/>
              <w:numPr>
                <w:ilvl w:val="0"/>
                <w:numId w:val="2"/>
              </w:numPr>
              <w:ind w:hanging="425" w:left="491" w:right="0"/>
              <w:jc w:val="both"/>
              <w:rPr/>
            </w:pPr>
            <w:r>
              <w:rPr>
                <w:rFonts w:cs="Arial" w:ascii="Arial" w:hAnsi="Arial"/>
                <w:b w:val="false"/>
                <w:sz w:val="22"/>
                <w:szCs w:val="22"/>
              </w:rPr>
              <w:t xml:space="preserve">To undertake pupil welfare duties for example; looking after sick pupils, administering medication and administering basic first aid as necessary, and liaising with parents/staff in accordance with School procedures.  The role could include administering first aid to other members of staff. </w:t>
            </w:r>
          </w:p>
          <w:p>
            <w:pPr>
              <w:pStyle w:val="Normal"/>
              <w:ind w:left="57" w:right="0"/>
              <w:jc w:val="both"/>
              <w:rPr>
                <w:rFonts w:cs="Arial"/>
              </w:rPr>
            </w:pPr>
            <w:r>
              <w:rPr>
                <w:rFonts w:cs="Arial"/>
              </w:rPr>
            </w:r>
          </w:p>
        </w:tc>
      </w:tr>
    </w:tbl>
    <w:p>
      <w:pPr>
        <w:pStyle w:val="Normal"/>
        <w:rPr/>
      </w:pPr>
      <w:r>
        <w:rPr/>
      </w:r>
    </w:p>
    <w:tbl>
      <w:tblPr>
        <w:tblW w:w="9492" w:type="dxa"/>
        <w:jc w:val="left"/>
        <w:tblInd w:w="108" w:type="dxa"/>
        <w:tblLayout w:type="fixed"/>
        <w:tblCellMar>
          <w:top w:w="0" w:type="dxa"/>
          <w:left w:w="108" w:type="dxa"/>
          <w:bottom w:w="0" w:type="dxa"/>
          <w:right w:w="108" w:type="dxa"/>
        </w:tblCellMar>
      </w:tblPr>
      <w:tblGrid>
        <w:gridCol w:w="648"/>
        <w:gridCol w:w="8844"/>
      </w:tblGrid>
      <w:tr>
        <w:trPr>
          <w:cantSplit w:val="true"/>
        </w:trPr>
        <w:tc>
          <w:tcPr>
            <w:tcW w:w="9492" w:type="dxa"/>
            <w:gridSpan w:val="2"/>
            <w:tcBorders>
              <w:top w:val="single" w:sz="4" w:space="0" w:color="000000"/>
              <w:left w:val="single" w:sz="4" w:space="0" w:color="000000"/>
              <w:right w:val="single" w:sz="4" w:space="0" w:color="000000"/>
            </w:tcBorders>
          </w:tcPr>
          <w:p>
            <w:pPr>
              <w:pStyle w:val="Heading2"/>
              <w:keepNext w:val="true"/>
              <w:spacing w:before="240" w:after="60"/>
              <w:ind w:hanging="0" w:left="0"/>
              <w:rPr>
                <w:i w:val="false"/>
                <w:i w:val="false"/>
              </w:rPr>
            </w:pPr>
            <w:r>
              <w:rPr>
                <w:i w:val="false"/>
              </w:rPr>
              <w:t>STANDARD DUTIES</w:t>
            </w:r>
          </w:p>
          <w:p>
            <w:pPr>
              <w:pStyle w:val="Normal"/>
              <w:rPr/>
            </w:pPr>
            <w:r>
              <w:rPr/>
            </w:r>
          </w:p>
        </w:tc>
      </w:tr>
      <w:tr>
        <w:trPr/>
        <w:tc>
          <w:tcPr>
            <w:tcW w:w="648" w:type="dxa"/>
            <w:tcBorders>
              <w:left w:val="single" w:sz="4" w:space="0" w:color="000000"/>
            </w:tcBorders>
          </w:tcPr>
          <w:p>
            <w:pPr>
              <w:pStyle w:val="Normal"/>
              <w:rPr/>
            </w:pPr>
            <w:r>
              <w:rPr/>
              <w:t>1.</w:t>
            </w:r>
          </w:p>
          <w:p>
            <w:pPr>
              <w:pStyle w:val="Normal"/>
              <w:rPr/>
            </w:pPr>
            <w:r>
              <w:rPr/>
            </w:r>
          </w:p>
        </w:tc>
        <w:tc>
          <w:tcPr>
            <w:tcW w:w="8844" w:type="dxa"/>
            <w:tcBorders>
              <w:right w:val="single" w:sz="4" w:space="0" w:color="000000"/>
            </w:tcBorders>
          </w:tcPr>
          <w:p>
            <w:pPr>
              <w:pStyle w:val="Normal"/>
              <w:jc w:val="both"/>
              <w:rPr/>
            </w:pPr>
            <w:r>
              <w:rPr/>
              <w:t>To understand the importance of inclusion, equality and diversity, both when working with pupils and with colleagues, and to promote equal opportunities for all</w:t>
            </w:r>
          </w:p>
        </w:tc>
      </w:tr>
      <w:tr>
        <w:trPr/>
        <w:tc>
          <w:tcPr>
            <w:tcW w:w="648" w:type="dxa"/>
            <w:tcBorders>
              <w:left w:val="single" w:sz="4" w:space="0" w:color="000000"/>
            </w:tcBorders>
          </w:tcPr>
          <w:p>
            <w:pPr>
              <w:pStyle w:val="Normal"/>
              <w:rPr/>
            </w:pPr>
            <w:r>
              <w:rPr/>
              <w:t>2.</w:t>
            </w:r>
          </w:p>
          <w:p>
            <w:pPr>
              <w:pStyle w:val="Normal"/>
              <w:rPr/>
            </w:pPr>
            <w:r>
              <w:rPr/>
            </w:r>
          </w:p>
        </w:tc>
        <w:tc>
          <w:tcPr>
            <w:tcW w:w="8844" w:type="dxa"/>
            <w:tcBorders>
              <w:right w:val="single" w:sz="4" w:space="0" w:color="000000"/>
            </w:tcBorders>
          </w:tcPr>
          <w:p>
            <w:pPr>
              <w:pStyle w:val="Normal"/>
              <w:rPr/>
            </w:pPr>
            <w:r>
              <w:rPr/>
              <w:t>To uphold and promote the values and the ethos of the school.</w:t>
            </w:r>
          </w:p>
        </w:tc>
      </w:tr>
      <w:tr>
        <w:trPr/>
        <w:tc>
          <w:tcPr>
            <w:tcW w:w="648" w:type="dxa"/>
            <w:tcBorders>
              <w:left w:val="single" w:sz="4" w:space="0" w:color="000000"/>
            </w:tcBorders>
          </w:tcPr>
          <w:p>
            <w:pPr>
              <w:pStyle w:val="Normal"/>
              <w:rPr/>
            </w:pPr>
            <w:r>
              <w:rPr/>
              <w:t>3.</w:t>
            </w:r>
          </w:p>
          <w:p>
            <w:pPr>
              <w:pStyle w:val="Normal"/>
              <w:rPr/>
            </w:pPr>
            <w:r>
              <w:rPr/>
            </w:r>
          </w:p>
        </w:tc>
        <w:tc>
          <w:tcPr>
            <w:tcW w:w="8844" w:type="dxa"/>
            <w:tcBorders>
              <w:right w:val="single" w:sz="4" w:space="0" w:color="000000"/>
            </w:tcBorders>
          </w:tcPr>
          <w:p>
            <w:pPr>
              <w:pStyle w:val="Normal"/>
              <w:jc w:val="both"/>
              <w:rPr/>
            </w:pPr>
            <w:r>
              <w:rPr/>
              <w:t>To implement and uphold the policies, procedures and codes of practice of the School and MAT, including relating to data protection, ICT, health &amp; safety, anti-bullying and safeguarding/child protection.</w:t>
            </w:r>
          </w:p>
        </w:tc>
      </w:tr>
      <w:tr>
        <w:trPr/>
        <w:tc>
          <w:tcPr>
            <w:tcW w:w="648" w:type="dxa"/>
            <w:tcBorders>
              <w:left w:val="single" w:sz="4" w:space="0" w:color="000000"/>
            </w:tcBorders>
          </w:tcPr>
          <w:p>
            <w:pPr>
              <w:pStyle w:val="Normal"/>
              <w:rPr/>
            </w:pPr>
            <w:r>
              <w:rPr/>
              <w:t>4.</w:t>
            </w:r>
          </w:p>
          <w:p>
            <w:pPr>
              <w:pStyle w:val="Normal"/>
              <w:rPr/>
            </w:pPr>
            <w:r>
              <w:rPr/>
            </w:r>
          </w:p>
        </w:tc>
        <w:tc>
          <w:tcPr>
            <w:tcW w:w="8844" w:type="dxa"/>
            <w:tcBorders>
              <w:right w:val="single" w:sz="4" w:space="0" w:color="000000"/>
            </w:tcBorders>
          </w:tcPr>
          <w:p>
            <w:pPr>
              <w:pStyle w:val="Normal"/>
              <w:jc w:val="both"/>
              <w:rPr/>
            </w:pPr>
            <w:r>
              <w:rPr/>
              <w:t>To take a pro-active approach to health and safety, working with others in the school to minimise and mitigate potential hazards and risks, and actively contribute to the security of the school, e.g. challenging a stranger on the premises.</w:t>
            </w:r>
          </w:p>
        </w:tc>
      </w:tr>
      <w:tr>
        <w:trPr/>
        <w:tc>
          <w:tcPr>
            <w:tcW w:w="648" w:type="dxa"/>
            <w:tcBorders>
              <w:left w:val="single" w:sz="4" w:space="0" w:color="000000"/>
            </w:tcBorders>
          </w:tcPr>
          <w:p>
            <w:pPr>
              <w:pStyle w:val="Normal"/>
              <w:rPr/>
            </w:pPr>
            <w:r>
              <w:rPr/>
              <w:t>5.</w:t>
            </w:r>
          </w:p>
        </w:tc>
        <w:tc>
          <w:tcPr>
            <w:tcW w:w="8844" w:type="dxa"/>
            <w:tcBorders>
              <w:right w:val="single" w:sz="4" w:space="0" w:color="000000"/>
            </w:tcBorders>
          </w:tcPr>
          <w:p>
            <w:pPr>
              <w:pStyle w:val="Normal"/>
              <w:jc w:val="both"/>
              <w:rPr/>
            </w:pPr>
            <w:r>
              <w:rPr/>
              <w:t>To participate and engage with workplace learning and development opportunities, subject to the school’s training plan, working to continually improve own performance and that of the team/school.</w:t>
            </w:r>
          </w:p>
        </w:tc>
      </w:tr>
      <w:tr>
        <w:trPr/>
        <w:tc>
          <w:tcPr>
            <w:tcW w:w="648" w:type="dxa"/>
            <w:tcBorders>
              <w:left w:val="single" w:sz="4" w:space="0" w:color="000000"/>
            </w:tcBorders>
          </w:tcPr>
          <w:p>
            <w:pPr>
              <w:pStyle w:val="Normal"/>
              <w:rPr/>
            </w:pPr>
            <w:r>
              <w:rPr/>
              <w:t>6.</w:t>
            </w:r>
          </w:p>
        </w:tc>
        <w:tc>
          <w:tcPr>
            <w:tcW w:w="8844" w:type="dxa"/>
            <w:tcBorders>
              <w:right w:val="single" w:sz="4" w:space="0" w:color="000000"/>
            </w:tcBorders>
          </w:tcPr>
          <w:p>
            <w:pPr>
              <w:pStyle w:val="Normal"/>
              <w:jc w:val="both"/>
              <w:rPr/>
            </w:pPr>
            <w:r>
              <w:rPr/>
              <w:t>To attend and participate in relevant meetings as appropriate.</w:t>
            </w:r>
          </w:p>
        </w:tc>
      </w:tr>
      <w:tr>
        <w:trPr/>
        <w:tc>
          <w:tcPr>
            <w:tcW w:w="648" w:type="dxa"/>
            <w:tcBorders>
              <w:left w:val="single" w:sz="4" w:space="0" w:color="000000"/>
            </w:tcBorders>
          </w:tcPr>
          <w:p>
            <w:pPr>
              <w:pStyle w:val="Normal"/>
              <w:rPr/>
            </w:pPr>
            <w:r>
              <w:rPr/>
              <w:t>7.</w:t>
            </w:r>
          </w:p>
        </w:tc>
        <w:tc>
          <w:tcPr>
            <w:tcW w:w="8844" w:type="dxa"/>
            <w:tcBorders>
              <w:right w:val="single" w:sz="4" w:space="0" w:color="000000"/>
            </w:tcBorders>
          </w:tcPr>
          <w:p>
            <w:pPr>
              <w:pStyle w:val="Normal"/>
              <w:jc w:val="both"/>
              <w:rPr/>
            </w:pPr>
            <w:r>
              <w:rPr/>
              <w:t>To work across the New Bridge Group if required.</w:t>
            </w:r>
          </w:p>
        </w:tc>
      </w:tr>
      <w:tr>
        <w:trPr/>
        <w:tc>
          <w:tcPr>
            <w:tcW w:w="648" w:type="dxa"/>
            <w:tcBorders>
              <w:left w:val="single" w:sz="4" w:space="0" w:color="000000"/>
              <w:bottom w:val="single" w:sz="4" w:space="0" w:color="000000"/>
            </w:tcBorders>
          </w:tcPr>
          <w:p>
            <w:pPr>
              <w:pStyle w:val="Normal"/>
              <w:rPr/>
            </w:pPr>
            <w:r>
              <w:rPr/>
              <w:t>8.</w:t>
            </w:r>
          </w:p>
        </w:tc>
        <w:tc>
          <w:tcPr>
            <w:tcW w:w="8844" w:type="dxa"/>
            <w:tcBorders>
              <w:bottom w:val="single" w:sz="4" w:space="0" w:color="000000"/>
              <w:right w:val="single" w:sz="4" w:space="0" w:color="000000"/>
            </w:tcBorders>
          </w:tcPr>
          <w:p>
            <w:pPr>
              <w:pStyle w:val="Normal"/>
              <w:jc w:val="both"/>
              <w:rPr/>
            </w:pPr>
            <w:r>
              <w:rPr/>
              <w:t xml:space="preserve">To undertake any other additional duties commensurate with the grade of the post. </w:t>
            </w:r>
          </w:p>
          <w:p>
            <w:pPr>
              <w:pStyle w:val="Normal"/>
              <w:jc w:val="both"/>
              <w:rPr/>
            </w:pPr>
            <w:r>
              <w:rPr/>
            </w:r>
          </w:p>
        </w:tc>
      </w:tr>
    </w:tbl>
    <w:p>
      <w:pPr>
        <w:pStyle w:val="Normal"/>
        <w:rPr/>
      </w:pPr>
      <w:r>
        <w:rPr/>
      </w:r>
    </w:p>
    <w:tbl>
      <w:tblPr>
        <w:tblW w:w="9493" w:type="dxa"/>
        <w:jc w:val="left"/>
        <w:tblInd w:w="108" w:type="dxa"/>
        <w:tblLayout w:type="fixed"/>
        <w:tblCellMar>
          <w:top w:w="0" w:type="dxa"/>
          <w:left w:w="108" w:type="dxa"/>
          <w:bottom w:w="0" w:type="dxa"/>
          <w:right w:w="108" w:type="dxa"/>
        </w:tblCellMar>
      </w:tblPr>
      <w:tblGrid>
        <w:gridCol w:w="9493"/>
      </w:tblGrid>
      <w:tr>
        <w:trPr/>
        <w:tc>
          <w:tcPr>
            <w:tcW w:w="9493" w:type="dxa"/>
            <w:tcBorders>
              <w:top w:val="single" w:sz="4" w:space="0" w:color="000000"/>
              <w:left w:val="single" w:sz="4" w:space="0" w:color="000000"/>
              <w:bottom w:val="single" w:sz="4" w:space="0" w:color="000000"/>
              <w:right w:val="single" w:sz="4" w:space="0" w:color="000000"/>
            </w:tcBorders>
          </w:tcPr>
          <w:p>
            <w:pPr>
              <w:pStyle w:val="Heading2"/>
              <w:keepNext w:val="true"/>
              <w:spacing w:before="240" w:after="60"/>
              <w:ind w:hanging="0" w:left="0"/>
              <w:rPr/>
            </w:pPr>
            <w:r>
              <w:rPr/>
              <w:t>CONTACTS</w:t>
            </w:r>
          </w:p>
          <w:p>
            <w:pPr>
              <w:pStyle w:val="Normal"/>
              <w:rPr/>
            </w:pPr>
            <w:r>
              <w:rPr/>
            </w:r>
          </w:p>
          <w:p>
            <w:pPr>
              <w:pStyle w:val="EndnoteText"/>
              <w:overflowPunct w:val="false"/>
              <w:textAlignment w:val="auto"/>
              <w:rPr>
                <w:rFonts w:ascii="Arial" w:hAnsi="Arial" w:cs="Arial"/>
                <w:sz w:val="22"/>
                <w:szCs w:val="22"/>
              </w:rPr>
            </w:pPr>
            <w:r>
              <w:rPr>
                <w:rFonts w:cs="Arial" w:ascii="Arial" w:hAnsi="Arial"/>
                <w:sz w:val="22"/>
                <w:szCs w:val="22"/>
              </w:rPr>
              <w:t>Pupils, staff parents, carers and guardians, and visitors to the school</w:t>
            </w:r>
          </w:p>
          <w:p>
            <w:pPr>
              <w:pStyle w:val="Normal"/>
              <w:rPr/>
            </w:pPr>
            <w:r>
              <w:rPr/>
            </w:r>
          </w:p>
        </w:tc>
      </w:tr>
    </w:tbl>
    <w:p>
      <w:pPr>
        <w:pStyle w:val="Normal"/>
        <w:rPr/>
      </w:pPr>
      <w:r>
        <w:rPr/>
      </w:r>
    </w:p>
    <w:tbl>
      <w:tblPr>
        <w:tblW w:w="9492" w:type="dxa"/>
        <w:jc w:val="left"/>
        <w:tblInd w:w="108" w:type="dxa"/>
        <w:tblLayout w:type="fixed"/>
        <w:tblCellMar>
          <w:top w:w="0" w:type="dxa"/>
          <w:left w:w="108" w:type="dxa"/>
          <w:bottom w:w="0" w:type="dxa"/>
          <w:right w:w="108" w:type="dxa"/>
        </w:tblCellMar>
      </w:tblPr>
      <w:tblGrid>
        <w:gridCol w:w="2508"/>
        <w:gridCol w:w="6984"/>
      </w:tblGrid>
      <w:tr>
        <w:trPr>
          <w:trHeight w:val="556" w:hRule="atLeast"/>
          <w:cantSplit w:val="true"/>
        </w:trPr>
        <w:tc>
          <w:tcPr>
            <w:tcW w:w="9492" w:type="dxa"/>
            <w:gridSpan w:val="2"/>
            <w:tcBorders>
              <w:top w:val="single" w:sz="4" w:space="0" w:color="000000"/>
              <w:left w:val="single" w:sz="4" w:space="0" w:color="000000"/>
              <w:right w:val="single" w:sz="4" w:space="0" w:color="000000"/>
            </w:tcBorders>
          </w:tcPr>
          <w:p>
            <w:pPr>
              <w:pStyle w:val="Normal"/>
              <w:rPr>
                <w:b/>
              </w:rPr>
            </w:pPr>
            <w:r>
              <w:rPr>
                <w:b/>
              </w:rPr>
              <w:t>RELATIONSHIP TO OTHER POSTS IN THE DEPARTMENT</w:t>
            </w:r>
          </w:p>
          <w:p>
            <w:pPr>
              <w:pStyle w:val="Normal"/>
              <w:rPr/>
            </w:pPr>
            <w:r>
              <w:rPr/>
            </w:r>
          </w:p>
        </w:tc>
      </w:tr>
      <w:tr>
        <w:trPr/>
        <w:tc>
          <w:tcPr>
            <w:tcW w:w="2508" w:type="dxa"/>
            <w:tcBorders>
              <w:left w:val="single" w:sz="4" w:space="0" w:color="000000"/>
            </w:tcBorders>
          </w:tcPr>
          <w:p>
            <w:pPr>
              <w:pStyle w:val="Normal"/>
              <w:rPr>
                <w:b/>
              </w:rPr>
            </w:pPr>
            <w:r>
              <w:rPr>
                <w:b/>
              </w:rPr>
              <w:t>Responsible to:</w:t>
            </w:r>
          </w:p>
          <w:p>
            <w:pPr>
              <w:pStyle w:val="Normal"/>
              <w:rPr/>
            </w:pPr>
            <w:r>
              <w:rPr/>
            </w:r>
          </w:p>
        </w:tc>
        <w:tc>
          <w:tcPr>
            <w:tcW w:w="6984" w:type="dxa"/>
            <w:tcBorders>
              <w:right w:val="single" w:sz="4" w:space="0" w:color="000000"/>
            </w:tcBorders>
          </w:tcPr>
          <w:p>
            <w:pPr>
              <w:pStyle w:val="EndnoteText"/>
              <w:overflowPunct w:val="false"/>
              <w:textAlignment w:val="auto"/>
              <w:rPr>
                <w:rFonts w:ascii="Arial" w:hAnsi="Arial" w:cs="Arial"/>
                <w:sz w:val="22"/>
                <w:szCs w:val="22"/>
              </w:rPr>
            </w:pPr>
            <w:r>
              <w:rPr>
                <w:rFonts w:cs="Arial" w:ascii="Arial" w:hAnsi="Arial"/>
                <w:sz w:val="22"/>
                <w:szCs w:val="22"/>
              </w:rPr>
              <w:t>SENDCo</w:t>
            </w:r>
          </w:p>
        </w:tc>
      </w:tr>
      <w:tr>
        <w:trPr/>
        <w:tc>
          <w:tcPr>
            <w:tcW w:w="2508" w:type="dxa"/>
            <w:tcBorders>
              <w:left w:val="single" w:sz="4" w:space="0" w:color="000000"/>
              <w:bottom w:val="single" w:sz="4" w:space="0" w:color="000000"/>
            </w:tcBorders>
          </w:tcPr>
          <w:p>
            <w:pPr>
              <w:pStyle w:val="Normal"/>
              <w:rPr>
                <w:b/>
              </w:rPr>
            </w:pPr>
            <w:r>
              <w:rPr>
                <w:b/>
              </w:rPr>
              <w:t>Responsible for:</w:t>
            </w:r>
          </w:p>
          <w:p>
            <w:pPr>
              <w:pStyle w:val="Normal"/>
              <w:rPr/>
            </w:pPr>
            <w:r>
              <w:rPr/>
            </w:r>
          </w:p>
        </w:tc>
        <w:tc>
          <w:tcPr>
            <w:tcW w:w="6984" w:type="dxa"/>
            <w:tcBorders>
              <w:bottom w:val="single" w:sz="4" w:space="0" w:color="000000"/>
              <w:right w:val="single" w:sz="4" w:space="0" w:color="000000"/>
            </w:tcBorders>
          </w:tcPr>
          <w:p>
            <w:pPr>
              <w:pStyle w:val="EndnoteText"/>
              <w:rPr>
                <w:rFonts w:ascii="Arial" w:hAnsi="Arial" w:cs="Arial"/>
              </w:rPr>
            </w:pPr>
            <w:r>
              <w:rPr>
                <w:rFonts w:cs="Arial" w:ascii="Arial" w:hAnsi="Arial"/>
              </w:rPr>
              <w:t>EHCP Administrator</w:t>
            </w:r>
          </w:p>
        </w:tc>
      </w:tr>
    </w:tbl>
    <w:p>
      <w:pPr>
        <w:pStyle w:val="Normal"/>
        <w:rPr/>
      </w:pPr>
      <w:r>
        <w:rPr/>
      </w:r>
    </w:p>
    <w:tbl>
      <w:tblPr>
        <w:tblW w:w="9828" w:type="dxa"/>
        <w:jc w:val="left"/>
        <w:tblInd w:w="108" w:type="dxa"/>
        <w:tblLayout w:type="fixed"/>
        <w:tblCellMar>
          <w:top w:w="0" w:type="dxa"/>
          <w:left w:w="108" w:type="dxa"/>
          <w:bottom w:w="0" w:type="dxa"/>
          <w:right w:w="108" w:type="dxa"/>
        </w:tblCellMar>
      </w:tblPr>
      <w:tblGrid>
        <w:gridCol w:w="9828"/>
      </w:tblGrid>
      <w:tr>
        <w:trPr/>
        <w:tc>
          <w:tcPr>
            <w:tcW w:w="9828" w:type="dxa"/>
            <w:tcBorders>
              <w:top w:val="single" w:sz="4" w:space="0" w:color="000000"/>
              <w:left w:val="single" w:sz="4" w:space="0" w:color="000000"/>
              <w:bottom w:val="single" w:sz="4" w:space="0" w:color="000000"/>
              <w:right w:val="single" w:sz="4" w:space="0" w:color="000000"/>
            </w:tcBorders>
          </w:tcPr>
          <w:p>
            <w:pPr>
              <w:pStyle w:val="Heading2"/>
              <w:keepNext w:val="true"/>
              <w:spacing w:before="240" w:after="60"/>
              <w:ind w:hanging="0" w:left="0"/>
              <w:rPr/>
            </w:pPr>
            <w:r>
              <w:rPr/>
              <w:t xml:space="preserve">SPECIAL CONDITIONS </w:t>
            </w:r>
          </w:p>
          <w:p>
            <w:pPr>
              <w:pStyle w:val="Normal"/>
              <w:rPr>
                <w:b/>
                <w:bCs/>
              </w:rPr>
            </w:pPr>
            <w:r>
              <w:rPr>
                <w:b/>
                <w:bCs/>
              </w:rPr>
            </w:r>
          </w:p>
          <w:p>
            <w:pPr>
              <w:pStyle w:val="Normal"/>
              <w:rPr/>
            </w:pPr>
            <w:r>
              <w:rPr/>
              <w:t>DBS required – Enhanced</w:t>
            </w:r>
          </w:p>
          <w:p>
            <w:pPr>
              <w:pStyle w:val="Normal"/>
              <w:rPr/>
            </w:pPr>
            <w:r>
              <w:rPr/>
            </w:r>
          </w:p>
        </w:tc>
      </w:tr>
    </w:tbl>
    <w:p>
      <w:pPr>
        <w:pStyle w:val="Normal"/>
        <w:rPr/>
      </w:pPr>
      <w:r>
        <w:rPr/>
      </w:r>
    </w:p>
    <w:tbl>
      <w:tblPr>
        <w:tblW w:w="9827" w:type="dxa"/>
        <w:jc w:val="left"/>
        <w:tblInd w:w="108" w:type="dxa"/>
        <w:tblLayout w:type="fixed"/>
        <w:tblCellMar>
          <w:top w:w="0" w:type="dxa"/>
          <w:left w:w="108" w:type="dxa"/>
          <w:bottom w:w="0" w:type="dxa"/>
          <w:right w:w="108" w:type="dxa"/>
        </w:tblCellMar>
      </w:tblPr>
      <w:tblGrid>
        <w:gridCol w:w="2065"/>
        <w:gridCol w:w="2010"/>
        <w:gridCol w:w="2014"/>
        <w:gridCol w:w="3738"/>
      </w:tblGrid>
      <w:tr>
        <w:trPr/>
        <w:tc>
          <w:tcPr>
            <w:tcW w:w="206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spacing w:before="40" w:after="40"/>
              <w:rPr>
                <w:rFonts w:cs="Arial"/>
              </w:rPr>
            </w:pPr>
            <w:r>
              <w:rPr>
                <w:rFonts w:cs="Arial"/>
              </w:rPr>
            </w:r>
          </w:p>
        </w:tc>
        <w:tc>
          <w:tcPr>
            <w:tcW w:w="2010"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t>DATE</w:t>
            </w:r>
          </w:p>
        </w:tc>
        <w:tc>
          <w:tcPr>
            <w:tcW w:w="2014"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t>NAME</w:t>
            </w:r>
          </w:p>
        </w:tc>
        <w:tc>
          <w:tcPr>
            <w:tcW w:w="3738"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t>POST TITLE</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PREPARED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rPr/>
            </w:pPr>
            <w:r>
              <w:rPr/>
              <w:t>September 2026</w:t>
            </w:r>
          </w:p>
        </w:tc>
        <w:tc>
          <w:tcPr>
            <w:tcW w:w="2014" w:type="dxa"/>
            <w:tcBorders>
              <w:top w:val="single" w:sz="4" w:space="0" w:color="000000"/>
              <w:left w:val="single" w:sz="4" w:space="0" w:color="000000"/>
              <w:bottom w:val="single" w:sz="4" w:space="0" w:color="000000"/>
              <w:right w:val="single" w:sz="4" w:space="0" w:color="000000"/>
            </w:tcBorders>
          </w:tcPr>
          <w:p>
            <w:pPr>
              <w:pStyle w:val="Normal"/>
              <w:rPr/>
            </w:pPr>
            <w:r>
              <w:rPr/>
              <w:t>Donna West</w:t>
            </w:r>
          </w:p>
        </w:tc>
        <w:tc>
          <w:tcPr>
            <w:tcW w:w="3738" w:type="dxa"/>
            <w:tcBorders>
              <w:top w:val="single" w:sz="4" w:space="0" w:color="000000"/>
              <w:left w:val="single" w:sz="4" w:space="0" w:color="000000"/>
              <w:bottom w:val="single" w:sz="4" w:space="0" w:color="000000"/>
              <w:right w:val="single" w:sz="4" w:space="0" w:color="000000"/>
            </w:tcBorders>
          </w:tcPr>
          <w:p>
            <w:pPr>
              <w:pStyle w:val="Normal"/>
              <w:rPr/>
            </w:pPr>
            <w:r>
              <w:rPr/>
              <w:t>Heat Teacher</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c>
          <w:tcPr>
            <w:tcW w:w="373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Title"/>
        <w:rPr>
          <w:rFonts w:ascii="Arial" w:hAnsi="Arial" w:cs="Arial"/>
          <w:u w:val="single"/>
        </w:rPr>
      </w:pPr>
      <w:r>
        <w:rPr>
          <w:rFonts w:cs="Arial" w:ascii="Arial" w:hAnsi="Arial"/>
          <w:u w:val="single"/>
        </w:rPr>
        <w:t>PERSON SPECIFICATION</w:t>
      </w:r>
    </w:p>
    <w:p>
      <w:pPr>
        <w:pStyle w:val="Title"/>
        <w:rPr>
          <w:u w:val="single"/>
        </w:rPr>
      </w:pPr>
      <w:r>
        <w:rPr>
          <w:u w:val="single"/>
        </w:rPr>
      </w:r>
    </w:p>
    <w:p>
      <w:pPr>
        <w:pStyle w:val="Title"/>
        <w:jc w:val="left"/>
        <w:rPr>
          <w:rFonts w:ascii="Arial" w:hAnsi="Arial" w:cs="Arial"/>
          <w:sz w:val="22"/>
          <w:szCs w:val="22"/>
        </w:rPr>
      </w:pPr>
      <w:r>
        <w:rPr>
          <w:rFonts w:cs="Arial" w:ascii="Arial" w:hAnsi="Arial"/>
          <w:sz w:val="22"/>
          <w:szCs w:val="22"/>
        </w:rPr>
        <w:t>Job Title: Admissions and Education, Health and Care Plan Co-ordinator</w:t>
      </w:r>
    </w:p>
    <w:p>
      <w:pPr>
        <w:pStyle w:val="Title"/>
        <w:jc w:val="left"/>
        <w:rPr>
          <w:b w:val="false"/>
        </w:rPr>
      </w:pPr>
      <w:r>
        <w:rPr>
          <w:b w:val="false"/>
        </w:rPr>
      </w:r>
    </w:p>
    <w:tbl>
      <w:tblPr>
        <w:tblW w:w="9947" w:type="dxa"/>
        <w:jc w:val="left"/>
        <w:tblInd w:w="108" w:type="dxa"/>
        <w:tblLayout w:type="fixed"/>
        <w:tblCellMar>
          <w:top w:w="0" w:type="dxa"/>
          <w:left w:w="108" w:type="dxa"/>
          <w:bottom w:w="0" w:type="dxa"/>
          <w:right w:w="108" w:type="dxa"/>
        </w:tblCellMar>
      </w:tblPr>
      <w:tblGrid>
        <w:gridCol w:w="2028"/>
        <w:gridCol w:w="3599"/>
        <w:gridCol w:w="2880"/>
        <w:gridCol w:w="1440"/>
      </w:tblGrid>
      <w:tr>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3599" w:type="dxa"/>
            <w:tcBorders>
              <w:top w:val="single" w:sz="6" w:space="0" w:color="000000"/>
              <w:left w:val="single" w:sz="6" w:space="0" w:color="000000"/>
              <w:bottom w:val="single" w:sz="6" w:space="0" w:color="000000"/>
              <w:right w:val="single" w:sz="6" w:space="0" w:color="000000"/>
            </w:tcBorders>
          </w:tcPr>
          <w:p>
            <w:pPr>
              <w:pStyle w:val="Normal"/>
              <w:jc w:val="center"/>
              <w:rPr>
                <w:b/>
              </w:rPr>
            </w:pPr>
            <w:r>
              <w:rPr>
                <w:b/>
              </w:rPr>
              <w:t>Selection Criteria</w:t>
            </w:r>
          </w:p>
          <w:p>
            <w:pPr>
              <w:pStyle w:val="Normal"/>
              <w:jc w:val="center"/>
              <w:rPr>
                <w:b/>
              </w:rPr>
            </w:pPr>
            <w:r>
              <w:rPr>
                <w:b/>
              </w:rPr>
              <w:t>Essential</w:t>
            </w:r>
          </w:p>
        </w:tc>
        <w:tc>
          <w:tcPr>
            <w:tcW w:w="2880" w:type="dxa"/>
            <w:tcBorders>
              <w:top w:val="single" w:sz="6" w:space="0" w:color="000000"/>
              <w:left w:val="single" w:sz="6" w:space="0" w:color="000000"/>
              <w:bottom w:val="single" w:sz="6" w:space="0" w:color="000000"/>
              <w:right w:val="single" w:sz="6" w:space="0" w:color="000000"/>
            </w:tcBorders>
          </w:tcPr>
          <w:p>
            <w:pPr>
              <w:pStyle w:val="Normal"/>
              <w:jc w:val="center"/>
              <w:rPr>
                <w:b/>
              </w:rPr>
            </w:pPr>
            <w:r>
              <w:rPr>
                <w:b/>
              </w:rPr>
              <w:t>Selection Criteria</w:t>
            </w:r>
          </w:p>
          <w:p>
            <w:pPr>
              <w:pStyle w:val="Normal"/>
              <w:jc w:val="center"/>
              <w:rPr>
                <w:b/>
              </w:rPr>
            </w:pPr>
            <w:r>
              <w:rPr>
                <w:b/>
              </w:rPr>
              <w:t>Desirable</w:t>
            </w:r>
          </w:p>
        </w:tc>
        <w:tc>
          <w:tcPr>
            <w:tcW w:w="1440" w:type="dxa"/>
            <w:tcBorders>
              <w:top w:val="single" w:sz="6" w:space="0" w:color="000000"/>
              <w:left w:val="single" w:sz="6" w:space="0" w:color="000000"/>
              <w:bottom w:val="single" w:sz="6" w:space="0" w:color="000000"/>
              <w:right w:val="single" w:sz="6" w:space="0" w:color="000000"/>
            </w:tcBorders>
          </w:tcPr>
          <w:p>
            <w:pPr>
              <w:pStyle w:val="Normal"/>
              <w:jc w:val="center"/>
              <w:rPr>
                <w:b/>
              </w:rPr>
            </w:pPr>
            <w:r>
              <w:rPr>
                <w:b/>
              </w:rPr>
              <w:t>How Assessed</w:t>
            </w:r>
          </w:p>
        </w:tc>
      </w:tr>
      <w:tr>
        <w:trPr>
          <w:trHeight w:val="2205" w:hRule="atLeast"/>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Education &amp; Qualifications</w:t>
            </w:r>
          </w:p>
        </w:tc>
        <w:tc>
          <w:tcPr>
            <w:tcW w:w="3599" w:type="dxa"/>
            <w:tcBorders>
              <w:top w:val="single" w:sz="6" w:space="0" w:color="000000"/>
              <w:left w:val="single" w:sz="6" w:space="0" w:color="000000"/>
              <w:bottom w:val="single" w:sz="6" w:space="0" w:color="000000"/>
              <w:right w:val="single" w:sz="6" w:space="0" w:color="000000"/>
            </w:tcBorders>
          </w:tcPr>
          <w:p>
            <w:pPr>
              <w:pStyle w:val="Normal"/>
              <w:tabs>
                <w:tab w:val="clear" w:pos="720"/>
                <w:tab w:val="left" w:pos="342" w:leader="none"/>
              </w:tabs>
              <w:snapToGrid w:val="false"/>
              <w:rPr/>
            </w:pPr>
            <w:r>
              <w:rPr/>
            </w:r>
          </w:p>
          <w:p>
            <w:pPr>
              <w:pStyle w:val="Normal"/>
              <w:rPr/>
            </w:pPr>
            <w:r>
              <w:rPr/>
              <w:t>GCSE English Language grade ‘C’ or equivalent</w:t>
            </w:r>
          </w:p>
          <w:p>
            <w:pPr>
              <w:pStyle w:val="Normal"/>
              <w:rPr/>
            </w:pPr>
            <w:r>
              <w:rPr/>
            </w:r>
          </w:p>
          <w:p>
            <w:pPr>
              <w:pStyle w:val="Normal"/>
              <w:rPr/>
            </w:pPr>
            <w:r>
              <w:rPr/>
              <w:t>GCSE Maths grade ‘C’ or equivalent</w:t>
            </w:r>
          </w:p>
          <w:p>
            <w:pPr>
              <w:pStyle w:val="Normal"/>
              <w:rPr/>
            </w:pPr>
            <w:r>
              <w:rPr/>
            </w:r>
          </w:p>
          <w:p>
            <w:pPr>
              <w:pStyle w:val="Normal"/>
              <w:rPr/>
            </w:pPr>
            <w:r>
              <w:rPr/>
              <w:t>NVQ Level 2 qualification - earning, Development and Support Service (LDSS)</w:t>
            </w:r>
          </w:p>
        </w:tc>
        <w:tc>
          <w:tcPr>
            <w:tcW w:w="288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NVQ level 3 – Learning, Development and Support Service (LDSS)</w:t>
            </w:r>
          </w:p>
        </w:tc>
        <w:tc>
          <w:tcPr>
            <w:tcW w:w="144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w:t>
            </w:r>
          </w:p>
          <w:p>
            <w:pPr>
              <w:pStyle w:val="Normal"/>
              <w:jc w:val="center"/>
              <w:rPr/>
            </w:pPr>
            <w:r>
              <w:rPr/>
            </w:r>
          </w:p>
          <w:p>
            <w:pPr>
              <w:pStyle w:val="Normal"/>
              <w:jc w:val="center"/>
              <w:rPr/>
            </w:pPr>
            <w:r>
              <w:rPr/>
            </w:r>
          </w:p>
          <w:p>
            <w:pPr>
              <w:pStyle w:val="Normal"/>
              <w:jc w:val="center"/>
              <w:rPr/>
            </w:pPr>
            <w:r>
              <w:rPr/>
            </w:r>
          </w:p>
          <w:p>
            <w:pPr>
              <w:pStyle w:val="Normal"/>
              <w:jc w:val="center"/>
              <w:rPr/>
            </w:pPr>
            <w:r>
              <w:rPr/>
              <w:t>AF</w:t>
            </w:r>
          </w:p>
          <w:p>
            <w:pPr>
              <w:pStyle w:val="Normal"/>
              <w:jc w:val="center"/>
              <w:rPr/>
            </w:pPr>
            <w:r>
              <w:rPr/>
            </w:r>
          </w:p>
          <w:p>
            <w:pPr>
              <w:pStyle w:val="Normal"/>
              <w:jc w:val="center"/>
              <w:rPr/>
            </w:pPr>
            <w:r>
              <w:rPr/>
              <w:t>AF</w:t>
            </w:r>
          </w:p>
        </w:tc>
      </w:tr>
      <w:tr>
        <w:trPr>
          <w:trHeight w:val="1261" w:hRule="atLeast"/>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Experience</w:t>
            </w:r>
          </w:p>
        </w:tc>
        <w:tc>
          <w:tcPr>
            <w:tcW w:w="3599"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 xml:space="preserve">Experience of working within a school/college or relevant setting in an administrative/business support capacity </w:t>
            </w:r>
          </w:p>
          <w:p>
            <w:pPr>
              <w:pStyle w:val="Normal"/>
              <w:rPr/>
            </w:pPr>
            <w:r>
              <w:rPr/>
            </w:r>
          </w:p>
          <w:p>
            <w:pPr>
              <w:pStyle w:val="Normal"/>
              <w:rPr/>
            </w:pPr>
            <w:r>
              <w:rPr/>
              <w:t>Experience of EHCP processes including initial assessment, review &amp; amendment</w:t>
            </w:r>
          </w:p>
          <w:p>
            <w:pPr>
              <w:pStyle w:val="Normal"/>
              <w:rPr/>
            </w:pPr>
            <w:r>
              <w:rPr/>
            </w:r>
          </w:p>
          <w:p>
            <w:pPr>
              <w:pStyle w:val="Normal"/>
              <w:rPr/>
            </w:pPr>
            <w:r>
              <w:rPr/>
              <w:t>Experience of working with children and their families to support them in overcoming barriers to their personal, social or learning development.</w:t>
            </w:r>
          </w:p>
          <w:p>
            <w:pPr>
              <w:pStyle w:val="Normal"/>
              <w:rPr/>
            </w:pPr>
            <w:r>
              <w:rPr/>
            </w:r>
          </w:p>
          <w:p>
            <w:pPr>
              <w:pStyle w:val="Normal"/>
              <w:rPr/>
            </w:pPr>
            <w:r>
              <w:rPr/>
              <w:t>Experience of making assessments of children and young people to identify their individual needs</w:t>
            </w:r>
          </w:p>
          <w:p>
            <w:pPr>
              <w:pStyle w:val="Normal"/>
              <w:rPr>
                <w:b/>
              </w:rPr>
            </w:pPr>
            <w:r>
              <w:rPr>
                <w:b/>
              </w:rPr>
            </w:r>
          </w:p>
          <w:p>
            <w:pPr>
              <w:pStyle w:val="Normal"/>
              <w:rPr/>
            </w:pPr>
            <w:r>
              <w:rPr/>
              <w:t>Experience of individual action plans and adjustment relating to pupil progress or changes in circumstances in line with statutory guidance and EHCP Process</w:t>
            </w:r>
          </w:p>
          <w:p>
            <w:pPr>
              <w:pStyle w:val="Normal"/>
              <w:rPr>
                <w:b/>
              </w:rPr>
            </w:pPr>
            <w:r>
              <w:rPr>
                <w:b/>
              </w:rPr>
            </w:r>
          </w:p>
          <w:p>
            <w:pPr>
              <w:pStyle w:val="Normal"/>
              <w:rPr/>
            </w:pPr>
            <w:r>
              <w:rPr/>
              <w:t>Experience of using computer packages for word processing, spreadsheets, databases, e-mails and researching information</w:t>
            </w:r>
          </w:p>
          <w:p>
            <w:pPr>
              <w:pStyle w:val="Normal"/>
              <w:rPr/>
            </w:pPr>
            <w:r>
              <w:rPr/>
            </w:r>
          </w:p>
          <w:p>
            <w:pPr>
              <w:pStyle w:val="Normal"/>
              <w:rPr/>
            </w:pPr>
            <w:r>
              <w:rPr/>
              <w:t>Experience of undertaking a wide range of office-based administration and clerical tasks, including financial procedures and responsibilities</w:t>
            </w:r>
          </w:p>
          <w:p>
            <w:pPr>
              <w:pStyle w:val="Normal"/>
              <w:rPr/>
            </w:pPr>
            <w:r>
              <w:rPr/>
            </w:r>
          </w:p>
          <w:p>
            <w:pPr>
              <w:pStyle w:val="Normal"/>
              <w:rPr/>
            </w:pPr>
            <w:r>
              <w:rPr/>
              <w:t xml:space="preserve">Experience of working in a team collaboratively to share ideas and achieve objectives </w:t>
            </w:r>
          </w:p>
          <w:p>
            <w:pPr>
              <w:pStyle w:val="Normal"/>
              <w:rPr/>
            </w:pPr>
            <w:r>
              <w:rPr/>
            </w:r>
          </w:p>
          <w:p>
            <w:pPr>
              <w:pStyle w:val="Normal"/>
              <w:rPr/>
            </w:pPr>
            <w:r>
              <w:rPr/>
              <w:t>Experience of following instructions, procedures and policies.</w:t>
            </w:r>
          </w:p>
          <w:p>
            <w:pPr>
              <w:pStyle w:val="Normal"/>
              <w:rPr/>
            </w:pPr>
            <w:r>
              <w:rPr/>
            </w:r>
          </w:p>
        </w:tc>
        <w:tc>
          <w:tcPr>
            <w:tcW w:w="288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r>
          </w:p>
        </w:tc>
        <w:tc>
          <w:tcPr>
            <w:tcW w:w="144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p>
            <w:pPr>
              <w:pStyle w:val="Normal"/>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rHeight w:val="6094" w:hRule="atLeast"/>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Skills &amp; Abilities</w:t>
            </w:r>
          </w:p>
        </w:tc>
        <w:tc>
          <w:tcPr>
            <w:tcW w:w="3599"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Communication skills to influence, persuade, motivate and engage with a wide range of children, young people and their families including presenting to a wide range of audiences</w:t>
            </w:r>
          </w:p>
          <w:p>
            <w:pPr>
              <w:pStyle w:val="Normal"/>
              <w:rPr/>
            </w:pPr>
            <w:r>
              <w:rPr/>
            </w:r>
          </w:p>
          <w:p>
            <w:pPr>
              <w:pStyle w:val="Normal"/>
              <w:rPr/>
            </w:pPr>
            <w:r>
              <w:rPr/>
              <w:t>Interpersonal skills to form and maintain positive working relationships with pupils, their families, colleagues, and other education/healthcare professionals and partner organisations</w:t>
            </w:r>
          </w:p>
          <w:p>
            <w:pPr>
              <w:pStyle w:val="Normal"/>
              <w:rPr/>
            </w:pPr>
            <w:r>
              <w:rPr/>
            </w:r>
          </w:p>
          <w:p>
            <w:pPr>
              <w:pStyle w:val="Normal"/>
              <w:rPr/>
            </w:pPr>
            <w:r>
              <w:rPr/>
              <w:t>Listening skills to support children, young people and their families through understanding their point of view in a non-judgemental approach</w:t>
            </w:r>
          </w:p>
          <w:p>
            <w:pPr>
              <w:pStyle w:val="Normal"/>
              <w:rPr/>
            </w:pPr>
            <w:r>
              <w:rPr/>
            </w:r>
          </w:p>
          <w:p>
            <w:pPr>
              <w:pStyle w:val="Normal"/>
              <w:rPr/>
            </w:pPr>
            <w:r>
              <w:rPr/>
              <w:t>Creative skills to develop a range of different options and alternatives that will support children and young people to engage in the learning process</w:t>
            </w:r>
          </w:p>
          <w:p>
            <w:pPr>
              <w:pStyle w:val="Normal"/>
              <w:rPr/>
            </w:pPr>
            <w:r>
              <w:rPr/>
            </w:r>
          </w:p>
          <w:p>
            <w:pPr>
              <w:pStyle w:val="Normal"/>
              <w:rPr/>
            </w:pPr>
            <w:r>
              <w:rPr/>
              <w:t>Analytical skills to interpret information, determine different options for action and feasibility of proposals to solve difficult problems</w:t>
            </w:r>
          </w:p>
          <w:p>
            <w:pPr>
              <w:pStyle w:val="Normal"/>
              <w:rPr/>
            </w:pPr>
            <w:r>
              <w:rPr/>
            </w:r>
          </w:p>
          <w:p>
            <w:pPr>
              <w:pStyle w:val="Normal"/>
              <w:rPr/>
            </w:pPr>
            <w:r>
              <w:rPr/>
              <w:t>Initiative to plan and prioritise own workload and respond to unexpected problems using recognised procedures and policies as a guide</w:t>
            </w:r>
          </w:p>
          <w:p>
            <w:pPr>
              <w:pStyle w:val="Normal"/>
              <w:rPr/>
            </w:pPr>
            <w:r>
              <w:rPr/>
            </w:r>
          </w:p>
          <w:p>
            <w:pPr>
              <w:pStyle w:val="Normal"/>
              <w:tabs>
                <w:tab w:val="clear" w:pos="720"/>
                <w:tab w:val="right" w:pos="3168" w:leader="none"/>
                <w:tab w:val="left" w:pos="3744" w:leader="none"/>
                <w:tab w:val="right" w:pos="6912" w:leader="none"/>
                <w:tab w:val="left" w:pos="7488" w:leader="none"/>
              </w:tabs>
              <w:rPr/>
            </w:pPr>
            <w:r>
              <w:rPr/>
              <w:t>Organisational skills to manage time effectively, meet potentially conflicting deadlines and work without close supervision</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Ability to line manage and delegate responsibilities to EHCP administrator.</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r>
          </w:p>
        </w:tc>
        <w:tc>
          <w:tcPr>
            <w:tcW w:w="288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r>
          </w:p>
          <w:p>
            <w:pPr>
              <w:pStyle w:val="Normal"/>
              <w:tabs>
                <w:tab w:val="clear" w:pos="720"/>
                <w:tab w:val="right" w:pos="3168" w:leader="none"/>
                <w:tab w:val="left" w:pos="3744" w:leader="none"/>
                <w:tab w:val="right" w:pos="6912" w:leader="none"/>
                <w:tab w:val="left" w:pos="7488" w:leader="none"/>
              </w:tabs>
              <w:rPr/>
            </w:pPr>
            <w:r>
              <w:rPr/>
            </w:r>
          </w:p>
          <w:p>
            <w:pPr>
              <w:pStyle w:val="Normal"/>
              <w:rPr/>
            </w:pPr>
            <w:r>
              <w:rPr/>
            </w:r>
          </w:p>
          <w:p>
            <w:pPr>
              <w:pStyle w:val="Normal"/>
              <w:rPr/>
            </w:pPr>
            <w:r>
              <w:rPr/>
            </w:r>
          </w:p>
          <w:p>
            <w:pPr>
              <w:pStyle w:val="Normal"/>
              <w:rPr/>
            </w:pPr>
            <w:r>
              <w:rPr/>
            </w:r>
          </w:p>
          <w:p>
            <w:pPr>
              <w:pStyle w:val="Normal"/>
              <w:tabs>
                <w:tab w:val="clear" w:pos="720"/>
                <w:tab w:val="right" w:pos="3168" w:leader="none"/>
                <w:tab w:val="left" w:pos="3744" w:leader="none"/>
                <w:tab w:val="right" w:pos="6912" w:leader="none"/>
                <w:tab w:val="left" w:pos="7488" w:leader="none"/>
              </w:tabs>
              <w:rPr>
                <w:b/>
              </w:rPr>
            </w:pPr>
            <w:r>
              <w:rPr>
                <w:b/>
              </w:rPr>
            </w:r>
          </w:p>
        </w:tc>
        <w:tc>
          <w:tcPr>
            <w:tcW w:w="144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Knowledge</w:t>
            </w:r>
          </w:p>
          <w:p>
            <w:pPr>
              <w:pStyle w:val="Normal"/>
              <w:rPr>
                <w:b/>
              </w:rPr>
            </w:pPr>
            <w:r>
              <w:rPr>
                <w:b/>
              </w:rPr>
            </w:r>
          </w:p>
        </w:tc>
        <w:tc>
          <w:tcPr>
            <w:tcW w:w="3599" w:type="dxa"/>
            <w:tcBorders>
              <w:top w:val="single" w:sz="6" w:space="0" w:color="000000"/>
              <w:left w:val="single" w:sz="6" w:space="0" w:color="000000"/>
              <w:bottom w:val="single" w:sz="6" w:space="0" w:color="000000"/>
              <w:right w:val="single" w:sz="6" w:space="0" w:color="000000"/>
            </w:tcBorders>
          </w:tcPr>
          <w:p>
            <w:pPr>
              <w:pStyle w:val="BodyText"/>
              <w:snapToGrid w:val="false"/>
              <w:rPr>
                <w:b/>
              </w:rPr>
            </w:pPr>
            <w:r>
              <w:rPr>
                <w:b/>
              </w:rPr>
            </w:r>
          </w:p>
          <w:p>
            <w:pPr>
              <w:pStyle w:val="Normal"/>
              <w:rPr/>
            </w:pPr>
            <w:r>
              <w:rPr/>
              <w:t>Knowledge and understanding of the range of potential barriers to learning and attending school faced by children and young people</w:t>
            </w:r>
          </w:p>
          <w:p>
            <w:pPr>
              <w:pStyle w:val="Normal"/>
              <w:rPr/>
            </w:pPr>
            <w:r>
              <w:rPr/>
            </w:r>
          </w:p>
          <w:p>
            <w:pPr>
              <w:pStyle w:val="Normal"/>
              <w:rPr/>
            </w:pPr>
            <w:r>
              <w:rPr/>
              <w:t>Knowledge of how these barriers can be overcome or mitigated to reduce their impact on children and young people</w:t>
            </w:r>
          </w:p>
          <w:p>
            <w:pPr>
              <w:pStyle w:val="Normal"/>
              <w:rPr/>
            </w:pPr>
            <w:r>
              <w:rPr/>
            </w:r>
          </w:p>
          <w:p>
            <w:pPr>
              <w:pStyle w:val="Normal"/>
              <w:tabs>
                <w:tab w:val="clear" w:pos="720"/>
                <w:tab w:val="right" w:pos="3168" w:leader="none"/>
                <w:tab w:val="left" w:pos="3744" w:leader="none"/>
                <w:tab w:val="right" w:pos="6912" w:leader="none"/>
                <w:tab w:val="left" w:pos="7488" w:leader="none"/>
              </w:tabs>
              <w:rPr/>
            </w:pPr>
            <w:r>
              <w:rPr/>
              <w:t>Knowledge of relevant legislation and government initiatives, local and national, and how that relates to the curriculum within the school</w:t>
            </w:r>
          </w:p>
          <w:p>
            <w:pPr>
              <w:pStyle w:val="Normal"/>
              <w:rPr/>
            </w:pPr>
            <w:r>
              <w:rPr/>
            </w:r>
          </w:p>
          <w:p>
            <w:pPr>
              <w:pStyle w:val="Normal"/>
              <w:tabs>
                <w:tab w:val="clear" w:pos="720"/>
                <w:tab w:val="right" w:pos="3168" w:leader="none"/>
                <w:tab w:val="left" w:pos="3744" w:leader="none"/>
                <w:tab w:val="right" w:pos="6912" w:leader="none"/>
                <w:tab w:val="left" w:pos="7488" w:leader="none"/>
              </w:tabs>
              <w:rPr/>
            </w:pPr>
            <w:r>
              <w:rPr/>
              <w:t xml:space="preserve">Knowledge and understanding of data protection and confidentiality issues </w:t>
            </w:r>
          </w:p>
          <w:p>
            <w:pPr>
              <w:pStyle w:val="Normal"/>
              <w:tabs>
                <w:tab w:val="clear" w:pos="720"/>
                <w:tab w:val="right" w:pos="3168" w:leader="none"/>
                <w:tab w:val="left" w:pos="3744" w:leader="none"/>
                <w:tab w:val="right" w:pos="6912" w:leader="none"/>
                <w:tab w:val="left" w:pos="7488" w:leader="none"/>
              </w:tabs>
              <w:rPr/>
            </w:pPr>
            <w:r>
              <w:rPr/>
            </w:r>
          </w:p>
          <w:p>
            <w:pPr>
              <w:pStyle w:val="Normal"/>
              <w:rPr/>
            </w:pPr>
            <w:r>
              <w:rPr/>
              <w:t xml:space="preserve">Knowledge of safeguarding, including CAF processes, and child protection issues with knowledge of appropriate action to take if a disclosure is made </w:t>
            </w:r>
          </w:p>
          <w:p>
            <w:pPr>
              <w:pStyle w:val="Normal"/>
              <w:rPr/>
            </w:pPr>
            <w:r>
              <w:rPr/>
            </w:r>
          </w:p>
        </w:tc>
        <w:tc>
          <w:tcPr>
            <w:tcW w:w="2880" w:type="dxa"/>
            <w:tcBorders>
              <w:top w:val="single" w:sz="6" w:space="0" w:color="000000"/>
              <w:left w:val="single" w:sz="6" w:space="0" w:color="000000"/>
              <w:bottom w:val="single" w:sz="6" w:space="0" w:color="000000"/>
              <w:right w:val="single" w:sz="6" w:space="0" w:color="000000"/>
            </w:tcBorders>
          </w:tcPr>
          <w:p>
            <w:pPr>
              <w:pStyle w:val="Normal"/>
              <w:tabs>
                <w:tab w:val="clear" w:pos="720"/>
                <w:tab w:val="right" w:pos="3168" w:leader="none"/>
                <w:tab w:val="left" w:pos="3744" w:leader="none"/>
                <w:tab w:val="right" w:pos="6912" w:leader="none"/>
                <w:tab w:val="left" w:pos="7488" w:leader="none"/>
              </w:tabs>
              <w:snapToGrid w:val="false"/>
              <w:rPr/>
            </w:pPr>
            <w:r>
              <w:rPr/>
            </w:r>
          </w:p>
          <w:p>
            <w:pPr>
              <w:pStyle w:val="Normal"/>
              <w:tabs>
                <w:tab w:val="clear" w:pos="720"/>
                <w:tab w:val="right" w:pos="3168" w:leader="none"/>
                <w:tab w:val="left" w:pos="3744" w:leader="none"/>
                <w:tab w:val="right" w:pos="6912" w:leader="none"/>
                <w:tab w:val="left" w:pos="7488" w:leader="none"/>
              </w:tabs>
              <w:rPr/>
            </w:pPr>
            <w:r>
              <w:rPr/>
            </w:r>
          </w:p>
          <w:p>
            <w:pPr>
              <w:pStyle w:val="Normal"/>
              <w:rPr>
                <w:b/>
              </w:rPr>
            </w:pPr>
            <w:r>
              <w:rPr>
                <w:b/>
              </w:rPr>
            </w:r>
          </w:p>
        </w:tc>
        <w:tc>
          <w:tcPr>
            <w:tcW w:w="144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AF / I </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tc>
      </w:tr>
      <w:tr>
        <w:trPr/>
        <w:tc>
          <w:tcPr>
            <w:tcW w:w="202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Work circumstances</w:t>
            </w:r>
          </w:p>
        </w:tc>
        <w:tc>
          <w:tcPr>
            <w:tcW w:w="3599" w:type="dxa"/>
            <w:tcBorders>
              <w:top w:val="single" w:sz="6" w:space="0" w:color="000000"/>
              <w:left w:val="single" w:sz="6" w:space="0" w:color="000000"/>
              <w:bottom w:val="single" w:sz="6" w:space="0" w:color="000000"/>
              <w:right w:val="single" w:sz="6" w:space="0" w:color="000000"/>
            </w:tcBorders>
          </w:tcPr>
          <w:p>
            <w:pPr>
              <w:pStyle w:val="BodyText"/>
              <w:snapToGrid w:val="false"/>
              <w:rPr/>
            </w:pPr>
            <w:r>
              <w:rPr/>
            </w:r>
          </w:p>
          <w:p>
            <w:pPr>
              <w:pStyle w:val="BodyText"/>
              <w:rPr>
                <w:b w:val="false"/>
              </w:rPr>
            </w:pPr>
            <w:r>
              <w:rPr>
                <w:b w:val="false"/>
              </w:rPr>
              <w:t xml:space="preserve">To work across the New Bridge Group if required </w:t>
            </w:r>
          </w:p>
          <w:p>
            <w:pPr>
              <w:pStyle w:val="BodyText"/>
              <w:rPr/>
            </w:pPr>
            <w:r>
              <w:rPr/>
            </w:r>
          </w:p>
          <w:p>
            <w:pPr>
              <w:pStyle w:val="BodyText"/>
              <w:rPr>
                <w:b w:val="false"/>
              </w:rPr>
            </w:pPr>
            <w:r>
              <w:rPr>
                <w:b w:val="false"/>
              </w:rPr>
              <w:t>To work occasionally out of hours, work to support school functions</w:t>
            </w:r>
          </w:p>
          <w:p>
            <w:pPr>
              <w:pStyle w:val="Normal"/>
              <w:rPr>
                <w:b/>
              </w:rPr>
            </w:pPr>
            <w:r>
              <w:rPr>
                <w:b/>
              </w:rPr>
            </w:r>
          </w:p>
        </w:tc>
        <w:tc>
          <w:tcPr>
            <w:tcW w:w="2880" w:type="dxa"/>
            <w:tcBorders>
              <w:top w:val="single" w:sz="6" w:space="0" w:color="000000"/>
              <w:left w:val="single" w:sz="6" w:space="0" w:color="000000"/>
              <w:bottom w:val="single" w:sz="6" w:space="0" w:color="000000"/>
              <w:right w:val="single" w:sz="6" w:space="0" w:color="000000"/>
            </w:tcBorders>
          </w:tcPr>
          <w:p>
            <w:pPr>
              <w:pStyle w:val="ListParagraph"/>
              <w:snapToGrid w:val="false"/>
              <w:spacing w:lineRule="auto" w:line="276" w:before="0" w:after="200"/>
              <w:contextualSpacing/>
              <w:rPr>
                <w:b/>
              </w:rPr>
            </w:pPr>
            <w:r>
              <w:rPr>
                <w:b/>
              </w:rPr>
            </w:r>
          </w:p>
          <w:p>
            <w:pPr>
              <w:pStyle w:val="ListParagraph"/>
              <w:spacing w:lineRule="auto" w:line="276" w:before="0" w:after="200"/>
              <w:contextualSpacing/>
              <w:rPr>
                <w:b w:val="false"/>
              </w:rPr>
            </w:pPr>
            <w:r>
              <w:rPr>
                <w:b w:val="false"/>
              </w:rPr>
            </w:r>
          </w:p>
        </w:tc>
        <w:tc>
          <w:tcPr>
            <w:tcW w:w="144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val="false"/>
              </w:rPr>
            </w:pPr>
            <w:r>
              <w:rPr>
                <w:b w:val="false"/>
              </w:rPr>
            </w:r>
          </w:p>
          <w:p>
            <w:pPr>
              <w:pStyle w:val="Normal"/>
              <w:jc w:val="center"/>
              <w:rPr/>
            </w:pPr>
            <w:r>
              <w:rPr/>
              <w:t>I</w:t>
            </w:r>
          </w:p>
          <w:p>
            <w:pPr>
              <w:pStyle w:val="Normal"/>
              <w:jc w:val="center"/>
              <w:rPr/>
            </w:pPr>
            <w:r>
              <w:rPr/>
            </w:r>
          </w:p>
          <w:p>
            <w:pPr>
              <w:pStyle w:val="Normal"/>
              <w:jc w:val="center"/>
              <w:rPr/>
            </w:pPr>
            <w:r>
              <w:rPr/>
            </w:r>
          </w:p>
          <w:p>
            <w:pPr>
              <w:pStyle w:val="Normal"/>
              <w:jc w:val="center"/>
              <w:rPr/>
            </w:pPr>
            <w:r>
              <w:rPr/>
              <w:t>I</w:t>
            </w:r>
          </w:p>
        </w:tc>
      </w:tr>
    </w:tbl>
    <w:p>
      <w:pPr>
        <w:pStyle w:val="Normal"/>
        <w:rPr>
          <w:sz w:val="16"/>
          <w:szCs w:val="16"/>
        </w:rPr>
      </w:pPr>
      <w:r>
        <w:rPr>
          <w:sz w:val="16"/>
          <w:szCs w:val="16"/>
        </w:rPr>
      </w:r>
    </w:p>
    <w:p>
      <w:pPr>
        <w:pStyle w:val="Normal"/>
        <w:spacing w:before="0" w:after="60"/>
        <w:jc w:val="both"/>
        <w:rPr/>
      </w:pPr>
      <w:r>
        <w:rPr>
          <w:i/>
        </w:rPr>
        <w:t>Abbreviations:</w:t>
      </w:r>
      <w:r>
        <w:rPr/>
        <w:t xml:space="preserve"> AF = Application Form; I = Interview.</w:t>
      </w:r>
    </w:p>
    <w:p>
      <w:pPr>
        <w:pStyle w:val="Normal"/>
        <w:rPr>
          <w:sz w:val="16"/>
          <w:szCs w:val="16"/>
        </w:rPr>
      </w:pPr>
      <w:r>
        <w:rPr>
          <w:sz w:val="16"/>
          <w:szCs w:val="16"/>
        </w:rPr>
      </w:r>
    </w:p>
    <w:p>
      <w:pPr>
        <w:pStyle w:val="Normal"/>
        <w:rPr/>
      </w:pPr>
      <w:r>
        <w:rPr>
          <w:b/>
          <w:bCs/>
        </w:rPr>
        <w:t xml:space="preserve">N.B. – Any candidate with a disability who meets the </w:t>
      </w:r>
      <w:r>
        <w:rPr>
          <w:b/>
        </w:rPr>
        <w:t>essential criteria will be guaranteed an interview</w:t>
      </w:r>
    </w:p>
    <w:p>
      <w:pPr>
        <w:pStyle w:val="Normal"/>
        <w:rPr/>
      </w:pPr>
      <w:r>
        <w:rPr/>
      </w:r>
    </w:p>
    <w:sectPr>
      <w:headerReference w:type="default" r:id="rId3"/>
      <w:headerReference w:type="first" r:id="rId4"/>
      <w:footerReference w:type="default" r:id="rId5"/>
      <w:footerReference w:type="first" r:id="rId6"/>
      <w:type w:val="nextPage"/>
      <w:pgSz w:w="11906" w:h="16838"/>
      <w:pgMar w:left="1440" w:right="1440" w:gutter="0" w:header="709" w:top="1440"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0" distT="0" distB="0" distL="114300" distR="114300" simplePos="0" locked="0" layoutInCell="0" allowOverlap="1" relativeHeight="9">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drawing>
        <wp:anchor behindDoc="0" distT="0" distB="0" distL="114300" distR="114300" simplePos="0" locked="0" layoutInCell="0" allowOverlap="1" relativeHeight="10">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8">
          <wp:simplePos x="0" y="0"/>
          <wp:positionH relativeFrom="column">
            <wp:posOffset>-26670</wp:posOffset>
          </wp:positionH>
          <wp:positionV relativeFrom="paragraph">
            <wp:posOffset>2257425</wp:posOffset>
          </wp:positionV>
          <wp:extent cx="5727700" cy="5256530"/>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sz w:val="22"/>
        <w:b w:val="false"/>
        <w:bCs/>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1z0">
    <w:name w:val="WW8Num1z0"/>
    <w:qFormat/>
    <w:rPr>
      <w:rFonts w:ascii="Arial" w:hAnsi="Arial" w:cs="Arial"/>
      <w:b w:val="false"/>
      <w:bCs/>
      <w:sz w:val="22"/>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character" w:styleId="Heading2Char">
    <w:name w:val="Heading 2 Char"/>
    <w:basedOn w:val="DefaultParagraphFont"/>
    <w:qFormat/>
    <w:rPr>
      <w:rFonts w:ascii="Arial" w:hAnsi="Arial" w:eastAsia="Calibri" w:cs="Arial"/>
      <w:b/>
      <w:bCs/>
      <w:i/>
      <w:iCs/>
      <w:sz w:val="28"/>
      <w:szCs w:val="28"/>
      <w:lang w:eastAsia="en-US"/>
    </w:rPr>
  </w:style>
  <w:style w:type="character" w:styleId="HeaderChar">
    <w:name w:val="Header Char"/>
    <w:basedOn w:val="DefaultParagraphFont"/>
    <w:qFormat/>
    <w:rPr>
      <w:rFonts w:ascii="Arial" w:hAnsi="Arial" w:eastAsia="Calibri" w:cs="Arial"/>
      <w:sz w:val="22"/>
      <w:szCs w:val="22"/>
      <w:lang w:eastAsia="en-US"/>
    </w:rPr>
  </w:style>
  <w:style w:type="character" w:styleId="BodyTextChar">
    <w:name w:val="Body Text Char"/>
    <w:basedOn w:val="DefaultParagraphFont"/>
    <w:qFormat/>
    <w:rPr>
      <w:rFonts w:ascii="Arial" w:hAnsi="Arial" w:eastAsia="Calibri" w:cs="Arial"/>
      <w:b/>
      <w:bCs/>
      <w:sz w:val="22"/>
      <w:szCs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81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