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cs="Arial"/>
          <w:sz w:val="22"/>
          <w:szCs w:val="22"/>
        </w:rPr>
      </w:pPr>
      <w:r>
        <w:rPr>
          <w:rFonts w:cs="Arial"/>
          <w:sz w:val="22"/>
          <w:szCs w:val="22"/>
        </w:rPr>
        <mc:AlternateContent>
          <mc:Choice Requires="wps">
            <w:drawing>
              <wp:anchor behindDoc="0" distT="0" distB="0" distL="114935" distR="114935" simplePos="0" locked="0" layoutInCell="1" allowOverlap="1" relativeHeight="2">
                <wp:simplePos x="0" y="0"/>
                <wp:positionH relativeFrom="column">
                  <wp:posOffset>5029200</wp:posOffset>
                </wp:positionH>
                <wp:positionV relativeFrom="paragraph">
                  <wp:posOffset>-114300</wp:posOffset>
                </wp:positionV>
                <wp:extent cx="1147445" cy="1188085"/>
                <wp:effectExtent l="0" t="0" r="0" b="0"/>
                <wp:wrapNone/>
                <wp:docPr id="1" name="Text Box 2"/>
                <a:graphic xmlns:a="http://schemas.openxmlformats.org/drawingml/2006/main">
                  <a:graphicData uri="http://schemas.microsoft.com/office/word/2010/wordprocessingShape">
                    <wps:wsp>
                      <wps:cNvSpPr/>
                      <wps:spPr>
                        <a:xfrm>
                          <a:off x="0" y="0"/>
                          <a:ext cx="11469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396pt;margin-top:-9pt;width:90.25pt;height:93.45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4">
                <wp:simplePos x="0" y="0"/>
                <wp:positionH relativeFrom="column">
                  <wp:posOffset>5029200</wp:posOffset>
                </wp:positionH>
                <wp:positionV relativeFrom="paragraph">
                  <wp:posOffset>-114300</wp:posOffset>
                </wp:positionV>
                <wp:extent cx="1146810" cy="1187450"/>
                <wp:effectExtent l="0" t="0" r="0" b="0"/>
                <wp:wrapNone/>
                <wp:docPr id="2" name="Frame1"/>
                <a:graphic xmlns:a="http://schemas.openxmlformats.org/drawingml/2006/main">
                  <a:graphicData uri="http://schemas.microsoft.com/office/word/2010/wordprocessingShape">
                    <wps:wsp>
                      <wps:cNvSpPr txBox="1"/>
                      <wps:spPr>
                        <a:xfrm>
                          <a:off x="0" y="0"/>
                          <a:ext cx="1146810" cy="1187450"/>
                        </a:xfrm>
                        <a:prstGeom prst="rect"/>
                        <a:solidFill>
                          <a:srgbClr val="FFFFFF"/>
                        </a:solidFill>
                      </wps:spPr>
                      <wps:txbx>
                        <w:txbxContent>
                          <w:p>
                            <w:pPr>
                              <w:pStyle w:val="FrameContents"/>
                              <w:rPr/>
                            </w:pPr>
                            <w:r>
                              <w:rPr/>
                              <w:drawing>
                                <wp:inline distT="0" distB="0" distL="0" distR="0">
                                  <wp:extent cx="965200" cy="109791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40" t="-35" r="-40" b="-35"/>
                                          <a:stretch>
                                            <a:fillRect/>
                                          </a:stretch>
                                        </pic:blipFill>
                                        <pic:spPr bwMode="auto">
                                          <a:xfrm>
                                            <a:off x="0" y="0"/>
                                            <a:ext cx="965200" cy="10979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3pt;height:93.5pt;mso-wrap-distance-left:0pt;mso-wrap-distance-right:0pt;mso-wrap-distance-top:5.7pt;mso-wrap-distance-bottom:5.7pt;margin-top:-9pt;mso-position-vertical-relative:text;margin-left:396pt;mso-position-horizontal-relative:text">
                <v:textbox inset="0.100694444444444in,0.0506944444444444in,0.100694444444444in,0.0506944444444444in">
                  <w:txbxContent>
                    <w:p>
                      <w:pPr>
                        <w:pStyle w:val="FrameContents"/>
                        <w:rPr/>
                      </w:pPr>
                      <w:r>
                        <w:rPr/>
                        <w:drawing>
                          <wp:inline distT="0" distB="0" distL="0" distR="0">
                            <wp:extent cx="965200" cy="1097915"/>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40" t="-35" r="-40" b="-35"/>
                                    <a:stretch>
                                      <a:fillRect/>
                                    </a:stretch>
                                  </pic:blipFill>
                                  <pic:spPr bwMode="auto">
                                    <a:xfrm>
                                      <a:off x="0" y="0"/>
                                      <a:ext cx="965200" cy="1097915"/>
                                    </a:xfrm>
                                    <a:prstGeom prst="rect">
                                      <a:avLst/>
                                    </a:prstGeom>
                                  </pic:spPr>
                                </pic:pic>
                              </a:graphicData>
                            </a:graphic>
                          </wp:inline>
                        </w:drawing>
                      </w:r>
                    </w:p>
                  </w:txbxContent>
                </v:textbox>
              </v:rect>
            </w:pict>
          </mc:Fallback>
        </mc:AlternateContent>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trHeight w:val="343" w:hRule="atLeast"/>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bCs/>
                <w:sz w:val="22"/>
                <w:szCs w:val="22"/>
              </w:rPr>
            </w:pPr>
            <w:r>
              <w:rPr>
                <w:rFonts w:cs="Arial" w:ascii="Arial" w:hAnsi="Arial"/>
                <w:bCs/>
                <w:sz w:val="22"/>
                <w:szCs w:val="22"/>
              </w:rPr>
              <w:t>Deputy Residential Homes Manager</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Children and Young People</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Children’s Services</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7</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8031</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4" w:right="0" w:hanging="0"/>
              <w:jc w:val="both"/>
              <w:rPr>
                <w:rFonts w:cs="Arial"/>
                <w:sz w:val="22"/>
                <w:szCs w:val="22"/>
              </w:rPr>
            </w:pPr>
            <w:r>
              <w:rPr>
                <w:rFonts w:cs="Arial"/>
                <w:sz w:val="22"/>
                <w:szCs w:val="22"/>
              </w:rPr>
            </w:r>
          </w:p>
          <w:p>
            <w:pPr>
              <w:pStyle w:val="Normal"/>
              <w:rPr>
                <w:rFonts w:cs="Arial"/>
                <w:bCs/>
                <w:color w:val="000000"/>
                <w:sz w:val="22"/>
                <w:szCs w:val="22"/>
              </w:rPr>
            </w:pPr>
            <w:r>
              <w:rPr>
                <w:rFonts w:cs="Arial"/>
                <w:bCs/>
                <w:color w:val="000000"/>
                <w:sz w:val="22"/>
                <w:szCs w:val="22"/>
              </w:rPr>
              <w:t>To assist the Residential Homes Manager in managing the homes, their staff and residents.</w:t>
            </w:r>
          </w:p>
          <w:p>
            <w:pPr>
              <w:pStyle w:val="Normal"/>
              <w:rPr>
                <w:rFonts w:cs="Arial"/>
                <w:bCs/>
                <w:color w:val="000000"/>
                <w:sz w:val="22"/>
                <w:szCs w:val="22"/>
              </w:rPr>
            </w:pPr>
            <w:r>
              <w:rPr>
                <w:rFonts w:cs="Arial"/>
                <w:bCs/>
                <w:color w:val="000000"/>
                <w:sz w:val="22"/>
                <w:szCs w:val="22"/>
              </w:rPr>
            </w:r>
          </w:p>
          <w:p>
            <w:pPr>
              <w:pStyle w:val="Normal"/>
              <w:rPr>
                <w:rFonts w:cs="Arial"/>
                <w:bCs/>
                <w:color w:val="000000"/>
                <w:sz w:val="22"/>
                <w:szCs w:val="22"/>
              </w:rPr>
            </w:pPr>
            <w:r>
              <w:rPr>
                <w:rFonts w:cs="Arial"/>
                <w:bCs/>
                <w:color w:val="000000"/>
                <w:sz w:val="22"/>
                <w:szCs w:val="22"/>
              </w:rPr>
              <w:t>This post also includes a requirement to work regular weekends and evenings.</w:t>
            </w:r>
          </w:p>
          <w:p>
            <w:pPr>
              <w:pStyle w:val="Normal"/>
              <w:ind w:left="44" w:right="0" w:hanging="0"/>
              <w:jc w:val="both"/>
              <w:rPr>
                <w:rFonts w:cs="Arial"/>
                <w:sz w:val="22"/>
                <w:szCs w:val="22"/>
              </w:rPr>
            </w:pPr>
            <w:r>
              <w:rPr>
                <w:rFonts w:cs="Arial"/>
                <w:sz w:val="22"/>
                <w:szCs w:val="22"/>
              </w:rPr>
            </w:r>
          </w:p>
          <w:p>
            <w:pPr>
              <w:pStyle w:val="Normal"/>
              <w:ind w:left="44" w:right="0" w:hanging="0"/>
              <w:jc w:val="both"/>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rHeight w:val="878" w:hRule="atLeast"/>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The following duties, which are the primary responsibility of the Manager, will be shared with the Deputy as the Manager considers appropriate.</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work as part of a Management Team managing more than one Residential Home.</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assist the Manager in providing a planned and safe caring environment which gives care, control and nurture, appropriate to maintaining and promoting the emotional and physical well-being of children and young people in accordance with CLA involving family members wherever possible.</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assist the Manager to develop, implement, review and record those CLA materials which have been completed with the Field Social Workers for each individual child or young person.</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contribute to the development of Child Care Services and professional standards throughout the Department.</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create and maintain contacts and liaisons outside the establishments to further their purpose, e.g.: schools and health, family members, education staff and other services within the department, elected members.</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supervise and develop staff as individuals and as a team, to ensure that the purpose and management objectives of the homes are met, in line with Department policy.</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appoint domestic staff, in conjunction with the Manager.</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allocate work and ensure it achieves departmental standards.</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foster the professional development of all staff; to assess training needs; to provide in-unit courses; to use external training resources.</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supervise, or organise the supervision of staff undertaking professional training, or students on placement.</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act as an NVQ Assessor.</w:t>
            </w:r>
          </w:p>
          <w:p>
            <w:pPr>
              <w:pStyle w:val="Normal"/>
              <w:rPr>
                <w:rFonts w:cs="Arial"/>
                <w:sz w:val="22"/>
                <w:szCs w:val="22"/>
              </w:rPr>
            </w:pPr>
            <w:r>
              <w:rPr>
                <w:rFonts w:cs="Arial"/>
                <w:sz w:val="22"/>
                <w:szCs w:val="22"/>
              </w:rPr>
            </w:r>
          </w:p>
          <w:p>
            <w:pPr>
              <w:pStyle w:val="Normal"/>
              <w:numPr>
                <w:ilvl w:val="0"/>
                <w:numId w:val="4"/>
              </w:numPr>
              <w:rPr>
                <w:rFonts w:cs="Arial"/>
                <w:sz w:val="22"/>
                <w:szCs w:val="22"/>
              </w:rPr>
            </w:pPr>
            <w:r>
              <w:rPr>
                <w:rFonts w:cs="Arial"/>
                <w:sz w:val="22"/>
                <w:szCs w:val="22"/>
              </w:rPr>
              <w:t>To assist the manager to monitor budgets and to ensure spending is within set limits.</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the equalities and diversity agenda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To actively engage with the behaviours and values of the Council to promote and support our Co-operative Agenda.</w:t>
            </w:r>
          </w:p>
          <w:p>
            <w:pPr>
              <w:pStyle w:val="Normal"/>
              <w:jc w:val="both"/>
              <w:rPr>
                <w:rFonts w:cs="Arial"/>
                <w:sz w:val="22"/>
                <w:szCs w:val="22"/>
              </w:rPr>
            </w:pPr>
            <w:r>
              <w:rPr>
                <w:rFonts w:cs="Arial"/>
                <w:sz w:val="22"/>
                <w:szCs w:val="22"/>
              </w:rPr>
            </w:r>
          </w:p>
        </w:tc>
      </w:tr>
      <w:tr>
        <w:trPr>
          <w:trHeight w:val="255" w:hRule="atLeast"/>
        </w:trPr>
        <w:tc>
          <w:tcPr>
            <w:tcW w:w="522" w:type="dxa"/>
            <w:tcBorders>
              <w:left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rHeight w:val="2409"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jc w:val="both"/>
              <w:rPr>
                <w:rFonts w:cs="Arial"/>
                <w:b/>
                <w:b/>
                <w:sz w:val="22"/>
                <w:szCs w:val="22"/>
              </w:rPr>
            </w:pPr>
            <w:r>
              <w:rPr>
                <w:rFonts w:cs="Arial"/>
                <w:b/>
                <w:sz w:val="22"/>
                <w:szCs w:val="22"/>
              </w:rPr>
              <w:t>Contacts:</w:t>
            </w:r>
          </w:p>
          <w:p>
            <w:pPr>
              <w:pStyle w:val="Normal"/>
              <w:keepNext w:val="true"/>
              <w:jc w:val="both"/>
              <w:rPr>
                <w:rFonts w:cs="Arial"/>
                <w:b/>
                <w:b/>
                <w:sz w:val="22"/>
                <w:szCs w:val="22"/>
              </w:rPr>
            </w:pPr>
            <w:r>
              <w:rPr>
                <w:rFonts w:cs="Arial"/>
                <w:b/>
                <w:sz w:val="22"/>
                <w:szCs w:val="22"/>
              </w:rPr>
            </w:r>
          </w:p>
          <w:p>
            <w:pPr>
              <w:pStyle w:val="Normal"/>
              <w:rPr>
                <w:rFonts w:cs="Arial"/>
                <w:bCs/>
                <w:color w:val="000000"/>
                <w:sz w:val="22"/>
                <w:szCs w:val="22"/>
              </w:rPr>
            </w:pPr>
            <w:r>
              <w:rPr>
                <w:rFonts w:cs="Arial"/>
                <w:bCs/>
                <w:color w:val="000000"/>
                <w:sz w:val="22"/>
                <w:szCs w:val="22"/>
              </w:rPr>
              <w:t>Staff of the Social Services, children and their relatives and friends.</w:t>
            </w:r>
          </w:p>
          <w:p>
            <w:pPr>
              <w:pStyle w:val="Normal"/>
              <w:rPr>
                <w:rFonts w:cs="Arial"/>
                <w:bCs/>
                <w:color w:val="000000"/>
                <w:sz w:val="22"/>
                <w:szCs w:val="22"/>
              </w:rPr>
            </w:pPr>
            <w:r>
              <w:rPr>
                <w:rFonts w:cs="Arial"/>
                <w:bCs/>
                <w:color w:val="000000"/>
                <w:sz w:val="22"/>
                <w:szCs w:val="22"/>
              </w:rPr>
              <w:t>Other Agencies: -</w:t>
            </w:r>
          </w:p>
          <w:p>
            <w:pPr>
              <w:pStyle w:val="Normal"/>
              <w:rPr>
                <w:rFonts w:cs="Arial"/>
                <w:bCs/>
                <w:color w:val="000000"/>
                <w:sz w:val="22"/>
                <w:szCs w:val="22"/>
              </w:rPr>
            </w:pPr>
            <w:r>
              <w:rPr>
                <w:rFonts w:cs="Arial"/>
                <w:bCs/>
                <w:color w:val="000000"/>
                <w:sz w:val="22"/>
                <w:szCs w:val="22"/>
              </w:rPr>
              <w:t>Voluntary Organisations</w:t>
            </w:r>
          </w:p>
          <w:p>
            <w:pPr>
              <w:pStyle w:val="Normal"/>
              <w:rPr>
                <w:rFonts w:cs="Arial"/>
                <w:bCs/>
                <w:color w:val="000000"/>
                <w:sz w:val="22"/>
                <w:szCs w:val="22"/>
              </w:rPr>
            </w:pPr>
            <w:r>
              <w:rPr>
                <w:rFonts w:cs="Arial"/>
                <w:bCs/>
                <w:color w:val="000000"/>
                <w:sz w:val="22"/>
                <w:szCs w:val="22"/>
              </w:rPr>
              <w:t>Health Service Personnel</w:t>
            </w:r>
          </w:p>
          <w:p>
            <w:pPr>
              <w:pStyle w:val="Normal"/>
              <w:rPr>
                <w:rFonts w:cs="Arial"/>
                <w:bCs/>
                <w:color w:val="000000"/>
                <w:sz w:val="22"/>
                <w:szCs w:val="22"/>
              </w:rPr>
            </w:pPr>
            <w:r>
              <w:rPr>
                <w:rFonts w:cs="Arial"/>
                <w:bCs/>
                <w:color w:val="000000"/>
                <w:sz w:val="22"/>
                <w:szCs w:val="22"/>
              </w:rPr>
              <w:t>Education Department Personnel</w:t>
            </w:r>
          </w:p>
          <w:p>
            <w:pPr>
              <w:pStyle w:val="Normal"/>
              <w:rPr>
                <w:rFonts w:cs="Arial"/>
                <w:bCs/>
                <w:color w:val="000000"/>
                <w:sz w:val="22"/>
                <w:szCs w:val="22"/>
              </w:rPr>
            </w:pPr>
            <w:r>
              <w:rPr>
                <w:rFonts w:cs="Arial"/>
                <w:bCs/>
                <w:color w:val="000000"/>
                <w:sz w:val="22"/>
                <w:szCs w:val="22"/>
              </w:rPr>
              <w:t>Probation Service Personnel</w:t>
            </w:r>
          </w:p>
          <w:p>
            <w:pPr>
              <w:pStyle w:val="Normal"/>
              <w:rPr>
                <w:rFonts w:cs="Arial"/>
                <w:bCs/>
                <w:color w:val="000000"/>
                <w:sz w:val="22"/>
                <w:szCs w:val="22"/>
              </w:rPr>
            </w:pPr>
            <w:r>
              <w:rPr>
                <w:rFonts w:cs="Arial"/>
                <w:bCs/>
                <w:color w:val="000000"/>
                <w:sz w:val="22"/>
                <w:szCs w:val="22"/>
              </w:rPr>
              <w:t>Elected Members</w:t>
            </w:r>
          </w:p>
          <w:p>
            <w:pPr>
              <w:pStyle w:val="Normal"/>
              <w:keepNext w:val="true"/>
              <w:jc w:val="both"/>
              <w:rPr>
                <w:rFonts w:cs="Arial"/>
                <w:b/>
                <w:b/>
                <w:sz w:val="22"/>
                <w:szCs w:val="22"/>
              </w:rPr>
            </w:pPr>
            <w:r>
              <w:rPr>
                <w:rFonts w:cs="Arial"/>
                <w:b/>
                <w:sz w:val="22"/>
                <w:szCs w:val="22"/>
              </w:rPr>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szCs w:val="22"/>
              </w:rPr>
            </w:pPr>
            <w:r>
              <w:rPr>
                <w:rFonts w:cs="Arial"/>
                <w:b w:val="false"/>
                <w:szCs w:val="22"/>
              </w:rPr>
              <w:t>Residential Homes Manager</w:t>
            </w:r>
          </w:p>
        </w:tc>
      </w:tr>
      <w:tr>
        <w:trPr>
          <w:trHeight w:val="517" w:hRule="atLeast"/>
        </w:trPr>
        <w:tc>
          <w:tcPr>
            <w:tcW w:w="2106" w:type="dxa"/>
            <w:tcBorders>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bottom w:val="single" w:sz="4" w:space="0" w:color="000000"/>
              <w:right w:val="single" w:sz="4" w:space="0" w:color="000000"/>
            </w:tcBorders>
            <w:shd w:fill="auto" w:val="clear"/>
          </w:tcPr>
          <w:p>
            <w:pPr>
              <w:pStyle w:val="Normal"/>
              <w:rPr>
                <w:rFonts w:cs="Arial"/>
                <w:sz w:val="22"/>
                <w:szCs w:val="22"/>
              </w:rPr>
            </w:pPr>
            <w:r>
              <w:rPr>
                <w:rFonts w:cs="Arial"/>
                <w:sz w:val="22"/>
                <w:szCs w:val="22"/>
              </w:rPr>
              <w:t>Staff at Homes</w:t>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b/>
                <w:sz w:val="22"/>
                <w:szCs w:val="22"/>
              </w:rPr>
              <w:t xml:space="preserve">Special Conditions: </w:t>
            </w:r>
            <w:r>
              <w:rPr>
                <w:rFonts w:cs="Arial"/>
                <w:bCs/>
                <w:sz w:val="22"/>
                <w:szCs w:val="22"/>
              </w:rPr>
              <w:t>Enhanced DBS</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80"/>
              <w:jc w:val="both"/>
              <w:rPr>
                <w:rFonts w:cs="Arial"/>
                <w:sz w:val="22"/>
                <w:szCs w:val="22"/>
                <w:lang w:val="en" w:eastAsia="en-GB"/>
              </w:rPr>
            </w:pPr>
            <w:r>
              <w:rPr>
                <w:rFonts w:cs="Arial"/>
                <w:sz w:val="22"/>
                <w:szCs w:val="22"/>
                <w:lang w:val="en" w:eastAsia="en-GB"/>
              </w:rPr>
              <w:t>We have a clear set of values that outline how we do business. We share these Borough-wide with our residents, partners and businesses:</w:t>
            </w:r>
          </w:p>
          <w:p>
            <w:pPr>
              <w:pStyle w:val="Normal"/>
              <w:numPr>
                <w:ilvl w:val="0"/>
                <w:numId w:val="3"/>
              </w:numPr>
              <w:spacing w:before="280" w:after="0"/>
              <w:jc w:val="both"/>
              <w:rPr/>
            </w:pPr>
            <w:r>
              <w:rPr>
                <w:rFonts w:cs="Arial"/>
                <w:b/>
                <w:bCs/>
                <w:sz w:val="22"/>
                <w:szCs w:val="22"/>
                <w:lang w:val="en" w:eastAsia="en-GB"/>
              </w:rPr>
              <w:t>Fairness - </w:t>
            </w:r>
            <w:r>
              <w:rPr>
                <w:rFonts w:cs="Arial"/>
                <w:sz w:val="22"/>
                <w:szCs w:val="22"/>
                <w:lang w:val="en" w:eastAsia="en-GB"/>
              </w:rPr>
              <w:t>We will champion fairness and equality of opportunity and ensure working together brings mutual benefits and the greatest possible added value. We will enable everyone to be involved.</w:t>
            </w:r>
          </w:p>
          <w:p>
            <w:pPr>
              <w:pStyle w:val="Normal"/>
              <w:numPr>
                <w:ilvl w:val="0"/>
                <w:numId w:val="3"/>
              </w:numPr>
              <w:spacing w:before="0" w:after="0"/>
              <w:jc w:val="both"/>
              <w:rPr/>
            </w:pPr>
            <w:r>
              <w:rPr>
                <w:rFonts w:cs="Arial"/>
                <w:b/>
                <w:bCs/>
                <w:sz w:val="22"/>
                <w:szCs w:val="22"/>
                <w:lang w:val="en" w:eastAsia="en-GB"/>
              </w:rPr>
              <w:t>Openness - </w:t>
            </w:r>
            <w:r>
              <w:rPr>
                <w:rFonts w:cs="Arial"/>
                <w:sz w:val="22"/>
                <w:szCs w:val="22"/>
                <w:lang w:val="en" w:eastAsia="en-GB"/>
              </w:rPr>
              <w:t>We will be open and honest in our actions and communications. We will take decisions in a transparent way and at the most local level possible.</w:t>
            </w:r>
          </w:p>
          <w:p>
            <w:pPr>
              <w:pStyle w:val="Normal"/>
              <w:numPr>
                <w:ilvl w:val="0"/>
                <w:numId w:val="3"/>
              </w:numPr>
              <w:spacing w:before="0" w:after="0"/>
              <w:jc w:val="both"/>
              <w:rPr/>
            </w:pPr>
            <w:r>
              <w:rPr>
                <w:rFonts w:cs="Arial"/>
                <w:b/>
                <w:bCs/>
                <w:sz w:val="22"/>
                <w:szCs w:val="22"/>
                <w:lang w:val="en" w:eastAsia="en-GB"/>
              </w:rPr>
              <w:t>Responsibility - </w:t>
            </w:r>
            <w:r>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pPr>
              <w:pStyle w:val="Normal"/>
              <w:numPr>
                <w:ilvl w:val="0"/>
                <w:numId w:val="3"/>
              </w:numPr>
              <w:spacing w:before="0" w:after="0"/>
              <w:jc w:val="both"/>
              <w:rPr/>
            </w:pPr>
            <w:r>
              <w:rPr>
                <w:rFonts w:cs="Arial"/>
                <w:b/>
                <w:bCs/>
                <w:sz w:val="22"/>
                <w:szCs w:val="22"/>
                <w:lang w:val="en" w:eastAsia="en-GB"/>
              </w:rPr>
              <w:t>Working together - </w:t>
            </w:r>
            <w:r>
              <w:rPr>
                <w:rFonts w:cs="Arial"/>
                <w:sz w:val="22"/>
                <w:szCs w:val="22"/>
                <w:lang w:val="en" w:eastAsia="en-GB"/>
              </w:rPr>
              <w:t>We will work together and support each other in achieving common goals, making sure the environment is in place for self-help.</w:t>
            </w:r>
          </w:p>
          <w:p>
            <w:pPr>
              <w:pStyle w:val="Normal"/>
              <w:numPr>
                <w:ilvl w:val="0"/>
                <w:numId w:val="3"/>
              </w:numPr>
              <w:spacing w:before="0" w:after="0"/>
              <w:jc w:val="both"/>
              <w:rPr/>
            </w:pPr>
            <w:r>
              <w:rPr>
                <w:rFonts w:cs="Arial"/>
                <w:b/>
                <w:bCs/>
                <w:sz w:val="22"/>
                <w:szCs w:val="22"/>
                <w:lang w:val="en" w:eastAsia="en-GB"/>
              </w:rPr>
              <w:t>Accountability - </w:t>
            </w:r>
            <w:r>
              <w:rPr>
                <w:rFonts w:cs="Arial"/>
                <w:sz w:val="22"/>
                <w:szCs w:val="22"/>
                <w:lang w:val="en" w:eastAsia="en-GB"/>
              </w:rPr>
              <w:t>We recognise and act upon the impact of our actions on others and hold ourselves accountable to our stakeholders.</w:t>
            </w:r>
          </w:p>
          <w:p>
            <w:pPr>
              <w:pStyle w:val="Normal"/>
              <w:numPr>
                <w:ilvl w:val="0"/>
                <w:numId w:val="3"/>
              </w:numPr>
              <w:spacing w:before="0" w:after="0"/>
              <w:jc w:val="both"/>
              <w:rPr/>
            </w:pPr>
            <w:r>
              <w:rPr>
                <w:rFonts w:cs="Arial"/>
                <w:b/>
                <w:bCs/>
                <w:sz w:val="22"/>
                <w:szCs w:val="22"/>
                <w:lang w:val="en" w:eastAsia="en-GB"/>
              </w:rPr>
              <w:t>Respect - </w:t>
            </w:r>
            <w:r>
              <w:rPr>
                <w:rFonts w:cs="Arial"/>
                <w:sz w:val="22"/>
                <w:szCs w:val="22"/>
                <w:lang w:val="en" w:eastAsia="en-GB"/>
              </w:rPr>
              <w:t>We recognise and welcome different views and treat each other with dignity and respect.</w:t>
            </w:r>
          </w:p>
          <w:p>
            <w:pPr>
              <w:pStyle w:val="Normal"/>
              <w:numPr>
                <w:ilvl w:val="0"/>
                <w:numId w:val="3"/>
              </w:numPr>
              <w:spacing w:before="0" w:after="280"/>
              <w:jc w:val="both"/>
              <w:rPr/>
            </w:pPr>
            <w:r>
              <w:rPr>
                <w:rFonts w:cs="Arial"/>
                <w:b/>
                <w:bCs/>
                <w:sz w:val="22"/>
                <w:szCs w:val="22"/>
                <w:lang w:val="en" w:eastAsia="en-GB"/>
              </w:rPr>
              <w:t>Democracy - </w:t>
            </w:r>
            <w:r>
              <w:rPr>
                <w:rFonts w:cs="Arial"/>
                <w:sz w:val="22"/>
                <w:szCs w:val="22"/>
                <w:lang w:val="en" w:eastAsia="en-GB"/>
              </w:rPr>
              <w:t>We believe and act within the principles of democracy and promote these across the borough. </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Internally we’ve translated these values into five Co-operative behaviours which outline the priority areas of focus for staff at all levels.</w:t>
            </w:r>
          </w:p>
          <w:p>
            <w:pPr>
              <w:pStyle w:val="Normal"/>
              <w:rPr>
                <w:rFonts w:cs="Arial"/>
                <w:sz w:val="22"/>
                <w:szCs w:val="22"/>
              </w:rPr>
            </w:pPr>
            <w:r>
              <w:rPr>
                <w:rFonts w:cs="Arial"/>
                <w:sz w:val="22"/>
                <w:szCs w:val="22"/>
              </w:rPr>
            </w:r>
          </w:p>
          <w:p>
            <w:pPr>
              <w:pStyle w:val="Normal"/>
              <w:numPr>
                <w:ilvl w:val="0"/>
                <w:numId w:val="2"/>
              </w:numPr>
              <w:rPr>
                <w:rFonts w:cs="Arial"/>
                <w:sz w:val="22"/>
                <w:szCs w:val="22"/>
              </w:rPr>
            </w:pPr>
            <w:r>
              <w:rPr>
                <w:rFonts w:cs="Arial"/>
                <w:sz w:val="22"/>
                <w:szCs w:val="22"/>
              </w:rPr>
              <w:t>Work with a Resident Focus</w:t>
            </w:r>
          </w:p>
          <w:p>
            <w:pPr>
              <w:pStyle w:val="Normal"/>
              <w:numPr>
                <w:ilvl w:val="0"/>
                <w:numId w:val="2"/>
              </w:numPr>
              <w:rPr>
                <w:rFonts w:cs="Arial"/>
                <w:sz w:val="22"/>
                <w:szCs w:val="22"/>
              </w:rPr>
            </w:pPr>
            <w:r>
              <w:rPr>
                <w:rFonts w:cs="Arial"/>
                <w:sz w:val="22"/>
                <w:szCs w:val="22"/>
              </w:rPr>
              <w:t>Support Local Leaders</w:t>
            </w:r>
          </w:p>
          <w:p>
            <w:pPr>
              <w:pStyle w:val="Normal"/>
              <w:numPr>
                <w:ilvl w:val="0"/>
                <w:numId w:val="2"/>
              </w:numPr>
              <w:rPr>
                <w:rFonts w:cs="Arial"/>
                <w:sz w:val="22"/>
                <w:szCs w:val="22"/>
              </w:rPr>
            </w:pPr>
            <w:r>
              <w:rPr>
                <w:rFonts w:cs="Arial"/>
                <w:sz w:val="22"/>
                <w:szCs w:val="22"/>
              </w:rPr>
              <w:t>Committed to the Borough</w:t>
            </w:r>
          </w:p>
          <w:p>
            <w:pPr>
              <w:pStyle w:val="Normal"/>
              <w:numPr>
                <w:ilvl w:val="0"/>
                <w:numId w:val="2"/>
              </w:numPr>
              <w:rPr>
                <w:rFonts w:cs="Arial"/>
                <w:sz w:val="22"/>
                <w:szCs w:val="22"/>
              </w:rPr>
            </w:pPr>
            <w:r>
              <w:rPr>
                <w:rFonts w:cs="Arial"/>
                <w:sz w:val="22"/>
                <w:szCs w:val="22"/>
              </w:rPr>
              <w:t>Take Ownership and Drive Change</w:t>
            </w:r>
          </w:p>
          <w:p>
            <w:pPr>
              <w:pStyle w:val="Normal"/>
              <w:numPr>
                <w:ilvl w:val="0"/>
                <w:numId w:val="2"/>
              </w:numPr>
              <w:rPr>
                <w:rFonts w:cs="Arial"/>
                <w:sz w:val="22"/>
                <w:szCs w:val="22"/>
              </w:rPr>
            </w:pPr>
            <w:r>
              <w:rPr>
                <w:rFonts w:cs="Arial"/>
                <w:sz w:val="22"/>
                <w:szCs w:val="22"/>
              </w:rPr>
              <w:t xml:space="preserve">Deliver High Performance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More information around our Values and Behaviours can be found on our Greater.Jobs pages.</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12.2.24</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Andrea Worthington</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 xml:space="preserve">Head of residential </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12.6.26</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 xml:space="preserve">Jacki Attwater </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 xml:space="preserve">Registered homes manager </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mc:AlternateContent>
          <mc:Choice Requires="wps">
            <w:drawing>
              <wp:anchor behindDoc="0" distT="0" distB="0" distL="114935" distR="114935" simplePos="0" locked="0" layoutInCell="1" allowOverlap="1" relativeHeight="3">
                <wp:simplePos x="0" y="0"/>
                <wp:positionH relativeFrom="column">
                  <wp:posOffset>5143500</wp:posOffset>
                </wp:positionH>
                <wp:positionV relativeFrom="paragraph">
                  <wp:posOffset>-605790</wp:posOffset>
                </wp:positionV>
                <wp:extent cx="1149350" cy="1188085"/>
                <wp:effectExtent l="0" t="0" r="0" b="0"/>
                <wp:wrapNone/>
                <wp:docPr id="5" name="Text Box 3"/>
                <a:graphic xmlns:a="http://schemas.openxmlformats.org/drawingml/2006/main">
                  <a:graphicData uri="http://schemas.microsoft.com/office/word/2010/wordprocessingShape">
                    <wps:wsp>
                      <wps:cNvSpPr/>
                      <wps:spPr>
                        <a:xfrm>
                          <a:off x="0" y="0"/>
                          <a:ext cx="11487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3" fillcolor="white" stroked="f" style="position:absolute;margin-left:405pt;margin-top:-47.7pt;width:90.4pt;height:93.45pt">
                <w10:wrap type="none"/>
                <v:fill o:detectmouseclick="t" type="solid" color2="black"/>
                <v:stroke color="#3465a4" joinstyle="round" endcap="flat"/>
              </v:rect>
            </w:pict>
          </mc:Fallback>
        </mc:AlternateContent>
      </w:r>
      <w:r>
        <mc:AlternateContent>
          <mc:Choice Requires="wps">
            <w:drawing>
              <wp:anchor behindDoc="0" distT="72390" distB="72390" distL="0" distR="3810" simplePos="0" locked="0" layoutInCell="1" allowOverlap="1" relativeHeight="6">
                <wp:simplePos x="0" y="0"/>
                <wp:positionH relativeFrom="column">
                  <wp:posOffset>5143500</wp:posOffset>
                </wp:positionH>
                <wp:positionV relativeFrom="paragraph">
                  <wp:posOffset>-605790</wp:posOffset>
                </wp:positionV>
                <wp:extent cx="1148715" cy="1187450"/>
                <wp:effectExtent l="0" t="0" r="0" b="0"/>
                <wp:wrapNone/>
                <wp:docPr id="6" name="Frame2"/>
                <a:graphic xmlns:a="http://schemas.openxmlformats.org/drawingml/2006/main">
                  <a:graphicData uri="http://schemas.microsoft.com/office/word/2010/wordprocessingShape">
                    <wps:wsp>
                      <wps:cNvSpPr txBox="1"/>
                      <wps:spPr>
                        <a:xfrm>
                          <a:off x="0" y="0"/>
                          <a:ext cx="1148715" cy="1187450"/>
                        </a:xfrm>
                        <a:prstGeom prst="rect"/>
                        <a:solidFill>
                          <a:srgbClr val="FFFFFF"/>
                        </a:solidFill>
                      </wps:spPr>
                      <wps:txbx>
                        <w:txbxContent>
                          <w:p>
                            <w:pPr>
                              <w:pStyle w:val="FrameContents"/>
                              <w:rPr/>
                            </w:pPr>
                            <w:r>
                              <w:rPr/>
                              <w:drawing>
                                <wp:inline distT="0" distB="0" distL="0" distR="0">
                                  <wp:extent cx="965200" cy="1097915"/>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3"/>
                                          <a:srcRect l="-40" t="-35" r="-40" b="-35"/>
                                          <a:stretch>
                                            <a:fillRect/>
                                          </a:stretch>
                                        </pic:blipFill>
                                        <pic:spPr bwMode="auto">
                                          <a:xfrm>
                                            <a:off x="0" y="0"/>
                                            <a:ext cx="965200" cy="10979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45pt;height:93.5pt;mso-wrap-distance-left:0pt;mso-wrap-distance-right:0.3pt;mso-wrap-distance-top:5.7pt;mso-wrap-distance-bottom:5.7pt;margin-top:-47.7pt;mso-position-vertical-relative:text;margin-left:405pt;mso-position-horizontal-relative:text">
                <v:textbox inset="0.100694444444444in,0.0506944444444444in,0.100694444444444in,0.0506944444444444in">
                  <w:txbxContent>
                    <w:p>
                      <w:pPr>
                        <w:pStyle w:val="FrameContents"/>
                        <w:rPr/>
                      </w:pPr>
                      <w:r>
                        <w:rPr/>
                        <w:drawing>
                          <wp:inline distT="0" distB="0" distL="0" distR="0">
                            <wp:extent cx="965200" cy="1097915"/>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rcRect l="-40" t="-35" r="-40" b="-35"/>
                                    <a:stretch>
                                      <a:fillRect/>
                                    </a:stretch>
                                  </pic:blipFill>
                                  <pic:spPr bwMode="auto">
                                    <a:xfrm>
                                      <a:off x="0" y="0"/>
                                      <a:ext cx="965200" cy="1097915"/>
                                    </a:xfrm>
                                    <a:prstGeom prst="rect">
                                      <a:avLst/>
                                    </a:prstGeom>
                                  </pic:spPr>
                                </pic:pic>
                              </a:graphicData>
                            </a:graphic>
                          </wp:inline>
                        </w:drawing>
                      </w:r>
                    </w:p>
                  </w:txbxContent>
                </v:textbox>
              </v:rect>
            </w:pict>
          </mc:Fallback>
        </mc:AlternateContent>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Normal"/>
        <w:ind w:left="0" w:right="-514" w:hanging="0"/>
        <w:rPr/>
      </w:pPr>
      <w:r>
        <w:rPr>
          <w:rFonts w:cs="Arial"/>
          <w:b/>
          <w:bCs/>
          <w:sz w:val="22"/>
          <w:szCs w:val="22"/>
        </w:rPr>
        <w:t>Job Title:</w:t>
      </w:r>
      <w:r>
        <w:rPr>
          <w:rFonts w:cs="Arial"/>
          <w:bCs/>
          <w:sz w:val="22"/>
          <w:szCs w:val="22"/>
        </w:rPr>
        <w:t xml:space="preserve">  Deputy Residential Homes Manager</w:t>
      </w:r>
    </w:p>
    <w:p>
      <w:pPr>
        <w:pStyle w:val="Normal"/>
        <w:rPr>
          <w:rFonts w:cs="Arial"/>
          <w:sz w:val="22"/>
          <w:szCs w:val="22"/>
        </w:rPr>
      </w:pPr>
      <w:r>
        <w:rPr>
          <w:rFonts w:cs="Arial"/>
          <w:sz w:val="22"/>
          <w:szCs w:val="22"/>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HNC in caring services, DIP SW, CQSW, CSS, NVQ 3 in caring for Children and Young People and become an NVQ Assessor.</w:t>
            </w:r>
          </w:p>
          <w:p>
            <w:pPr>
              <w:pStyle w:val="Header"/>
              <w:tabs>
                <w:tab w:val="clear" w:pos="4153"/>
                <w:tab w:val="clear" w:pos="8306"/>
              </w:tabs>
              <w:rPr>
                <w:rFonts w:cs="Arial"/>
                <w:szCs w:val="22"/>
              </w:rPr>
            </w:pPr>
            <w:r>
              <w:rPr>
                <w:rFonts w:cs="Arial"/>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jc w:val="center"/>
              <w:rPr>
                <w:rFonts w:cs="Arial"/>
                <w:szCs w:val="22"/>
              </w:rPr>
            </w:pPr>
            <w:r>
              <w:rPr>
                <w:rFonts w:cs="Arial"/>
                <w:szCs w:val="22"/>
              </w:rPr>
              <w:t>AF/I/C</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sz w:val="22"/>
                <w:szCs w:val="20"/>
              </w:rPr>
            </w:pPr>
            <w:r>
              <w:rPr>
                <w:sz w:val="22"/>
                <w:szCs w:val="20"/>
              </w:rPr>
              <w:t>Experience of engaging with young people, including those with special educational needs and disability (SEND), carers, parents, professionals and services to obtain views on care provision and to allow them to contribute to the ‘Care Planning’ process, to ensure needs are met and complaints dealt with appropriately.</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Experience of recruiting and selecting staff.</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An ability to act as an NVQ Assessor.</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motivate and to supervise staff in line with the department’s policy.</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assist the Manager to implement guidelines and initiative relating to Education of Young People in Public Care and Safer Care.</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prepare and review care plans and other non-specific reports.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Ability to assist the Manager in keeping accurate records relating to budgets and other residential systems.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 xml:space="preserve">A knowledge and commitment to safeguarding and promoting the welfare of children, young people and/or vulnerable adults.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A knowledge of child development and understanding the effects of trauma, change and loss with children.</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Understanding of childcare legislation, care planning and departmental policies and procedures.</w:t>
            </w:r>
          </w:p>
          <w:p>
            <w:pPr>
              <w:pStyle w:val="Normal"/>
              <w:rPr>
                <w:rFonts w:cs="Arial"/>
                <w:sz w:val="22"/>
                <w:szCs w:val="22"/>
                <w:lang w:val="en-US"/>
              </w:rPr>
            </w:pPr>
            <w:r>
              <w:rPr>
                <w:rFonts w:cs="Arial"/>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Must be able to work outside office hours – weekends and evenings.</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Must be able to travel independently across the Borough.</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2"/>
                <w:szCs w:val="22"/>
              </w:rPr>
            </w:pPr>
            <w:r>
              <w:rPr>
                <w:rFonts w:cs="Arial"/>
                <w:sz w:val="22"/>
                <w:szCs w:val="22"/>
              </w:rPr>
              <w:t>AF / 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AF / I</w:t>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Style w:val="InternetLink"/>
          <w:rFonts w:cs="Arial"/>
          <w:b/>
          <w:bCs/>
          <w:sz w:val="22"/>
          <w:szCs w:val="22"/>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pPr>
        <w:pStyle w:val="Normal"/>
        <w:jc w:val="both"/>
        <w:rPr/>
      </w:pPr>
      <w:r>
        <w:rPr/>
      </w:r>
    </w:p>
    <w:sectPr>
      <w:headerReference w:type="default" r:id="rId4"/>
      <w:headerReference w:type="first" r:id="rId5"/>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2"/>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2026-06-16T14:19:00Z</dcterms:created>
  <dc:creator>OMBC</dc:creator>
  <dc:description/>
  <dc:language>en-US</dc:language>
  <cp:lastModifiedBy>Ian Robinson (HR)</cp:lastModifiedBy>
  <cp:lastPrinted>1995-11-21T17:41:00Z</cp:lastPrinted>
  <dcterms:modified xsi:type="dcterms:W3CDTF">2026-06-16T14:19:00Z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