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Best Start in Life Inclusion Practitioner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Childrens Services</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Early Help/Integrated Children and Family Service</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11232</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To work as part of Oldham Council’s Best Start in Life team in the Integrated Children and Family Service to deliver early, targeted inclusion support for babies and young children identified, who have or may have low to moderate additional support needs.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The post holder will focus on early identification and intervention, delivering short</w:t>
              <w:noBreakHyphen/>
              <w:t>term, evidence</w:t>
              <w:noBreakHyphen/>
              <w:t>based support to improve developmental outcomes, particularly in relation to early communication and language, social and emotional development and supporting progress towards school readiness. Working within Family Hubs and local communities, the role will help ensure children receive the right support early, reducing escalation and supporting inclusion.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The Best Start Inclusion Practitioner will work closely with families, early years settings and partner services to strengthen inclusive practice and contribute to the delivery of the national Best Start in Life programme.</w:t>
            </w:r>
          </w:p>
          <w:p>
            <w:pPr>
              <w:pStyle w:val="Normal"/>
              <w:rPr>
                <w:rFonts w:cs="Arial"/>
                <w:sz w:val="20"/>
                <w:szCs w:val="20"/>
              </w:rPr>
            </w:pPr>
            <w:r>
              <w:rPr>
                <w:rFonts w:cs="Arial"/>
                <w:sz w:val="20"/>
                <w:szCs w:val="20"/>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Default"/>
              <w:numPr>
                <w:ilvl w:val="0"/>
                <w:numId w:val="2"/>
              </w:numPr>
              <w:rPr/>
            </w:pPr>
            <w:r>
              <w:rPr>
                <w:sz w:val="22"/>
                <w:szCs w:val="22"/>
              </w:rPr>
              <w:t>Deliver direct, time</w:t>
              <w:noBreakHyphen/>
              <w:t>limited interventions to support babies and young children with emerging and/or low to moderate additional needs, both within Best Start Family Hubs and in the community including Enhanced Making it REAL, Talking Tools and other applicable interventions.</w:t>
            </w:r>
          </w:p>
          <w:p>
            <w:pPr>
              <w:pStyle w:val="Default"/>
              <w:ind w:left="360" w:right="0"/>
              <w:rPr>
                <w:sz w:val="22"/>
                <w:szCs w:val="22"/>
                <w:highlight w:val="yellow"/>
              </w:rPr>
            </w:pPr>
            <w:r>
              <w:rPr>
                <w:sz w:val="22"/>
                <w:szCs w:val="22"/>
                <w:highlight w:val="yellow"/>
              </w:rPr>
            </w:r>
          </w:p>
          <w:p>
            <w:pPr>
              <w:pStyle w:val="Default"/>
              <w:numPr>
                <w:ilvl w:val="0"/>
                <w:numId w:val="2"/>
              </w:numPr>
              <w:rPr/>
            </w:pPr>
            <w:r>
              <w:rPr>
                <w:sz w:val="22"/>
                <w:szCs w:val="22"/>
              </w:rPr>
              <w:t>Deliver practical advice, model inclusive practice and support families to engage in universal and targeted activities.</w:t>
            </w:r>
          </w:p>
          <w:p>
            <w:pPr>
              <w:pStyle w:val="Normal"/>
              <w:ind w:left="360" w:right="0"/>
              <w:rPr/>
            </w:pPr>
            <w:r>
              <w:rPr/>
            </w:r>
          </w:p>
          <w:p>
            <w:pPr>
              <w:pStyle w:val="Default"/>
              <w:numPr>
                <w:ilvl w:val="0"/>
                <w:numId w:val="2"/>
              </w:numPr>
              <w:rPr/>
            </w:pPr>
            <w:r>
              <w:rPr>
                <w:sz w:val="22"/>
                <w:szCs w:val="22"/>
              </w:rPr>
              <w:t>Working with your Family Hub Manager to develop and deliver inclusive universal activities to meet family’s needs such as sensory stay and play</w:t>
            </w:r>
          </w:p>
          <w:p>
            <w:pPr>
              <w:pStyle w:val="Normal"/>
              <w:ind w:left="360" w:right="0"/>
              <w:rPr/>
            </w:pPr>
            <w:r>
              <w:rPr/>
            </w:r>
          </w:p>
          <w:p>
            <w:pPr>
              <w:pStyle w:val="Default"/>
              <w:numPr>
                <w:ilvl w:val="0"/>
                <w:numId w:val="2"/>
              </w:numPr>
              <w:rPr/>
            </w:pPr>
            <w:r>
              <w:rPr>
                <w:sz w:val="22"/>
                <w:szCs w:val="22"/>
              </w:rPr>
              <w:t>To support all families to engage with the Best Start Digital offer including Essential parent, Togetherness, Anya and Chat Health</w:t>
            </w:r>
          </w:p>
          <w:p>
            <w:pPr>
              <w:pStyle w:val="Default"/>
              <w:rPr>
                <w:sz w:val="22"/>
                <w:szCs w:val="22"/>
              </w:rPr>
            </w:pPr>
            <w:r>
              <w:rPr>
                <w:sz w:val="22"/>
                <w:szCs w:val="22"/>
              </w:rPr>
            </w:r>
          </w:p>
          <w:p>
            <w:pPr>
              <w:pStyle w:val="Default"/>
              <w:numPr>
                <w:ilvl w:val="0"/>
                <w:numId w:val="2"/>
              </w:numPr>
              <w:rPr/>
            </w:pPr>
            <w:r>
              <w:rPr>
                <w:sz w:val="22"/>
                <w:szCs w:val="22"/>
              </w:rPr>
              <w:t>Identify early developmental concerns through observation, discussion and use of evidence</w:t>
              <w:noBreakHyphen/>
              <w:t xml:space="preserve">based tools, working alongside families, early years practitioners and other professionals to positively impact on individual children’s learning and development. </w:t>
            </w:r>
          </w:p>
          <w:p>
            <w:pPr>
              <w:pStyle w:val="Default"/>
              <w:rPr>
                <w:sz w:val="22"/>
                <w:szCs w:val="22"/>
              </w:rPr>
            </w:pPr>
            <w:r>
              <w:rPr>
                <w:sz w:val="22"/>
                <w:szCs w:val="22"/>
              </w:rPr>
            </w:r>
          </w:p>
          <w:p>
            <w:pPr>
              <w:pStyle w:val="Default"/>
              <w:numPr>
                <w:ilvl w:val="0"/>
                <w:numId w:val="4"/>
              </w:numPr>
              <w:rPr/>
            </w:pPr>
            <w:r>
              <w:rPr>
                <w:sz w:val="22"/>
                <w:szCs w:val="22"/>
              </w:rPr>
              <w:t>To work alongside other professionals to help distinguish between children who would benefit from enhanced early support and those who may require longer</w:t>
              <w:noBreakHyphen/>
              <w:t>term, social emotional support or specialist input.</w:t>
            </w:r>
          </w:p>
          <w:p>
            <w:pPr>
              <w:pStyle w:val="Default"/>
              <w:ind w:left="780" w:right="0"/>
              <w:rPr>
                <w:sz w:val="22"/>
                <w:szCs w:val="22"/>
              </w:rPr>
            </w:pPr>
            <w:r>
              <w:rPr>
                <w:sz w:val="22"/>
                <w:szCs w:val="22"/>
              </w:rPr>
            </w:r>
          </w:p>
          <w:p>
            <w:pPr>
              <w:pStyle w:val="Default"/>
              <w:numPr>
                <w:ilvl w:val="0"/>
                <w:numId w:val="4"/>
              </w:numPr>
              <w:rPr/>
            </w:pPr>
            <w:r>
              <w:rPr>
                <w:sz w:val="22"/>
                <w:szCs w:val="22"/>
              </w:rPr>
              <w:t>To work alongside other professionals with identified children and families to support transition to nursery, setting and school.</w:t>
            </w:r>
          </w:p>
          <w:p>
            <w:pPr>
              <w:pStyle w:val="Default"/>
              <w:rPr>
                <w:sz w:val="22"/>
                <w:szCs w:val="22"/>
              </w:rPr>
            </w:pPr>
            <w:r>
              <w:rPr>
                <w:sz w:val="22"/>
                <w:szCs w:val="22"/>
              </w:rPr>
            </w:r>
          </w:p>
          <w:p>
            <w:pPr>
              <w:pStyle w:val="Default"/>
              <w:numPr>
                <w:ilvl w:val="0"/>
                <w:numId w:val="2"/>
              </w:numPr>
              <w:rPr/>
            </w:pPr>
            <w:r>
              <w:rPr>
                <w:sz w:val="22"/>
                <w:szCs w:val="22"/>
              </w:rPr>
              <w:t>Use screening and observation tools, including, but not exclusive to, the Early Language Identification Measure (ELIM), ASQ, Wellcomm, EYFS progress check at age 2 and information from the 2–2½ year healthy child programme mandated contact and the developmental journal to support planning.</w:t>
            </w:r>
          </w:p>
          <w:p>
            <w:pPr>
              <w:pStyle w:val="Normal"/>
              <w:rPr>
                <w:sz w:val="22"/>
                <w:szCs w:val="22"/>
              </w:rPr>
            </w:pPr>
            <w:r>
              <w:rPr>
                <w:sz w:val="22"/>
                <w:szCs w:val="22"/>
              </w:rPr>
            </w:r>
          </w:p>
          <w:p>
            <w:pPr>
              <w:pStyle w:val="Default"/>
              <w:numPr>
                <w:ilvl w:val="0"/>
                <w:numId w:val="2"/>
              </w:numPr>
              <w:rPr/>
            </w:pPr>
            <w:r>
              <w:rPr>
                <w:sz w:val="22"/>
                <w:szCs w:val="22"/>
              </w:rPr>
              <w:t>Support and empower families to access appropriate services, working alongside the Child and Family Practitioners and signposting to relevant health, SEND, early years and voluntary, community and faith sector provision where needed.</w:t>
            </w:r>
          </w:p>
          <w:p>
            <w:pPr>
              <w:pStyle w:val="Normal"/>
              <w:ind w:left="360" w:right="0"/>
              <w:rPr>
                <w:sz w:val="22"/>
                <w:szCs w:val="22"/>
              </w:rPr>
            </w:pPr>
            <w:r>
              <w:rPr>
                <w:sz w:val="22"/>
                <w:szCs w:val="22"/>
              </w:rPr>
            </w:r>
          </w:p>
          <w:p>
            <w:pPr>
              <w:pStyle w:val="Default"/>
              <w:numPr>
                <w:ilvl w:val="0"/>
                <w:numId w:val="2"/>
              </w:numPr>
              <w:rPr/>
            </w:pPr>
            <w:r>
              <w:rPr>
                <w:sz w:val="22"/>
                <w:szCs w:val="22"/>
              </w:rPr>
              <w:t>Work with families in a way which ensures parent and child voice informs the delivery and support provided to ensure the right support is provided at the right time.</w:t>
            </w:r>
          </w:p>
          <w:p>
            <w:pPr>
              <w:pStyle w:val="Default"/>
              <w:rPr>
                <w:sz w:val="20"/>
                <w:szCs w:val="20"/>
              </w:rPr>
            </w:pPr>
            <w:r>
              <w:rPr>
                <w:sz w:val="20"/>
                <w:szCs w:val="20"/>
              </w:rPr>
            </w:r>
          </w:p>
          <w:p>
            <w:pPr>
              <w:pStyle w:val="Default"/>
              <w:numPr>
                <w:ilvl w:val="0"/>
                <w:numId w:val="2"/>
              </w:numPr>
              <w:rPr/>
            </w:pPr>
            <w:r>
              <w:rPr>
                <w:sz w:val="22"/>
                <w:szCs w:val="22"/>
              </w:rPr>
              <w:t>Promote inclusive practice across the Best Start Family Hubs network, supporting other practitioners and services to respond effectively through ‘Expert at Hand’ to children who have or may have SEND</w:t>
            </w:r>
          </w:p>
          <w:p>
            <w:pPr>
              <w:pStyle w:val="Default"/>
              <w:rPr>
                <w:sz w:val="22"/>
                <w:szCs w:val="22"/>
              </w:rPr>
            </w:pPr>
            <w:r>
              <w:rPr>
                <w:sz w:val="22"/>
                <w:szCs w:val="22"/>
              </w:rPr>
            </w:r>
          </w:p>
          <w:p>
            <w:pPr>
              <w:pStyle w:val="Default"/>
              <w:numPr>
                <w:ilvl w:val="0"/>
                <w:numId w:val="2"/>
              </w:numPr>
              <w:rPr/>
            </w:pPr>
            <w:r>
              <w:rPr>
                <w:sz w:val="22"/>
                <w:szCs w:val="22"/>
              </w:rPr>
              <w:t>Maintain accurate records and contribute to monitoring, learning and continuous improvement within the Best Start programme.</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5.</w:t>
            </w:r>
          </w:p>
        </w:tc>
        <w:tc>
          <w:tcPr>
            <w:tcW w:w="9917" w:type="dxa"/>
            <w:tcBorders>
              <w:right w:val="single" w:sz="4" w:space="0" w:color="000000"/>
            </w:tcBorders>
          </w:tcPr>
          <w:p>
            <w:pPr>
              <w:pStyle w:val="Normal"/>
              <w:jc w:val="both"/>
              <w:rPr>
                <w:rFonts w:cs="Arial"/>
                <w:sz w:val="22"/>
                <w:szCs w:val="22"/>
              </w:rPr>
            </w:pPr>
            <w:r>
              <w:rPr>
                <w:rFonts w:cs="Arial"/>
                <w:sz w:val="22"/>
                <w:szCs w:val="22"/>
              </w:rPr>
              <w:t>Work flexibly, which may include occasional evening or weekends as required</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6.</w:t>
            </w:r>
          </w:p>
          <w:p>
            <w:pPr>
              <w:pStyle w:val="Normal"/>
              <w:jc w:val="both"/>
              <w:rPr>
                <w:rFonts w:cs="Arial"/>
                <w:sz w:val="22"/>
                <w:szCs w:val="22"/>
              </w:rPr>
            </w:pPr>
            <w:r>
              <w:rPr>
                <w:rFonts w:cs="Arial"/>
                <w:sz w:val="22"/>
                <w:szCs w:val="22"/>
              </w:rPr>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 xml:space="preserve">Undertake any additional duties commensurate with the level of the post.        </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bCs/>
                <w:sz w:val="22"/>
                <w:szCs w:val="22"/>
              </w:rPr>
              <w:t>Contacts:</w:t>
            </w:r>
            <w:r>
              <w:rPr>
                <w:rFonts w:cs="Arial"/>
                <w:sz w:val="22"/>
                <w:szCs w:val="22"/>
              </w:rPr>
              <w:t xml:space="preserve"> Children and Families, Family Hub employees at all levels, Early years, wider Local Authority and Public Health Nursing, Early Attachment Service, Children’s Services, Schools and settings.</w:t>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32" w:type="dxa"/>
        <w:jc w:val="left"/>
        <w:tblInd w:w="-504" w:type="dxa"/>
        <w:tblLayout w:type="fixed"/>
        <w:tblCellMar>
          <w:top w:w="0" w:type="dxa"/>
          <w:left w:w="108" w:type="dxa"/>
          <w:bottom w:w="0" w:type="dxa"/>
          <w:right w:w="108" w:type="dxa"/>
        </w:tblCellMar>
      </w:tblPr>
      <w:tblGrid>
        <w:gridCol w:w="9537"/>
        <w:gridCol w:w="895"/>
      </w:tblGrid>
      <w:tr>
        <w:trPr>
          <w:trHeight w:val="475" w:hRule="atLeast"/>
        </w:trPr>
        <w:tc>
          <w:tcPr>
            <w:tcW w:w="10432"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490" w:hRule="atLeast"/>
        </w:trPr>
        <w:tc>
          <w:tcPr>
            <w:tcW w:w="9537" w:type="dxa"/>
            <w:tcBorders>
              <w:top w:val="single" w:sz="4" w:space="0" w:color="000000"/>
              <w:left w:val="single" w:sz="4" w:space="0" w:color="000000"/>
            </w:tcBorders>
          </w:tcPr>
          <w:p>
            <w:pPr>
              <w:pStyle w:val="Normal"/>
              <w:ind w:right="-735"/>
              <w:rPr/>
            </w:pPr>
            <w:r>
              <w:rPr>
                <w:rFonts w:cs="Arial"/>
                <w:b/>
                <w:sz w:val="22"/>
                <w:szCs w:val="22"/>
              </w:rPr>
              <w:t xml:space="preserve">Responsible to: </w:t>
            </w:r>
            <w:r>
              <w:rPr>
                <w:rFonts w:cs="Arial"/>
                <w:sz w:val="22"/>
                <w:szCs w:val="22"/>
              </w:rPr>
              <w:t xml:space="preserve"> Family Hub Managers</w:t>
            </w:r>
          </w:p>
        </w:tc>
        <w:tc>
          <w:tcPr>
            <w:tcW w:w="895" w:type="dxa"/>
            <w:tcBorders>
              <w:top w:val="single" w:sz="4" w:space="0" w:color="000000"/>
              <w:right w:val="single" w:sz="4" w:space="0" w:color="000000"/>
            </w:tcBorders>
          </w:tcPr>
          <w:p>
            <w:pPr>
              <w:pStyle w:val="BodyText"/>
              <w:snapToGrid w:val="false"/>
              <w:rPr>
                <w:rFonts w:cs="Arial"/>
                <w:b w:val="false"/>
                <w:bCs/>
                <w:szCs w:val="22"/>
              </w:rPr>
            </w:pPr>
            <w:r>
              <w:rPr>
                <w:rFonts w:cs="Arial"/>
                <w:b w:val="false"/>
                <w:bCs/>
                <w:szCs w:val="22"/>
              </w:rPr>
            </w:r>
          </w:p>
        </w:tc>
      </w:tr>
      <w:tr>
        <w:trPr>
          <w:trHeight w:val="300" w:hRule="atLeast"/>
        </w:trPr>
        <w:tc>
          <w:tcPr>
            <w:tcW w:w="9537" w:type="dxa"/>
            <w:tcBorders>
              <w:left w:val="single" w:sz="4" w:space="0" w:color="000000"/>
              <w:bottom w:val="single" w:sz="4" w:space="0" w:color="000000"/>
            </w:tcBorders>
          </w:tcPr>
          <w:p>
            <w:pPr>
              <w:pStyle w:val="Normal"/>
              <w:rPr/>
            </w:pPr>
            <w:r>
              <w:rPr>
                <w:rFonts w:cs="Arial"/>
                <w:b/>
                <w:sz w:val="22"/>
                <w:szCs w:val="22"/>
              </w:rPr>
              <w:t xml:space="preserve">Responsible for: </w:t>
            </w:r>
            <w:r>
              <w:rPr>
                <w:rFonts w:cs="Arial"/>
                <w:bCs/>
                <w:sz w:val="22"/>
                <w:szCs w:val="22"/>
              </w:rPr>
              <w:t>N/A</w:t>
            </w:r>
          </w:p>
          <w:p>
            <w:pPr>
              <w:pStyle w:val="Normal"/>
              <w:rPr>
                <w:rFonts w:cs="Arial"/>
                <w:b/>
                <w:sz w:val="22"/>
                <w:szCs w:val="22"/>
              </w:rPr>
            </w:pPr>
            <w:r>
              <w:rPr>
                <w:rFonts w:cs="Arial"/>
                <w:b/>
                <w:sz w:val="22"/>
                <w:szCs w:val="22"/>
              </w:rPr>
            </w:r>
          </w:p>
        </w:tc>
        <w:tc>
          <w:tcPr>
            <w:tcW w:w="895" w:type="dxa"/>
            <w:tcBorders>
              <w:bottom w:val="single" w:sz="4" w:space="0" w:color="000000"/>
              <w:right w:val="single" w:sz="4" w:space="0" w:color="000000"/>
            </w:tcBorders>
          </w:tcPr>
          <w:p>
            <w:pPr>
              <w:pStyle w:val="Normal"/>
              <w:snapToGrid w:val="false"/>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b/>
                <w:sz w:val="22"/>
                <w:szCs w:val="22"/>
              </w:rPr>
            </w:pPr>
            <w:r>
              <w:rPr>
                <w:rFonts w:cs="Arial"/>
                <w:b/>
                <w:sz w:val="22"/>
                <w:szCs w:val="22"/>
              </w:rPr>
            </w:r>
          </w:p>
          <w:p>
            <w:pPr>
              <w:pStyle w:val="Normal"/>
              <w:rPr>
                <w:rFonts w:cs="Arial"/>
                <w:bCs/>
                <w:sz w:val="22"/>
                <w:szCs w:val="22"/>
              </w:rPr>
            </w:pPr>
            <w:r>
              <w:rPr>
                <w:rFonts w:cs="Arial"/>
                <w:bCs/>
                <w:sz w:val="22"/>
                <w:szCs w:val="22"/>
              </w:rPr>
              <w:t>Expected to travel &amp; work across various Family Hubs and Community Assets</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Casual car user</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Enhanced Disclosure &amp; Barring Service with check of relevant barred list(s)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p>
            <w:pPr>
              <w:pStyle w:val="Normal"/>
              <w:spacing w:before="280" w:after="0"/>
              <w:jc w:val="both"/>
              <w:rPr>
                <w:rFonts w:cs="Arial"/>
                <w:sz w:val="22"/>
                <w:szCs w:val="22"/>
                <w:lang w:val="en" w:eastAsia="en-GB"/>
              </w:rPr>
            </w:pPr>
            <w:r>
              <w:rPr>
                <w:rFonts w:cs="Arial"/>
                <w:sz w:val="22"/>
                <w:szCs w:val="22"/>
                <w:lang w:val="en" w:eastAsia="en-GB"/>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3"/>
              </w:numPr>
              <w:rPr/>
            </w:pPr>
            <w:r>
              <w:rPr>
                <w:rFonts w:eastAsia="Arial" w:cs="Arial" w:ascii="Arial" w:hAnsi="Arial"/>
              </w:rPr>
              <w:t>Work with a Resident Focus</w:t>
            </w:r>
          </w:p>
          <w:p>
            <w:pPr>
              <w:pStyle w:val="ListParagraph"/>
              <w:numPr>
                <w:ilvl w:val="0"/>
                <w:numId w:val="3"/>
              </w:numPr>
              <w:rPr/>
            </w:pPr>
            <w:r>
              <w:rPr>
                <w:rFonts w:eastAsia="Arial" w:cs="Arial" w:ascii="Arial" w:hAnsi="Arial"/>
              </w:rPr>
              <w:t>Support Local Leaders</w:t>
            </w:r>
          </w:p>
          <w:p>
            <w:pPr>
              <w:pStyle w:val="ListParagraph"/>
              <w:numPr>
                <w:ilvl w:val="0"/>
                <w:numId w:val="3"/>
              </w:numPr>
              <w:rPr/>
            </w:pPr>
            <w:r>
              <w:rPr>
                <w:rFonts w:eastAsia="Arial" w:cs="Arial" w:ascii="Arial" w:hAnsi="Arial"/>
              </w:rPr>
              <w:t>Committed to the Borough</w:t>
            </w:r>
          </w:p>
          <w:p>
            <w:pPr>
              <w:pStyle w:val="ListParagraph"/>
              <w:numPr>
                <w:ilvl w:val="0"/>
                <w:numId w:val="3"/>
              </w:numPr>
              <w:rPr/>
            </w:pPr>
            <w:r>
              <w:rPr>
                <w:rFonts w:eastAsia="Arial" w:cs="Arial" w:ascii="Arial" w:hAnsi="Arial"/>
              </w:rPr>
              <w:t>Take Ownership and Drive Change</w:t>
            </w:r>
          </w:p>
          <w:p>
            <w:pPr>
              <w:pStyle w:val="ListParagraph"/>
              <w:numPr>
                <w:ilvl w:val="0"/>
                <w:numId w:val="3"/>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April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Ryan Rothery</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Family Hubs Programme Manager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July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Karen Bennett</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Head of the Integrated Children and Family service</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Best Start in Life Inclusion Practitioner</w:t>
      </w:r>
    </w:p>
    <w:p>
      <w:pPr>
        <w:pStyle w:val="Normal"/>
        <w:rPr>
          <w:rFonts w:cs="Arial"/>
          <w:sz w:val="22"/>
          <w:szCs w:val="22"/>
        </w:rPr>
      </w:pPr>
      <w:r>
        <w:rPr>
          <w:rFonts w:cs="Arial"/>
          <w:sz w:val="22"/>
          <w:szCs w:val="22"/>
        </w:rPr>
      </w:r>
    </w:p>
    <w:tbl>
      <w:tblPr>
        <w:tblW w:w="10529" w:type="dxa"/>
        <w:jc w:val="left"/>
        <w:tblInd w:w="-504" w:type="dxa"/>
        <w:tblLayout w:type="fixed"/>
        <w:tblCellMar>
          <w:top w:w="0" w:type="dxa"/>
          <w:left w:w="108" w:type="dxa"/>
          <w:bottom w:w="0" w:type="dxa"/>
          <w:right w:w="108" w:type="dxa"/>
        </w:tblCellMar>
      </w:tblPr>
      <w:tblGrid>
        <w:gridCol w:w="1799"/>
        <w:gridCol w:w="3960"/>
        <w:gridCol w:w="3060"/>
        <w:gridCol w:w="171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71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Relevant Level 3 qualification in childcare, early years, health &amp; social care, SEND or family support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Level 4 or above qualification in early years, SEND, education, health or family support</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Evidence of ongoing professional development relating to inclusion, SEND or early intervention</w:t>
            </w:r>
          </w:p>
        </w:tc>
        <w:tc>
          <w:tcPr>
            <w:tcW w:w="1710"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AF/I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t>AF/I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Experience of working directly with babies, young children (0-5) and their families in health, education, early years or community settings</w:t>
            </w:r>
          </w:p>
          <w:p>
            <w:pPr>
              <w:pStyle w:val="Default"/>
              <w:rPr>
                <w:sz w:val="22"/>
                <w:szCs w:val="22"/>
              </w:rPr>
            </w:pPr>
            <w:r>
              <w:rPr>
                <w:sz w:val="22"/>
                <w:szCs w:val="22"/>
              </w:rPr>
            </w:r>
          </w:p>
          <w:p>
            <w:pPr>
              <w:pStyle w:val="Default"/>
              <w:rPr>
                <w:sz w:val="22"/>
                <w:szCs w:val="22"/>
              </w:rPr>
            </w:pPr>
            <w:r>
              <w:rPr>
                <w:sz w:val="22"/>
                <w:szCs w:val="22"/>
              </w:rPr>
              <w:t>Experience of supporting children with additional needs, including emerging SEND and developmental delay</w:t>
            </w:r>
          </w:p>
          <w:p>
            <w:pPr>
              <w:pStyle w:val="Default"/>
              <w:rPr>
                <w:sz w:val="22"/>
                <w:szCs w:val="22"/>
              </w:rPr>
            </w:pPr>
            <w:r>
              <w:rPr>
                <w:sz w:val="22"/>
                <w:szCs w:val="22"/>
              </w:rPr>
            </w:r>
          </w:p>
          <w:p>
            <w:pPr>
              <w:pStyle w:val="Default"/>
              <w:rPr>
                <w:sz w:val="22"/>
                <w:szCs w:val="22"/>
              </w:rPr>
            </w:pPr>
            <w:r>
              <w:rPr>
                <w:sz w:val="22"/>
                <w:szCs w:val="22"/>
              </w:rPr>
            </w:r>
          </w:p>
          <w:p>
            <w:pPr>
              <w:pStyle w:val="Default"/>
              <w:rPr>
                <w:sz w:val="22"/>
                <w:szCs w:val="22"/>
              </w:rPr>
            </w:pPr>
            <w:r>
              <w:rPr>
                <w:sz w:val="22"/>
                <w:szCs w:val="22"/>
              </w:rPr>
              <w:t>Experience of working within a multi-agency environment, contributing to Family Help and inclusion planning</w:t>
            </w:r>
          </w:p>
          <w:p>
            <w:pPr>
              <w:pStyle w:val="Default"/>
              <w:rPr>
                <w:sz w:val="22"/>
                <w:szCs w:val="22"/>
              </w:rPr>
            </w:pPr>
            <w:r>
              <w:rPr>
                <w:sz w:val="22"/>
                <w:szCs w:val="22"/>
              </w:rPr>
            </w:r>
          </w:p>
          <w:p>
            <w:pPr>
              <w:pStyle w:val="Default"/>
              <w:rPr>
                <w:sz w:val="22"/>
                <w:szCs w:val="22"/>
              </w:rPr>
            </w:pPr>
            <w:r>
              <w:rPr>
                <w:sz w:val="22"/>
                <w:szCs w:val="22"/>
              </w:rPr>
              <w:t xml:space="preserve">Experience of managing situations of a sensitive and confidential nature (e.g. safeguarding, parental need, developmental concerns, in line with Council policies and procedures </w:t>
            </w:r>
          </w:p>
          <w:p>
            <w:pPr>
              <w:pStyle w:val="Default"/>
              <w:rPr>
                <w:sz w:val="22"/>
                <w:szCs w:val="22"/>
              </w:rPr>
            </w:pPr>
            <w:r>
              <w:rPr>
                <w:sz w:val="22"/>
                <w:szCs w:val="22"/>
              </w:rPr>
            </w:r>
          </w:p>
          <w:p>
            <w:pPr>
              <w:pStyle w:val="Default"/>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Experience of delivering or supporting evidence-based interventions, screening tools or inclusion programmes</w:t>
            </w:r>
          </w:p>
          <w:p>
            <w:pPr>
              <w:pStyle w:val="Normal"/>
              <w:rPr>
                <w:sz w:val="22"/>
                <w:szCs w:val="22"/>
              </w:rPr>
            </w:pPr>
            <w:r>
              <w:rPr>
                <w:sz w:val="22"/>
                <w:szCs w:val="22"/>
              </w:rPr>
            </w:r>
          </w:p>
          <w:p>
            <w:pPr>
              <w:pStyle w:val="Normal"/>
              <w:rPr>
                <w:sz w:val="22"/>
                <w:szCs w:val="22"/>
              </w:rPr>
            </w:pPr>
            <w:r>
              <w:rPr>
                <w:sz w:val="22"/>
                <w:szCs w:val="22"/>
              </w:rPr>
              <w:t>Experience of successfully supporting children’s transitions into settings</w:t>
            </w:r>
          </w:p>
        </w:tc>
        <w:tc>
          <w:tcPr>
            <w:tcW w:w="171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rPr>
            </w:pPr>
            <w:r>
              <w:rPr>
                <w:rFonts w:cs="Arial"/>
                <w:sz w:val="22"/>
                <w:szCs w:val="22"/>
              </w:rPr>
              <w:t>AF/I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pacing w:before="60" w:after="60"/>
              <w:contextualSpacing/>
              <w:rPr>
                <w:rFonts w:cs="Arial"/>
                <w:sz w:val="22"/>
                <w:szCs w:val="22"/>
              </w:rPr>
            </w:pPr>
            <w:r>
              <w:rPr>
                <w:rFonts w:cs="Arial"/>
                <w:sz w:val="22"/>
                <w:szCs w:val="22"/>
              </w:rPr>
              <w:t>Ability to communicate effectively, both verbally and in writing, with parents/carers, children and professionals, including on complex, difficult and sensitive issues</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observe, identify and assess the developmental, emotional and social needs of babies and young children, taking account of family context</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support families in navigating services and inclusion pathways, ensuring children can access the right support at the right time</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maintain accurate, timely and confidential records in line with service requirements, and share information appropriately with partner agencies</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use Microsoft Office and other relevant electronic systems and applications to record, monitor and report data</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organise and prioritise own workload, working autonomously to deliver an effective, timely and inclusive service</w:t>
            </w:r>
          </w:p>
          <w:p>
            <w:pPr>
              <w:pStyle w:val="Normal"/>
              <w:spacing w:before="60" w:after="60"/>
              <w:contextualSpacing/>
              <w:rPr>
                <w:rFonts w:cs="Arial"/>
                <w:sz w:val="22"/>
                <w:szCs w:val="22"/>
              </w:rPr>
            </w:pPr>
            <w:r>
              <w:rPr>
                <w:rFonts w:cs="Arial"/>
                <w:sz w:val="22"/>
                <w:szCs w:val="22"/>
              </w:rPr>
            </w:r>
          </w:p>
          <w:p>
            <w:pPr>
              <w:pStyle w:val="Normal"/>
              <w:spacing w:before="60" w:after="60"/>
              <w:ind w:left="-20" w:right="0"/>
              <w:contextualSpacing/>
              <w:rPr>
                <w:rFonts w:cs="Arial"/>
                <w:sz w:val="22"/>
                <w:szCs w:val="22"/>
              </w:rPr>
            </w:pPr>
            <w:r>
              <w:rPr>
                <w:rFonts w:cs="Arial"/>
                <w:sz w:val="22"/>
                <w:szCs w:val="22"/>
              </w:rPr>
              <w:t>Ability to accurately identify a child’s current stage of development and identify appropriate next steps for learning.</w:t>
            </w:r>
          </w:p>
          <w:p>
            <w:pPr>
              <w:pStyle w:val="Normal"/>
              <w:spacing w:before="60" w:after="60"/>
              <w:ind w:left="-20" w:right="0"/>
              <w:contextualSpacing/>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ind w:left="360" w:right="0"/>
              <w:rPr>
                <w:rFonts w:cs="Arial"/>
                <w:sz w:val="22"/>
                <w:szCs w:val="22"/>
              </w:rPr>
            </w:pPr>
            <w:r>
              <w:rPr>
                <w:rFonts w:cs="Arial"/>
                <w:sz w:val="22"/>
                <w:szCs w:val="22"/>
              </w:rPr>
            </w:r>
          </w:p>
          <w:p>
            <w:pPr>
              <w:pStyle w:val="Normal"/>
              <w:spacing w:before="60" w:after="60"/>
              <w:ind w:left="-20" w:right="0"/>
              <w:contextualSpacing/>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lang w:val="da-DK"/>
              </w:rPr>
            </w:pPr>
            <w:r>
              <w:rPr>
                <w:rFonts w:cs="Arial" w:ascii="Arial" w:hAnsi="Arial"/>
                <w:sz w:val="22"/>
                <w:szCs w:val="22"/>
                <w:lang w:val="da-DK"/>
              </w:rPr>
              <w:t>AF/I</w:t>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t>AF/I</w:t>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t>AF/I</w:t>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t>AF/I</w:t>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lang w:val="da-DK"/>
              </w:rPr>
            </w:pPr>
            <w:r>
              <w:rPr>
                <w:rFonts w:cs="Arial" w:ascii="Arial" w:hAnsi="Arial"/>
                <w:sz w:val="22"/>
                <w:szCs w:val="22"/>
                <w:lang w:val="da-DK"/>
              </w:rPr>
            </w:r>
          </w:p>
          <w:p>
            <w:pPr>
              <w:pStyle w:val="EndnoteText"/>
              <w:rPr>
                <w:rFonts w:ascii="Arial" w:hAnsi="Arial" w:cs="Arial"/>
                <w:sz w:val="22"/>
                <w:szCs w:val="22"/>
              </w:rPr>
            </w:pPr>
            <w:r>
              <w:rPr>
                <w:rFonts w:cs="Arial" w:ascii="Arial" w:hAnsi="Arial"/>
                <w:sz w:val="22"/>
                <w:szCs w:val="22"/>
              </w:rPr>
              <w:t>AF/I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t>AF/I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t>AF/I</w:t>
            </w:r>
          </w:p>
          <w:p>
            <w:pPr>
              <w:pStyle w:val="EndnoteText"/>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Knowledge of the early child development and the Early Years Foundation Stage to support the planning of appropriate activities and interventions to support children’s individual developmental needs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of SEND pathways, inclusive practice and the role of early identification and intervention in improving outcomes for children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Knowledge of safeguarding children and local safeguarding arrangements, including Team around the Family/Family Help and information sharing protocols </w:t>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To have knowledge and understanding of statutory legislation and policies relevant to the service area and national, regional and local development that impact on delivery</w:t>
            </w:r>
          </w:p>
          <w:p>
            <w:pPr>
              <w:pStyle w:val="Normal"/>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jc w:val="center"/>
              <w:rPr>
                <w:rFonts w:cs="Arial"/>
                <w:sz w:val="22"/>
                <w:szCs w:val="22"/>
                <w:lang w:val="da-DK"/>
              </w:rPr>
            </w:pPr>
            <w:r>
              <w:rPr>
                <w:rFonts w:cs="Arial"/>
                <w:sz w:val="22"/>
                <w:szCs w:val="22"/>
                <w:lang w:val="da-DK"/>
              </w:rPr>
            </w:r>
          </w:p>
          <w:p>
            <w:pPr>
              <w:pStyle w:val="Normal"/>
              <w:jc w:val="center"/>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r>
          </w:p>
          <w:p>
            <w:pPr>
              <w:pStyle w:val="Normal"/>
              <w:rPr>
                <w:rFonts w:cs="Arial"/>
                <w:sz w:val="22"/>
                <w:szCs w:val="22"/>
                <w:lang w:val="da-DK"/>
              </w:rPr>
            </w:pPr>
            <w:r>
              <w:rPr>
                <w:rFonts w:cs="Arial"/>
                <w:sz w:val="22"/>
                <w:szCs w:val="22"/>
                <w:lang w:val="da-DK"/>
              </w:rPr>
              <w:t>AF/I</w:t>
            </w:r>
          </w:p>
          <w:p>
            <w:pPr>
              <w:pStyle w:val="Normal"/>
              <w:rPr>
                <w:rFonts w:cs="Arial"/>
                <w:sz w:val="22"/>
                <w:szCs w:val="22"/>
                <w:lang w:val="da-DK"/>
              </w:rPr>
            </w:pPr>
            <w:r>
              <w:rPr>
                <w:rFonts w:cs="Arial"/>
                <w:sz w:val="22"/>
                <w:szCs w:val="22"/>
                <w:lang w:val="da-DK"/>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lang w:val="da-DK"/>
              </w:rPr>
            </w:pPr>
            <w:r>
              <w:rPr>
                <w:rFonts w:cs="Arial"/>
                <w:b/>
                <w:bCs/>
                <w:sz w:val="22"/>
                <w:szCs w:val="22"/>
                <w:lang w:val="da-DK"/>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ind w:firstLine="20" w:left="-20" w:right="0"/>
              <w:rPr>
                <w:rFonts w:cs="Arial"/>
                <w:sz w:val="22"/>
                <w:szCs w:val="22"/>
              </w:rPr>
            </w:pPr>
            <w:r>
              <w:rPr>
                <w:rFonts w:cs="Arial"/>
                <w:sz w:val="22"/>
                <w:szCs w:val="22"/>
              </w:rPr>
              <w:t>Willingness to work flexibly across Family Hub and community settings, supporting integrated and agile working</w:t>
            </w:r>
          </w:p>
          <w:p>
            <w:pPr>
              <w:pStyle w:val="Normal"/>
              <w:ind w:firstLine="20" w:left="-20" w:right="0"/>
              <w:rPr>
                <w:rFonts w:cs="Arial"/>
                <w:sz w:val="22"/>
                <w:szCs w:val="22"/>
              </w:rPr>
            </w:pPr>
            <w:r>
              <w:rPr>
                <w:rFonts w:cs="Arial"/>
                <w:sz w:val="22"/>
                <w:szCs w:val="22"/>
              </w:rPr>
            </w:r>
          </w:p>
          <w:p>
            <w:pPr>
              <w:pStyle w:val="Normal"/>
              <w:ind w:firstLine="20" w:left="-20" w:right="0"/>
              <w:rPr>
                <w:rFonts w:cs="Arial"/>
                <w:sz w:val="22"/>
                <w:szCs w:val="22"/>
              </w:rPr>
            </w:pPr>
            <w:r>
              <w:rPr>
                <w:rFonts w:cs="Arial"/>
                <w:sz w:val="22"/>
                <w:szCs w:val="22"/>
              </w:rPr>
              <w:t>Ability to work evenings and weekends where required to meet service and family needs</w:t>
            </w:r>
          </w:p>
          <w:p>
            <w:pPr>
              <w:pStyle w:val="Normal"/>
              <w:ind w:firstLine="20" w:left="-20" w:right="0"/>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71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AF/I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sz w:val="22"/>
    </w:rPr>
  </w:style>
  <w:style w:type="character" w:styleId="WW8Num1z1">
    <w:name w:val="WW8Num1z1"/>
    <w:qFormat/>
    <w:rPr>
      <w:rFonts w:ascii="Courier New" w:hAnsi="Courier New" w:cs="Times New Roman"/>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ui-provider">
    <w:name w:val="ui-provider"/>
    <w:basedOn w:val="DefaultParagraphFont"/>
    <w:qFormat/>
    <w:rPr/>
  </w:style>
  <w:style w:type="character" w:styleId="Hyperlink">
    <w:name w:val="Hyperlink"/>
    <w:basedOn w:val="DefaultParagraphFont"/>
    <w:rPr>
      <w:color w:val="0563C1"/>
      <w:u w:val="single"/>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annotationsubject">
    <w:name w:val="annotation subject"/>
    <w:basedOn w:val="annotationtext"/>
    <w:next w:val="annotationtext"/>
    <w:qFormat/>
    <w:pPr/>
    <w:rPr>
      <w:rFonts w:ascii="Arial" w:hAnsi="Arial" w:cs="Arial"/>
      <w:b/>
      <w:bCs/>
    </w:rPr>
  </w:style>
  <w:style w:type="paragraph" w:styleId="Revision">
    <w:name w:val="Revision"/>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