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r>
    </w:p>
    <w:tbl>
      <w:tblPr>
        <w:tblW w:w="10449" w:type="dxa"/>
        <w:jc w:val="left"/>
        <w:tblInd w:w="-617" w:type="dxa"/>
        <w:tblCellMar>
          <w:top w:w="0" w:type="dxa"/>
          <w:left w:w="108" w:type="dxa"/>
          <w:bottom w:w="0" w:type="dxa"/>
          <w:right w:w="108" w:type="dxa"/>
        </w:tblCellMar>
      </w:tblPr>
      <w:tblGrid>
        <w:gridCol w:w="1451"/>
        <w:gridCol w:w="2869"/>
        <w:gridCol w:w="2179"/>
        <w:gridCol w:w="3950"/>
      </w:tblGrid>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Best Start in Life – Early Years Quality Practitioner</w:t>
            </w:r>
          </w:p>
        </w:tc>
      </w:tr>
      <w:tr>
        <w:trPr>
          <w:trHeight w:val="675" w:hRule="atLeast"/>
          <w:cantSplit w:val="true"/>
        </w:trPr>
        <w:tc>
          <w:tcPr>
            <w:tcW w:w="1451"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Children’s Services</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Education, Skills, and Early Years</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5</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szCs w:val="22"/>
              </w:rPr>
            </w:pPr>
            <w:r>
              <w:rPr>
                <w:rFonts w:cs="Arial"/>
                <w:szCs w:val="22"/>
              </w:rPr>
              <w:t>11260</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06"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rHeight w:val="721"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bCs/>
                <w:sz w:val="22"/>
                <w:szCs w:val="22"/>
              </w:rPr>
            </w:pPr>
            <w:r>
              <w:rPr>
                <w:rFonts w:cs="Arial"/>
                <w:bCs/>
                <w:sz w:val="22"/>
                <w:szCs w:val="22"/>
              </w:rPr>
            </w:r>
          </w:p>
          <w:p>
            <w:pPr>
              <w:pStyle w:val="Normal"/>
              <w:rPr>
                <w:rFonts w:cs="Arial"/>
                <w:bCs/>
                <w:sz w:val="22"/>
                <w:szCs w:val="22"/>
              </w:rPr>
            </w:pPr>
            <w:r>
              <w:rPr>
                <w:rFonts w:cs="Arial"/>
                <w:bCs/>
                <w:sz w:val="22"/>
                <w:szCs w:val="22"/>
              </w:rPr>
              <w:t>To work as part of Oldham Council's Best Start in Life Team to improve outcomes for babies and young children by supporting high-quality, inclusive early years practice across schools, private, voluntary and independent (PVI) settings, childminders, family hubs and community provision.</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t>The post holder will work collaboratively with families, early years practitioners and partner agencies to promote children's learning, development and school readiness from pre-birth to age five. Through quality improvement activity, coaching, modelling, workforce development and targeted early intervention, the role will support settings to strengthen practice, identify emerging needs and remove barriers to learning so that all children can achieve their potential.</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t>Working within the early years sector, alongside Family Hubs and local communities, the role will contribute to the delivery of the Best Start in Life Programme, supporting integrated working, improving transitions and ensuring children and families receive the right support at the right time.</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rHeight w:val="3689"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Paragraph"/>
              <w:spacing w:before="0" w:after="280"/>
              <w:textAlignment w:val="baseline"/>
              <w:rPr>
                <w:rFonts w:ascii="Arial" w:hAnsi="Arial" w:cs="Arial"/>
                <w:b/>
                <w:b/>
                <w:bCs/>
                <w:sz w:val="22"/>
                <w:szCs w:val="22"/>
              </w:rPr>
            </w:pPr>
            <w:r>
              <w:rPr>
                <w:rFonts w:cs="Arial" w:ascii="Arial" w:hAnsi="Arial"/>
                <w:b/>
                <w:bCs/>
                <w:sz w:val="22"/>
                <w:szCs w:val="22"/>
              </w:rPr>
              <w:t>Quality Improvement and Early Years Support</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Work in partnership with early years settings, schools, childminders and Family Hub services to improve the quality of provision and outcomes for children aged 0-5.</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Provide support, challenge, coaching and modelling to practitioners to strengthen teaching, learning and inclusive practice.</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Support settings to implement evidence-informed approaches which promote communication and language, personal, social and emotional development, early literacy, early mathematics and school readiness.</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Facilitate networks, workshops and professional learning opportunities which promote continuous improvement across the early years sector.</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Support effective transitions between home, early years settings and school to ensure continuity in children's learning and development.</w:t>
            </w:r>
          </w:p>
          <w:p>
            <w:pPr>
              <w:pStyle w:val="Paragraph"/>
              <w:numPr>
                <w:ilvl w:val="0"/>
                <w:numId w:val="4"/>
              </w:numPr>
              <w:spacing w:before="280" w:after="280"/>
              <w:textAlignment w:val="baseline"/>
              <w:rPr>
                <w:rFonts w:ascii="Arial" w:hAnsi="Arial" w:cs="Arial"/>
                <w:sz w:val="22"/>
                <w:szCs w:val="22"/>
              </w:rPr>
            </w:pPr>
            <w:r>
              <w:rPr>
                <w:rFonts w:cs="Arial" w:ascii="Arial" w:hAnsi="Arial"/>
                <w:sz w:val="22"/>
                <w:szCs w:val="22"/>
              </w:rPr>
              <w:t>Promote high aspirations and inclusive practice for all children, particularly those facing disadvantage or barriers to learning.</w:t>
            </w:r>
          </w:p>
          <w:p>
            <w:pPr>
              <w:pStyle w:val="Paragraph"/>
              <w:spacing w:before="280" w:after="280"/>
              <w:textAlignment w:val="baseline"/>
              <w:rPr>
                <w:rFonts w:ascii="Arial" w:hAnsi="Arial" w:cs="Arial"/>
                <w:b/>
                <w:b/>
                <w:bCs/>
                <w:sz w:val="22"/>
                <w:szCs w:val="22"/>
              </w:rPr>
            </w:pPr>
            <w:r>
              <w:rPr>
                <w:rFonts w:cs="Arial" w:ascii="Arial" w:hAnsi="Arial"/>
                <w:b/>
                <w:bCs/>
                <w:sz w:val="22"/>
                <w:szCs w:val="22"/>
              </w:rPr>
              <w:t>Early Identification and Intervention</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Work alongside families and practitioners to identify children's strengths, interests and areas for development through observation, assessment and professional discussion.</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Use evidence-based assessment and screening tools, including WellComm, ASQ and EYFS assessment information, to inform planning and targeted support.</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Support the implementation of targeted evidence based interventions that improve children's development, learning and school readiness.</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Promote early identification of emerging developmental concerns and work collaboratively with practitioners to ensure children and families access appropriate support where required.</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Use professional judgement to support decision-making regarding universal, targeted and specialist pathways of support.</w:t>
            </w:r>
          </w:p>
          <w:p>
            <w:pPr>
              <w:pStyle w:val="Paragraph"/>
              <w:numPr>
                <w:ilvl w:val="0"/>
                <w:numId w:val="4"/>
              </w:numPr>
              <w:spacing w:before="280" w:after="280"/>
              <w:textAlignment w:val="baseline"/>
              <w:rPr>
                <w:rFonts w:ascii="Arial" w:hAnsi="Arial" w:cs="Arial"/>
                <w:sz w:val="22"/>
                <w:szCs w:val="22"/>
              </w:rPr>
            </w:pPr>
            <w:r>
              <w:rPr>
                <w:rFonts w:cs="Arial" w:ascii="Arial" w:hAnsi="Arial"/>
                <w:sz w:val="22"/>
                <w:szCs w:val="22"/>
              </w:rPr>
              <w:t>Support practitioners to accurately assess children's development and identify appropriate next steps in learning.</w:t>
            </w:r>
          </w:p>
          <w:p>
            <w:pPr>
              <w:pStyle w:val="Paragraph"/>
              <w:spacing w:before="280" w:after="280"/>
              <w:textAlignment w:val="baseline"/>
              <w:rPr>
                <w:rFonts w:ascii="Arial" w:hAnsi="Arial" w:cs="Arial"/>
                <w:b/>
                <w:b/>
                <w:bCs/>
                <w:sz w:val="22"/>
                <w:szCs w:val="22"/>
              </w:rPr>
            </w:pPr>
            <w:r>
              <w:rPr>
                <w:rFonts w:cs="Arial" w:ascii="Arial" w:hAnsi="Arial"/>
                <w:b/>
                <w:bCs/>
                <w:sz w:val="22"/>
                <w:szCs w:val="22"/>
              </w:rPr>
              <w:t>Workforce Development</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Coach, mentor and model effective practice to practitioners working across early years provision.</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Deliver training and professional development opportunities relating to child development, communication and language, school readiness, inclusive practice and family engagement.</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Support practitioners to develop confidence in assessment, planning and responding to children's individual needs.</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Promote reflective practice, continuous professional development and a culture of continuous improvement across the workforce.</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Partnership Working and Family Support</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Develop effective working relationships with families, early years providers, schools, health services, SEND services, voluntary and community organisations and other partner agencies.</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Support practitioners to empower families to support their child's learning, development and wellbeing and access services when needed.</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Ensure parent, carer and child voice informs planning, intervention and service development.</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Contribute to integrated and joined-up approaches that improve outcomes for children and families from pre-birth to age five.</w:t>
            </w:r>
          </w:p>
          <w:p>
            <w:pPr>
              <w:pStyle w:val="Paragraph"/>
              <w:numPr>
                <w:ilvl w:val="0"/>
                <w:numId w:val="4"/>
              </w:numPr>
              <w:spacing w:before="280" w:after="280"/>
              <w:textAlignment w:val="baseline"/>
              <w:rPr>
                <w:rFonts w:ascii="Arial" w:hAnsi="Arial" w:cs="Arial"/>
                <w:sz w:val="22"/>
                <w:szCs w:val="22"/>
              </w:rPr>
            </w:pPr>
            <w:r>
              <w:rPr>
                <w:rFonts w:cs="Arial" w:ascii="Arial" w:hAnsi="Arial"/>
                <w:sz w:val="22"/>
                <w:szCs w:val="22"/>
              </w:rPr>
              <w:t>Support effective networks across districts to strengthen collaborative working and improve outcomes for children.</w:t>
            </w:r>
          </w:p>
          <w:p>
            <w:pPr>
              <w:pStyle w:val="Paragraph"/>
              <w:spacing w:before="280" w:after="280"/>
              <w:textAlignment w:val="baseline"/>
              <w:rPr>
                <w:rFonts w:ascii="Arial" w:hAnsi="Arial" w:cs="Arial"/>
                <w:b/>
                <w:b/>
                <w:bCs/>
                <w:sz w:val="22"/>
                <w:szCs w:val="22"/>
              </w:rPr>
            </w:pPr>
            <w:r>
              <w:rPr>
                <w:rFonts w:cs="Arial" w:ascii="Arial" w:hAnsi="Arial"/>
                <w:b/>
                <w:bCs/>
                <w:sz w:val="22"/>
                <w:szCs w:val="22"/>
              </w:rPr>
              <w:t>Data, Monitoring and Continuous Improvement</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Use local intelligence, assessment information and outcome data to identify priorities, target support and drive improvement.</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Maintain accurate records and contribute to monitoring, evaluation and reporting arrangements.</w:t>
            </w:r>
          </w:p>
          <w:p>
            <w:pPr>
              <w:pStyle w:val="Paragraph"/>
              <w:numPr>
                <w:ilvl w:val="0"/>
                <w:numId w:val="4"/>
              </w:numPr>
              <w:spacing w:before="280" w:after="0"/>
              <w:textAlignment w:val="baseline"/>
              <w:rPr>
                <w:rFonts w:ascii="Arial" w:hAnsi="Arial" w:cs="Arial"/>
                <w:sz w:val="22"/>
                <w:szCs w:val="22"/>
              </w:rPr>
            </w:pPr>
            <w:r>
              <w:rPr>
                <w:rFonts w:cs="Arial" w:ascii="Arial" w:hAnsi="Arial"/>
                <w:sz w:val="22"/>
                <w:szCs w:val="22"/>
              </w:rPr>
              <w:t>Measure and evaluate the impact of interventions, quality improvement activity and workforce development programmes.</w:t>
            </w:r>
          </w:p>
          <w:p>
            <w:pPr>
              <w:pStyle w:val="Paragraph"/>
              <w:numPr>
                <w:ilvl w:val="0"/>
                <w:numId w:val="4"/>
              </w:numPr>
              <w:spacing w:before="280" w:after="280"/>
              <w:textAlignment w:val="baseline"/>
              <w:rPr>
                <w:rFonts w:ascii="Arial" w:hAnsi="Arial" w:cs="Arial"/>
                <w:sz w:val="22"/>
                <w:szCs w:val="22"/>
              </w:rPr>
            </w:pPr>
            <w:r>
              <w:rPr>
                <w:rFonts w:cs="Arial" w:ascii="Arial" w:hAnsi="Arial"/>
                <w:sz w:val="22"/>
                <w:szCs w:val="22"/>
              </w:rPr>
              <w:t>Contribute to the ongoing development of the Best Start in Life Programme and strategic priorities across the borough.</w:t>
            </w:r>
          </w:p>
          <w:p>
            <w:pPr>
              <w:pStyle w:val="Paragraph"/>
              <w:spacing w:before="0" w:after="0"/>
              <w:textAlignment w:val="baseline"/>
              <w:rPr>
                <w:rFonts w:ascii="Arial" w:hAnsi="Arial" w:cs="Arial"/>
                <w:sz w:val="22"/>
                <w:szCs w:val="22"/>
              </w:rPr>
            </w:pPr>
            <w:r>
              <w:rPr>
                <w:rFonts w:cs="Arial" w:ascii="Arial" w:hAnsi="Arial"/>
                <w:sz w:val="22"/>
                <w:szCs w:val="22"/>
              </w:rPr>
            </w:r>
          </w:p>
        </w:tc>
      </w:tr>
    </w:tbl>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522"/>
        <w:gridCol w:w="9927"/>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r>
          </w:p>
        </w:tc>
        <w:tc>
          <w:tcPr>
            <w:tcW w:w="9927" w:type="dxa"/>
            <w:tcBorders>
              <w:top w:val="single" w:sz="4" w:space="0" w:color="000000"/>
              <w:right w:val="single" w:sz="4" w:space="0" w:color="000000"/>
            </w:tcBorders>
            <w:shd w:fill="auto" w:val="clear"/>
          </w:tcPr>
          <w:p>
            <w:pPr>
              <w:pStyle w:val="ListParagraph"/>
              <w:numPr>
                <w:ilvl w:val="0"/>
                <w:numId w:val="5"/>
              </w:numPr>
              <w:jc w:val="both"/>
              <w:rPr>
                <w:rFonts w:ascii="Arial" w:hAnsi="Arial" w:cs="Arial"/>
              </w:rPr>
            </w:pPr>
            <w:r>
              <w:rPr>
                <w:rFonts w:cs="Arial" w:ascii="Arial" w:hAnsi="Arial"/>
              </w:rPr>
              <w:t>To actively promote the equalities and diversity agenda in the workplace and in service delivery</w:t>
            </w:r>
          </w:p>
          <w:p>
            <w:pPr>
              <w:pStyle w:val="ListParagraph"/>
              <w:numPr>
                <w:ilvl w:val="0"/>
                <w:numId w:val="5"/>
              </w:numPr>
              <w:jc w:val="both"/>
              <w:rPr>
                <w:rFonts w:ascii="Arial" w:hAnsi="Arial" w:cs="Arial"/>
              </w:rPr>
            </w:pPr>
            <w:r>
              <w:rPr>
                <w:rFonts w:cs="Arial" w:ascii="Arial" w:hAnsi="Arial"/>
              </w:rPr>
              <w:t>To uphold and implement policies and procedures of the Council, including customer care, data protection, finance, ICT, safeguarding and health and safety policies.</w:t>
            </w:r>
          </w:p>
          <w:p>
            <w:pPr>
              <w:pStyle w:val="ListParagraph"/>
              <w:numPr>
                <w:ilvl w:val="0"/>
                <w:numId w:val="5"/>
              </w:numPr>
              <w:jc w:val="both"/>
              <w:rPr>
                <w:rFonts w:ascii="Arial" w:hAnsi="Arial" w:cs="Arial"/>
              </w:rPr>
            </w:pPr>
            <w:r>
              <w:rPr>
                <w:rFonts w:cs="Arial" w:ascii="Arial" w:hAnsi="Arial"/>
              </w:rPr>
              <w:t>To actively engage with the behaviours and values of the Council to promote and support the Co-operative Agenda.</w:t>
            </w:r>
          </w:p>
          <w:p>
            <w:pPr>
              <w:pStyle w:val="ListParagraph"/>
              <w:numPr>
                <w:ilvl w:val="0"/>
                <w:numId w:val="5"/>
              </w:numPr>
              <w:jc w:val="both"/>
              <w:rPr>
                <w:rFonts w:ascii="Arial" w:hAnsi="Arial" w:cs="Arial"/>
              </w:rPr>
            </w:pPr>
            <w:r>
              <w:rPr>
                <w:rFonts w:cs="Arial" w:ascii="Arial" w:hAnsi="Arial"/>
              </w:rPr>
              <w:t>To undertake continuous professional development and remain aware of new developments, legislation, initiatives, guidance, policies and procedures relevant to the role.</w:t>
            </w:r>
          </w:p>
          <w:p>
            <w:pPr>
              <w:pStyle w:val="ListParagraph"/>
              <w:numPr>
                <w:ilvl w:val="0"/>
                <w:numId w:val="5"/>
              </w:numPr>
              <w:jc w:val="both"/>
              <w:rPr>
                <w:rFonts w:ascii="Arial" w:hAnsi="Arial" w:cs="Arial"/>
              </w:rPr>
            </w:pPr>
            <w:r>
              <w:rPr>
                <w:rFonts w:cs="Arial" w:ascii="Arial" w:hAnsi="Arial"/>
              </w:rPr>
              <w:t>To work flexibly, including occasional evenings and weekends where required.</w:t>
            </w:r>
          </w:p>
          <w:p>
            <w:pPr>
              <w:pStyle w:val="ListParagraph"/>
              <w:numPr>
                <w:ilvl w:val="0"/>
                <w:numId w:val="5"/>
              </w:numPr>
              <w:jc w:val="both"/>
              <w:rPr>
                <w:rFonts w:ascii="Arial" w:hAnsi="Arial" w:cs="Arial"/>
              </w:rPr>
            </w:pPr>
            <w:r>
              <w:rPr>
                <w:rFonts w:cs="Arial" w:ascii="Arial" w:hAnsi="Arial"/>
              </w:rPr>
              <w:t>To undertake any additional duties commensurate with the level of the post.</w:t>
            </w:r>
          </w:p>
          <w:p>
            <w:pPr>
              <w:pStyle w:val="Normal"/>
              <w:jc w:val="both"/>
              <w:rPr>
                <w:rFonts w:cs="Arial"/>
                <w:sz w:val="22"/>
                <w:szCs w:val="22"/>
              </w:rPr>
            </w:pPr>
            <w:r>
              <w:rPr>
                <w:rFonts w:cs="Arial"/>
                <w:sz w:val="22"/>
                <w:szCs w:val="22"/>
              </w:rPr>
            </w:r>
          </w:p>
          <w:p>
            <w:pPr>
              <w:pStyle w:val="Normal"/>
              <w:jc w:val="both"/>
              <w:rPr>
                <w:rFonts w:cs="Arial"/>
                <w:b/>
                <w:b/>
                <w:bCs/>
                <w:sz w:val="22"/>
                <w:szCs w:val="22"/>
              </w:rPr>
            </w:pPr>
            <w:r>
              <w:rPr>
                <w:rFonts w:cs="Arial"/>
                <w:b/>
                <w:bCs/>
                <w:sz w:val="22"/>
                <w:szCs w:val="22"/>
              </w:rPr>
              <w:t>GENERAL DUTIES</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snapToGrid w:val="false"/>
              <w:jc w:val="both"/>
              <w:rPr>
                <w:rFonts w:cs="Arial"/>
                <w:sz w:val="22"/>
                <w:szCs w:val="22"/>
              </w:rPr>
            </w:pPr>
            <w:r>
              <w:rPr>
                <w:rFonts w:cs="Arial"/>
                <w:sz w:val="22"/>
                <w:szCs w:val="22"/>
              </w:rPr>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snapToGrid w:val="false"/>
              <w:jc w:val="both"/>
              <w:rPr>
                <w:rFonts w:cs="Arial"/>
                <w:sz w:val="22"/>
                <w:szCs w:val="22"/>
              </w:rPr>
            </w:pPr>
            <w:r>
              <w:rPr>
                <w:rFonts w:cs="Arial"/>
                <w:sz w:val="22"/>
                <w:szCs w:val="22"/>
              </w:rPr>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snapToGrid w:val="false"/>
              <w:jc w:val="both"/>
              <w:rPr>
                <w:rFonts w:cs="Arial"/>
                <w:sz w:val="22"/>
                <w:szCs w:val="22"/>
              </w:rPr>
            </w:pPr>
            <w:r>
              <w:rPr>
                <w:rFonts w:cs="Arial"/>
                <w:sz w:val="22"/>
                <w:szCs w:val="22"/>
              </w:rPr>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 xml:space="preserve">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shd w:fill="auto" w:val="clear"/>
          </w:tcPr>
          <w:p>
            <w:pPr>
              <w:pStyle w:val="Normal"/>
              <w:snapToGrid w:val="false"/>
              <w:jc w:val="both"/>
              <w:rPr>
                <w:rFonts w:cs="Arial"/>
                <w:b/>
                <w:b/>
                <w:sz w:val="22"/>
                <w:szCs w:val="22"/>
              </w:rPr>
            </w:pPr>
            <w:r>
              <w:rPr>
                <w:rFonts w:cs="Arial"/>
                <w:b/>
                <w:sz w:val="22"/>
                <w:szCs w:val="22"/>
              </w:rPr>
            </w:r>
          </w:p>
        </w:tc>
        <w:tc>
          <w:tcPr>
            <w:tcW w:w="9927" w:type="dxa"/>
            <w:tcBorders>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Any additional duties commensurate with the level of the post.</w:t>
            </w:r>
            <w:bookmarkStart w:id="0" w:name="_Hlk168670942"/>
            <w:bookmarkEnd w:id="0"/>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Assistant Director of Education and Early Years, Assistant Director Early Help, Early Years team, Family Hubs team, schools, early years providers, Early Help Service.</w:t>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jc w:val="both"/>
              <w:rPr>
                <w:rFonts w:cs="Arial"/>
                <w:sz w:val="22"/>
                <w:szCs w:val="22"/>
              </w:rPr>
            </w:pPr>
            <w:r>
              <w:rPr>
                <w:rFonts w:cs="Arial"/>
                <w:sz w:val="22"/>
                <w:szCs w:val="22"/>
              </w:rPr>
            </w:r>
          </w:p>
        </w:tc>
      </w:tr>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TextBody"/>
              <w:rPr>
                <w:rFonts w:cs="Arial"/>
                <w:szCs w:val="22"/>
              </w:rPr>
            </w:pPr>
            <w:r>
              <w:rPr>
                <w:rFonts w:cs="Arial"/>
                <w:szCs w:val="22"/>
              </w:rPr>
              <w:t>Responsible to: Integrated Team Manager</w:t>
            </w:r>
          </w:p>
          <w:p>
            <w:pPr>
              <w:pStyle w:val="TextBody"/>
              <w:rPr>
                <w:rFonts w:cs="Arial"/>
                <w:szCs w:val="22"/>
              </w:rPr>
            </w:pPr>
            <w:r>
              <w:rPr>
                <w:rFonts w:cs="Arial"/>
                <w:szCs w:val="22"/>
              </w:rPr>
            </w:r>
          </w:p>
          <w:p>
            <w:pPr>
              <w:pStyle w:val="TextBody"/>
              <w:rPr>
                <w:rFonts w:cs="Arial"/>
                <w:szCs w:val="22"/>
              </w:rPr>
            </w:pPr>
            <w:r>
              <w:rPr>
                <w:rFonts w:cs="Arial"/>
                <w:szCs w:val="22"/>
              </w:rPr>
              <w:t>Responsible for: N/A</w:t>
            </w:r>
          </w:p>
        </w:tc>
      </w:tr>
    </w:tbl>
    <w:p>
      <w:pPr>
        <w:pStyle w:val="Normal"/>
        <w:rPr>
          <w:rFonts w:cs="Arial"/>
          <w:sz w:val="22"/>
          <w:szCs w:val="22"/>
        </w:rPr>
      </w:pPr>
      <w:r>
        <w:rPr>
          <w:rFonts w:cs="Arial"/>
          <w:sz w:val="22"/>
          <w:szCs w:val="22"/>
        </w:rPr>
      </w:r>
      <w:bookmarkStart w:id="1" w:name="_Hlk95121094"/>
      <w:bookmarkStart w:id="2" w:name="_Hlk95121094"/>
      <w:bookmarkEnd w:id="2"/>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ind w:left="-20" w:right="0" w:hanging="0"/>
              <w:rPr>
                <w:sz w:val="22"/>
                <w:szCs w:val="22"/>
              </w:rPr>
            </w:pPr>
            <w:r>
              <w:rPr>
                <w:sz w:val="22"/>
                <w:szCs w:val="22"/>
              </w:rPr>
              <w:t>Enhanced DBS</w:t>
            </w:r>
          </w:p>
          <w:p>
            <w:pPr>
              <w:pStyle w:val="Normal"/>
              <w:ind w:left="-20" w:right="0" w:hanging="0"/>
              <w:rPr>
                <w:sz w:val="22"/>
                <w:szCs w:val="22"/>
              </w:rPr>
            </w:pPr>
            <w:r>
              <w:rPr>
                <w:sz w:val="22"/>
                <w:szCs w:val="22"/>
              </w:rPr>
            </w:r>
          </w:p>
          <w:p>
            <w:pPr>
              <w:pStyle w:val="Normal"/>
              <w:ind w:left="-20" w:right="0" w:hanging="0"/>
              <w:rPr>
                <w:sz w:val="22"/>
                <w:szCs w:val="22"/>
              </w:rPr>
            </w:pPr>
            <w:r>
              <w:rPr>
                <w:sz w:val="22"/>
                <w:szCs w:val="22"/>
              </w:rPr>
              <w:t>Working flexibly which will include occasional evenings and weekends</w:t>
            </w:r>
          </w:p>
          <w:p>
            <w:pPr>
              <w:pStyle w:val="Normal"/>
              <w:ind w:left="-20" w:right="0" w:hanging="0"/>
              <w:rPr>
                <w:sz w:val="22"/>
                <w:szCs w:val="22"/>
              </w:rPr>
            </w:pPr>
            <w:r>
              <w:rPr>
                <w:sz w:val="22"/>
                <w:szCs w:val="22"/>
              </w:rPr>
            </w:r>
          </w:p>
          <w:p>
            <w:pPr>
              <w:pStyle w:val="Normal"/>
              <w:ind w:left="-20" w:right="0" w:hanging="0"/>
              <w:rPr>
                <w:sz w:val="22"/>
                <w:szCs w:val="22"/>
              </w:rPr>
            </w:pPr>
            <w:r>
              <w:rPr>
                <w:sz w:val="22"/>
                <w:szCs w:val="22"/>
              </w:rPr>
              <w:t xml:space="preserve">Casual car user </w:t>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sz w:val="22"/>
                <w:szCs w:val="22"/>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numPr>
                <w:ilvl w:val="0"/>
                <w:numId w:val="2"/>
              </w:numPr>
              <w:spacing w:before="280" w:after="28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3"/>
              </w:numPr>
              <w:rPr>
                <w:rFonts w:ascii="Arial" w:hAnsi="Arial" w:eastAsia="Arial" w:cs="Arial"/>
              </w:rPr>
            </w:pPr>
            <w:r>
              <w:rPr>
                <w:rFonts w:eastAsia="Arial" w:cs="Arial" w:ascii="Arial" w:hAnsi="Arial"/>
              </w:rPr>
              <w:t>Work with a Resident Focus</w:t>
            </w:r>
          </w:p>
          <w:p>
            <w:pPr>
              <w:pStyle w:val="ListParagraph"/>
              <w:numPr>
                <w:ilvl w:val="0"/>
                <w:numId w:val="3"/>
              </w:numPr>
              <w:rPr>
                <w:rFonts w:ascii="Arial" w:hAnsi="Arial" w:eastAsia="Arial" w:cs="Arial"/>
              </w:rPr>
            </w:pPr>
            <w:r>
              <w:rPr>
                <w:rFonts w:eastAsia="Arial" w:cs="Arial" w:ascii="Arial" w:hAnsi="Arial"/>
              </w:rPr>
              <w:t>Support Local Leaders</w:t>
            </w:r>
          </w:p>
          <w:p>
            <w:pPr>
              <w:pStyle w:val="ListParagraph"/>
              <w:numPr>
                <w:ilvl w:val="0"/>
                <w:numId w:val="3"/>
              </w:numPr>
              <w:rPr>
                <w:rFonts w:ascii="Arial" w:hAnsi="Arial" w:eastAsia="Arial" w:cs="Arial"/>
              </w:rPr>
            </w:pPr>
            <w:r>
              <w:rPr>
                <w:rFonts w:eastAsia="Arial" w:cs="Arial" w:ascii="Arial" w:hAnsi="Arial"/>
              </w:rPr>
              <w:t>Committed to the Borough</w:t>
            </w:r>
          </w:p>
          <w:p>
            <w:pPr>
              <w:pStyle w:val="ListParagraph"/>
              <w:numPr>
                <w:ilvl w:val="0"/>
                <w:numId w:val="3"/>
              </w:numPr>
              <w:rPr>
                <w:rFonts w:ascii="Arial" w:hAnsi="Arial" w:eastAsia="Arial" w:cs="Arial"/>
              </w:rPr>
            </w:pPr>
            <w:r>
              <w:rPr>
                <w:rFonts w:eastAsia="Arial" w:cs="Arial" w:ascii="Arial" w:hAnsi="Arial"/>
              </w:rPr>
              <w:t>Take Ownership and Drive Change</w:t>
            </w:r>
          </w:p>
          <w:p>
            <w:pPr>
              <w:pStyle w:val="ListParagraph"/>
              <w:numPr>
                <w:ilvl w:val="0"/>
                <w:numId w:val="3"/>
              </w:numPr>
              <w:rPr>
                <w:rFonts w:ascii="Arial" w:hAnsi="Arial" w:eastAsia="Arial" w:cs="Arial"/>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rFonts w:eastAsia="Arial" w:cs="Arial"/>
                <w:sz w:val="22"/>
                <w:szCs w:val="22"/>
              </w:rPr>
            </w:pPr>
            <w:r>
              <w:rPr>
                <w:rFonts w:eastAsia="Arial" w:cs="Arial"/>
                <w:sz w:val="22"/>
                <w:szCs w:val="22"/>
              </w:rPr>
              <w:t>More information around our Values and Behaviours can be found on our Greater. Jobs pages together with information about the staff benefits we offer.</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August 2026</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Ailsa Burton</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Challenge and Intervention Officer – Early Years and Primary</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pPr>
      <w:r>
        <w:rPr>
          <w:rFonts w:cs="Arial" w:ascii="Arial" w:hAnsi="Arial"/>
          <w:b/>
          <w:bCs/>
          <w:sz w:val="22"/>
          <w:szCs w:val="22"/>
        </w:rPr>
        <w:t xml:space="preserve">Job Title:     </w:t>
      </w:r>
      <w:r>
        <w:rPr>
          <w:rFonts w:cs="Arial" w:ascii="Arial" w:hAnsi="Arial"/>
          <w:sz w:val="22"/>
          <w:szCs w:val="22"/>
        </w:rPr>
        <w:t>Best Start in Life – Early Years Quality Practitioner</w:t>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Relevant Level 3 qualification in Early Years, Childcare, Education or equivalent.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Evidence of continuing professional development relevant to early years, child development, school readiness, inclusion or family support.</w:t>
            </w:r>
          </w:p>
        </w:tc>
        <w:tc>
          <w:tcPr>
            <w:tcW w:w="3060" w:type="dxa"/>
            <w:tcBorders>
              <w:top w:val="single" w:sz="4" w:space="0" w:color="000000"/>
              <w:left w:val="single" w:sz="4" w:space="0" w:color="000000"/>
              <w:bottom w:val="single" w:sz="4" w:space="0" w:color="000000"/>
            </w:tcBorders>
            <w:shd w:fill="auto" w:val="clear"/>
          </w:tcPr>
          <w:p>
            <w:pPr>
              <w:pStyle w:val="Header"/>
              <w:rPr>
                <w:rFonts w:cs="Arial"/>
                <w:szCs w:val="22"/>
              </w:rPr>
            </w:pPr>
            <w:r>
              <w:rPr>
                <w:rFonts w:cs="Arial"/>
                <w:szCs w:val="22"/>
              </w:rPr>
              <w:t>Level 4 or above qualification in Early Years, Education, Child Development or a related field.</w:t>
            </w:r>
          </w:p>
          <w:p>
            <w:pPr>
              <w:pStyle w:val="Header"/>
              <w:rPr>
                <w:rFonts w:cs="Arial"/>
                <w:szCs w:val="22"/>
              </w:rPr>
            </w:pPr>
            <w:r>
              <w:rPr>
                <w:rFonts w:cs="Arial"/>
                <w:szCs w:val="22"/>
              </w:rPr>
            </w:r>
          </w:p>
          <w:p>
            <w:pPr>
              <w:pStyle w:val="Header"/>
              <w:tabs>
                <w:tab w:val="clear" w:pos="4153"/>
                <w:tab w:val="clear" w:pos="8306"/>
              </w:tabs>
              <w:rPr>
                <w:rFonts w:cs="Arial"/>
                <w:szCs w:val="22"/>
              </w:rPr>
            </w:pPr>
            <w:r>
              <w:rPr>
                <w:rFonts w:cs="Arial"/>
                <w:szCs w:val="22"/>
              </w:rPr>
              <w:t>Relevant training or qualification in coaching, mentoring, quality improvement or workforce development.</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tc>
      </w:tr>
      <w:tr>
        <w:trPr>
          <w:trHeight w:val="6326" w:hRule="atLeast"/>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overflowPunct w:val="true"/>
              <w:textAlignment w:val="baseline"/>
              <w:rPr>
                <w:rFonts w:cs="Arial"/>
                <w:sz w:val="22"/>
                <w:szCs w:val="22"/>
              </w:rPr>
            </w:pPr>
            <w:r>
              <w:rPr>
                <w:rFonts w:cs="Arial"/>
                <w:sz w:val="22"/>
                <w:szCs w:val="22"/>
              </w:rPr>
              <w:t>Experience of working directly with babies, young children (0-5) and their families in education, early years, health or community settings.</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working with early years settings, schools, childminders or family services to improve outcomes for children.</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supporting children's learning, development and wellbeing through targeted interventions and evidence-informed practice.</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building positive relationships and working collaboratively with a range of professionals, families and partner agencies.</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working within a multi-agency environment and contributing to integrated support arrangements for children and families.</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managing sensitive and confidential information in accordance with policies and procedures.</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using assessment information, observations or outcome data to inform support planning and service improvement.</w:t>
            </w:r>
          </w:p>
          <w:p>
            <w:pPr>
              <w:pStyle w:val="Normal"/>
              <w:overflowPunct w:val="true"/>
              <w:textAlignment w:val="baseline"/>
              <w:rPr>
                <w:rFonts w:cs="Arial"/>
                <w:sz w:val="22"/>
                <w:szCs w:val="22"/>
              </w:rPr>
            </w:pPr>
            <w:r>
              <w:rPr>
                <w:rFonts w:cs="Arial"/>
                <w:sz w:val="22"/>
                <w:szCs w:val="22"/>
              </w:rPr>
              <w:t>Experience of coaching, modelling or supporting professional practice with practitioners.</w:t>
            </w:r>
          </w:p>
        </w:tc>
        <w:tc>
          <w:tcPr>
            <w:tcW w:w="3060"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Experience of delivering workforce development, training or workshop sessions.</w:t>
            </w:r>
          </w:p>
          <w:p>
            <w:pPr>
              <w:pStyle w:val="Normal"/>
              <w:rPr>
                <w:sz w:val="22"/>
                <w:szCs w:val="22"/>
              </w:rPr>
            </w:pPr>
            <w:r>
              <w:rPr>
                <w:sz w:val="22"/>
                <w:szCs w:val="22"/>
              </w:rPr>
            </w:r>
          </w:p>
          <w:p>
            <w:pPr>
              <w:pStyle w:val="Normal"/>
              <w:rPr>
                <w:sz w:val="22"/>
                <w:szCs w:val="22"/>
              </w:rPr>
            </w:pPr>
            <w:r>
              <w:rPr>
                <w:sz w:val="22"/>
                <w:szCs w:val="22"/>
              </w:rPr>
              <w:t>Experience of implementing evidence-based programmes such as Making it REAL, aimed at improving children's learning, development and school readiness.</w:t>
            </w:r>
          </w:p>
          <w:p>
            <w:pPr>
              <w:pStyle w:val="Normal"/>
              <w:rPr>
                <w:sz w:val="22"/>
                <w:szCs w:val="22"/>
              </w:rPr>
            </w:pPr>
            <w:r>
              <w:rPr>
                <w:sz w:val="22"/>
                <w:szCs w:val="22"/>
              </w:rPr>
            </w:r>
          </w:p>
          <w:p>
            <w:pPr>
              <w:pStyle w:val="Normal"/>
              <w:rPr>
                <w:sz w:val="22"/>
                <w:szCs w:val="22"/>
              </w:rPr>
            </w:pPr>
            <w:r>
              <w:rPr>
                <w:sz w:val="22"/>
                <w:szCs w:val="22"/>
              </w:rPr>
              <w:t>Experience of facilitating networks or communities of practice.</w:t>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rPr>
              <w:t xml:space="preserve">       </w:t>
            </w:r>
            <w:r>
              <w:rPr>
                <w:rFonts w:cs="Arial"/>
                <w:sz w:val="22"/>
                <w:szCs w:val="22"/>
              </w:rPr>
              <w:t>AF / I</w:t>
            </w:r>
          </w:p>
          <w:p>
            <w:pPr>
              <w:pStyle w:val="Normal"/>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Ability to communicate effectively, both verbally and in writing, with children, families, practitioners and professionals.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build positive relationships and influence practice across a range of early years settings and services.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observe, assess and identify children's strengths and developmental needs and support appropriate next steps.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coach, mentor and model effective early years practice.</w:t>
            </w:r>
          </w:p>
          <w:p>
            <w:pPr>
              <w:pStyle w:val="Normal"/>
              <w:rPr>
                <w:rFonts w:cs="Arial"/>
                <w:sz w:val="22"/>
                <w:szCs w:val="22"/>
              </w:rPr>
            </w:pPr>
            <w:r>
              <w:rPr>
                <w:rFonts w:cs="Arial"/>
                <w:sz w:val="22"/>
                <w:szCs w:val="22"/>
              </w:rPr>
              <w:t>Ability to use data, assessment information and local intelligence to identify priorities and support improvement.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organise and prioritise workload effectively and work independently.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maintain accurate and timely records and reports.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use Microsoft Office applications and electronic recording systems.</w:t>
            </w:r>
          </w:p>
          <w:p>
            <w:pPr>
              <w:pStyle w:val="Normal"/>
              <w:rPr>
                <w:rFonts w:cs="Arial"/>
                <w:sz w:val="22"/>
                <w:szCs w:val="22"/>
              </w:rPr>
            </w:pPr>
            <w:r>
              <w:rPr>
                <w:rFonts w:cs="Arial"/>
                <w:sz w:val="22"/>
                <w:szCs w:val="22"/>
              </w:rPr>
              <w:t>Ability to deliver presentations, workshops and training sessions.</w:t>
            </w:r>
          </w:p>
        </w:tc>
        <w:tc>
          <w:tcPr>
            <w:tcW w:w="3060" w:type="dxa"/>
            <w:tcBorders>
              <w:top w:val="single" w:sz="4" w:space="0" w:color="000000"/>
              <w:left w:val="single" w:sz="4" w:space="0" w:color="000000"/>
              <w:bottom w:val="single" w:sz="4" w:space="0" w:color="000000"/>
            </w:tcBorders>
            <w:shd w:fill="auto" w:val="clear"/>
          </w:tcPr>
          <w:p>
            <w:pPr>
              <w:pStyle w:val="Normal"/>
              <w:ind w:left="360" w:right="0" w:hanging="360"/>
              <w:rPr>
                <w:sz w:val="22"/>
                <w:szCs w:val="22"/>
              </w:rPr>
            </w:pPr>
            <w:r>
              <w:rPr>
                <w:sz w:val="22"/>
                <w:szCs w:val="22"/>
              </w:rPr>
              <w:t xml:space="preserve">Experience of quality </w:t>
            </w:r>
          </w:p>
          <w:p>
            <w:pPr>
              <w:pStyle w:val="Normal"/>
              <w:ind w:left="360" w:right="0" w:hanging="360"/>
              <w:rPr>
                <w:sz w:val="22"/>
                <w:szCs w:val="22"/>
              </w:rPr>
            </w:pPr>
            <w:r>
              <w:rPr>
                <w:sz w:val="22"/>
                <w:szCs w:val="22"/>
              </w:rPr>
              <w:t xml:space="preserve">improvement methodologies </w:t>
            </w:r>
          </w:p>
          <w:p>
            <w:pPr>
              <w:pStyle w:val="Normal"/>
              <w:ind w:left="360" w:right="0" w:hanging="360"/>
              <w:rPr>
                <w:sz w:val="22"/>
                <w:szCs w:val="22"/>
              </w:rPr>
            </w:pPr>
            <w:r>
              <w:rPr>
                <w:sz w:val="22"/>
                <w:szCs w:val="22"/>
              </w:rPr>
              <w:t xml:space="preserve">and self-evaluation </w:t>
            </w:r>
          </w:p>
          <w:p>
            <w:pPr>
              <w:pStyle w:val="Normal"/>
              <w:ind w:left="360" w:right="0" w:hanging="360"/>
              <w:rPr>
                <w:sz w:val="22"/>
                <w:szCs w:val="22"/>
              </w:rPr>
            </w:pPr>
            <w:r>
              <w:rPr>
                <w:sz w:val="22"/>
                <w:szCs w:val="22"/>
              </w:rPr>
              <w:t xml:space="preserve">processes within early years </w:t>
            </w:r>
          </w:p>
          <w:p>
            <w:pPr>
              <w:pStyle w:val="Normal"/>
              <w:ind w:left="360" w:right="0" w:hanging="360"/>
              <w:rPr>
                <w:sz w:val="22"/>
                <w:szCs w:val="22"/>
              </w:rPr>
            </w:pPr>
            <w:r>
              <w:rPr>
                <w:sz w:val="22"/>
                <w:szCs w:val="22"/>
              </w:rPr>
              <w:t>provision.</w:t>
            </w:r>
          </w:p>
          <w:p>
            <w:pPr>
              <w:pStyle w:val="Normal"/>
              <w:ind w:left="360" w:right="0" w:hanging="360"/>
              <w:rPr>
                <w:sz w:val="22"/>
                <w:szCs w:val="22"/>
              </w:rPr>
            </w:pPr>
            <w:r>
              <w:rPr>
                <w:sz w:val="22"/>
                <w:szCs w:val="22"/>
              </w:rPr>
            </w:r>
          </w:p>
          <w:p>
            <w:pPr>
              <w:pStyle w:val="Normal"/>
              <w:ind w:left="360" w:right="0" w:hanging="360"/>
              <w:rPr>
                <w:sz w:val="22"/>
                <w:szCs w:val="22"/>
              </w:rPr>
            </w:pPr>
            <w:r>
              <w:rPr>
                <w:sz w:val="22"/>
                <w:szCs w:val="22"/>
              </w:rPr>
            </w:r>
          </w:p>
          <w:p>
            <w:pPr>
              <w:pStyle w:val="Normal"/>
              <w:ind w:left="0" w:right="0" w:hanging="15"/>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rPr>
                <w:rFonts w:ascii="Arial" w:hAnsi="Arial" w:cs="Arial"/>
                <w:sz w:val="22"/>
                <w:szCs w:val="22"/>
              </w:rPr>
            </w:pPr>
            <w:r>
              <w:rPr>
                <w:rFonts w:cs="Arial" w:ascii="Arial" w:hAnsi="Arial"/>
                <w:sz w:val="22"/>
                <w:szCs w:val="22"/>
              </w:rPr>
            </w:r>
          </w:p>
          <w:p>
            <w:pPr>
              <w:pStyle w:val="Endnote"/>
              <w:rPr/>
            </w:pPr>
            <w:r>
              <w:rPr>
                <w:rFonts w:eastAsia="Arial" w:cs="Arial" w:ascii="Arial" w:hAnsi="Arial"/>
                <w:sz w:val="22"/>
                <w:szCs w:val="22"/>
              </w:rPr>
              <w:t xml:space="preserve">       </w:t>
            </w:r>
            <w:r>
              <w:rPr>
                <w:rFonts w:cs="Arial" w:ascii="Arial" w:hAnsi="Arial"/>
                <w:sz w:val="22"/>
                <w:szCs w:val="22"/>
              </w:rPr>
              <w:t>AF / I</w:t>
            </w:r>
          </w:p>
          <w:p>
            <w:pPr>
              <w:pStyle w:val="Endnote"/>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lang w:val="en-US"/>
              </w:rPr>
            </w:pPr>
            <w:r>
              <w:rPr>
                <w:rFonts w:cs="Arial"/>
                <w:sz w:val="22"/>
                <w:szCs w:val="22"/>
                <w:lang w:val="en-US"/>
              </w:rPr>
              <w:t>Knowledge and understanding of child development from birth to five years and factors affecting children's learning and development.</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the Early Years Foundation Stage Framework and principles of high-quality early years practice.</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Understanding of school readiness and approaches which improve outcomes for young children.</w:t>
            </w:r>
          </w:p>
          <w:p>
            <w:pPr>
              <w:pStyle w:val="Normal"/>
              <w:rPr>
                <w:rFonts w:cs="Arial"/>
                <w:sz w:val="22"/>
                <w:szCs w:val="22"/>
                <w:lang w:val="en-US"/>
              </w:rPr>
            </w:pPr>
            <w:r>
              <w:rPr>
                <w:rFonts w:cs="Arial"/>
                <w:sz w:val="22"/>
                <w:szCs w:val="22"/>
                <w:lang w:val="en-US"/>
              </w:rPr>
              <w:t>Knowledge of the Best Start in Life agenda, Family Hubs and early intervention approaches.</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safeguarding children and sharing information.</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Understanding of the impact of disadvantage and inequalities on children's outcomes and life chances.</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inclusive practice and strategies that support all children to access learning and achieve their potential.</w:t>
            </w:r>
          </w:p>
        </w:tc>
        <w:tc>
          <w:tcPr>
            <w:tcW w:w="3060"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Knowledge of quality assurance and improvement processes within the early years sector.</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Knowledge of evidence-based programmes that support communication and language, early literacy, personal, social and emotional development and school readiness.</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ind w:left="-20" w:right="0" w:hanging="0"/>
              <w:rPr>
                <w:rFonts w:cs="Arial"/>
                <w:sz w:val="22"/>
                <w:szCs w:val="22"/>
              </w:rPr>
            </w:pPr>
            <w:r>
              <w:rPr>
                <w:rFonts w:cs="Arial"/>
                <w:sz w:val="22"/>
                <w:szCs w:val="22"/>
              </w:rPr>
              <w:t>Willingness to work flexibly across schools, early years settings, Family Hubs and community venues.</w:t>
            </w:r>
          </w:p>
          <w:p>
            <w:pPr>
              <w:pStyle w:val="Normal"/>
              <w:ind w:left="-20" w:right="0" w:hanging="0"/>
              <w:rPr>
                <w:rFonts w:cs="Arial"/>
                <w:sz w:val="22"/>
                <w:szCs w:val="22"/>
              </w:rPr>
            </w:pPr>
            <w:r>
              <w:rPr>
                <w:rFonts w:cs="Arial"/>
                <w:sz w:val="22"/>
                <w:szCs w:val="22"/>
              </w:rPr>
            </w:r>
          </w:p>
          <w:p>
            <w:pPr>
              <w:pStyle w:val="Normal"/>
              <w:ind w:left="-20" w:right="0" w:hanging="0"/>
              <w:rPr>
                <w:rFonts w:cs="Arial"/>
                <w:sz w:val="22"/>
                <w:szCs w:val="22"/>
              </w:rPr>
            </w:pPr>
            <w:r>
              <w:rPr>
                <w:rFonts w:cs="Arial"/>
                <w:sz w:val="22"/>
                <w:szCs w:val="22"/>
              </w:rPr>
              <w:t>Ability to work occasional evenings and weekends to meet service needs.</w:t>
            </w:r>
          </w:p>
          <w:p>
            <w:pPr>
              <w:pStyle w:val="Normal"/>
              <w:ind w:left="-20" w:right="0" w:hanging="0"/>
              <w:rPr>
                <w:rFonts w:cs="Arial"/>
                <w:sz w:val="22"/>
                <w:szCs w:val="22"/>
              </w:rPr>
            </w:pPr>
            <w:r>
              <w:rPr>
                <w:rFonts w:cs="Arial"/>
                <w:sz w:val="22"/>
                <w:szCs w:val="22"/>
              </w:rPr>
            </w:r>
          </w:p>
          <w:p>
            <w:pPr>
              <w:pStyle w:val="Normal"/>
              <w:ind w:left="-20" w:right="0" w:hanging="0"/>
              <w:rPr>
                <w:rFonts w:cs="Arial"/>
                <w:sz w:val="22"/>
                <w:szCs w:val="22"/>
              </w:rPr>
            </w:pPr>
            <w:r>
              <w:rPr>
                <w:rFonts w:cs="Arial"/>
                <w:sz w:val="22"/>
                <w:szCs w:val="22"/>
              </w:rPr>
              <w:t>Ability to travel across the borough.</w:t>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ind w:left="-94" w:right="648" w:hanging="0"/>
              <w:rPr>
                <w:rFonts w:eastAsia="Arial" w:cs="Arial"/>
                <w:sz w:val="22"/>
                <w:szCs w:val="22"/>
              </w:rPr>
            </w:pPr>
            <w:r>
              <w:rPr>
                <w:rFonts w:eastAsia="Arial" w:cs="Arial"/>
                <w:sz w:val="22"/>
                <w:szCs w:val="22"/>
              </w:rPr>
              <w:t xml:space="preserve"> </w:t>
            </w:r>
          </w:p>
          <w:p>
            <w:pPr>
              <w:pStyle w:val="Normal"/>
              <w:ind w:left="-94" w:right="648" w:hanging="0"/>
              <w:jc w:val="center"/>
              <w:rPr/>
            </w:pPr>
            <w:r>
              <w:rPr>
                <w:rFonts w:eastAsia="Arial" w:cs="Arial"/>
                <w:sz w:val="22"/>
                <w:szCs w:val="22"/>
              </w:rPr>
              <w:t xml:space="preserve">       </w:t>
            </w:r>
            <w:r>
              <w:rPr>
                <w:rFonts w:cs="Arial"/>
                <w:sz w:val="22"/>
                <w:szCs w:val="22"/>
              </w:rPr>
              <w:t>I</w:t>
            </w:r>
          </w:p>
          <w:p>
            <w:pPr>
              <w:pStyle w:val="Normal"/>
              <w:ind w:left="-94" w:right="648" w:hanging="0"/>
              <w:jc w:val="center"/>
              <w:rPr>
                <w:rFonts w:cs="Arial"/>
                <w:sz w:val="22"/>
                <w:szCs w:val="22"/>
              </w:rPr>
            </w:pPr>
            <w:r>
              <w:rPr>
                <w:rFonts w:cs="Arial"/>
                <w:sz w:val="22"/>
                <w:szCs w:val="22"/>
              </w:rPr>
            </w:r>
          </w:p>
          <w:p>
            <w:pPr>
              <w:pStyle w:val="Normal"/>
              <w:ind w:left="-94" w:right="648" w:hanging="0"/>
              <w:jc w:val="center"/>
              <w:rPr>
                <w:rFonts w:cs="Arial"/>
                <w:sz w:val="22"/>
                <w:szCs w:val="22"/>
              </w:rPr>
            </w:pPr>
            <w:r>
              <w:rPr>
                <w:rFonts w:cs="Arial"/>
                <w:sz w:val="22"/>
                <w:szCs w:val="22"/>
              </w:rPr>
            </w:r>
          </w:p>
          <w:p>
            <w:pPr>
              <w:pStyle w:val="Normal"/>
              <w:ind w:left="-94" w:right="648" w:hanging="0"/>
              <w:jc w:val="center"/>
              <w:rPr/>
            </w:pPr>
            <w:r>
              <w:rPr>
                <w:rFonts w:eastAsia="Arial" w:cs="Arial"/>
                <w:sz w:val="22"/>
                <w:szCs w:val="22"/>
              </w:rPr>
              <w:t xml:space="preserve">      </w:t>
            </w:r>
            <w:r>
              <w:rPr>
                <w:rFonts w:cs="Arial"/>
                <w:sz w:val="22"/>
                <w:szCs w:val="22"/>
              </w:rPr>
              <w:t>I</w:t>
            </w:r>
          </w:p>
          <w:p>
            <w:pPr>
              <w:pStyle w:val="Normal"/>
              <w:ind w:left="-94" w:right="648" w:hanging="0"/>
              <w:jc w:val="center"/>
              <w:rPr>
                <w:rFonts w:cs="Arial"/>
                <w:sz w:val="22"/>
                <w:szCs w:val="22"/>
              </w:rPr>
            </w:pPr>
            <w:r>
              <w:rPr>
                <w:rFonts w:cs="Arial"/>
                <w:sz w:val="22"/>
                <w:szCs w:val="22"/>
              </w:rPr>
            </w:r>
          </w:p>
          <w:p>
            <w:pPr>
              <w:pStyle w:val="Normal"/>
              <w:ind w:left="-94" w:right="648" w:hanging="0"/>
              <w:jc w:val="center"/>
              <w:rPr>
                <w:rFonts w:cs="Arial"/>
                <w:sz w:val="22"/>
                <w:szCs w:val="22"/>
              </w:rPr>
            </w:pPr>
            <w:r>
              <w:rPr>
                <w:rFonts w:cs="Arial"/>
                <w:sz w:val="22"/>
                <w:szCs w:val="22"/>
              </w:rPr>
            </w:r>
          </w:p>
          <w:p>
            <w:pPr>
              <w:pStyle w:val="Normal"/>
              <w:ind w:left="-94" w:right="648" w:hanging="0"/>
              <w:jc w:val="center"/>
              <w:rPr/>
            </w:pPr>
            <w:r>
              <w:rPr>
                <w:rFonts w:eastAsia="Arial" w:cs="Arial"/>
                <w:sz w:val="22"/>
                <w:szCs w:val="22"/>
              </w:rPr>
              <w:t xml:space="preserve">     </w:t>
            </w:r>
            <w:r>
              <w:rPr>
                <w:rFonts w:cs="Arial"/>
                <w:sz w:val="22"/>
                <w:szCs w:val="22"/>
              </w:rPr>
              <w:t>I</w:t>
            </w:r>
          </w:p>
          <w:p>
            <w:pPr>
              <w:pStyle w:val="Normal"/>
              <w:ind w:left="-94" w:right="648" w:hanging="0"/>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Arial" w:hAnsi="Arial" w:cs="Arial" w:hint="default"/>
        <w:sz w:val="22"/>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Arial" w:hAnsi="Arial" w:cs="Arial"/>
      <w:sz w:val="22"/>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InternetLink">
    <w:name w:val="Internet Link"/>
    <w:basedOn w:val="DefaultParagraphFont"/>
    <w:rPr>
      <w:color w:val="0563C1"/>
      <w:u w:val="single"/>
    </w:rPr>
  </w:style>
  <w:style w:type="character" w:styleId="Annotationreference">
    <w:name w:val="annotation reference"/>
    <w:basedOn w:val="DefaultParagraphFont"/>
    <w:qFormat/>
    <w:rPr>
      <w:sz w:val="16"/>
      <w:szCs w:val="16"/>
    </w:rPr>
  </w:style>
  <w:style w:type="character" w:styleId="CommentSubjectChar">
    <w:name w:val="Comment Subject Char"/>
    <w:basedOn w:val="CommentTextChar"/>
    <w:qFormat/>
    <w:rPr>
      <w:rFonts w:ascii="Arial" w:hAnsi="Arial" w:cs="Arial"/>
      <w:b/>
      <w:bCs/>
      <w:lang w:eastAsia="en-US"/>
    </w:rPr>
  </w:style>
  <w:style w:type="character" w:styleId="UnresolvedMention">
    <w:name w:val="Unresolved Mention"/>
    <w:basedOn w:val="DefaultParagraphFont"/>
    <w:qFormat/>
    <w:rPr>
      <w:color w:val="605E5C"/>
      <w:shd w:fill="E1DFDD" w:val="clear"/>
    </w:rPr>
  </w:style>
  <w:style w:type="character" w:styleId="Emphasis">
    <w:name w:val="Emphasis"/>
    <w:basedOn w:val="DefaultParagraphFont"/>
    <w:qFormat/>
    <w:rPr>
      <w:i/>
      <w:iCs/>
    </w:rPr>
  </w:style>
  <w:style w:type="character" w:styleId="FooterChar">
    <w:name w:val="Footer Char"/>
    <w:basedOn w:val="DefaultParagraphFont"/>
    <w:qFormat/>
    <w:rPr>
      <w:rFonts w:ascii="Arial" w:hAnsi="Arial" w:cs="Arial"/>
      <w:sz w:val="24"/>
      <w:szCs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Annotationsubject">
    <w:name w:val="annotation subject"/>
    <w:basedOn w:val="Annotationtext"/>
    <w:next w:val="Annotationtext"/>
    <w:qFormat/>
    <w:pPr/>
    <w:rPr>
      <w:rFonts w:ascii="Arial" w:hAnsi="Arial" w:cs="Arial"/>
      <w:b/>
      <w:bCs/>
    </w:rPr>
  </w:style>
  <w:style w:type="paragraph" w:styleId="Footer">
    <w:name w:val="Footer"/>
    <w:basedOn w:val="Normal"/>
    <w:pPr>
      <w:tabs>
        <w:tab w:val="clear" w:pos="720"/>
        <w:tab w:val="center" w:pos="4513" w:leader="none"/>
        <w:tab w:val="right" w:pos="9026" w:leader="none"/>
      </w:tabs>
    </w:pPr>
    <w:rPr/>
  </w:style>
  <w:style w:type="paragraph" w:styleId="Revision">
    <w:name w:val="Revision"/>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