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cs="Calibri"/>
          <w:b/>
          <w:b/>
          <w:sz w:val="36"/>
          <w:szCs w:val="36"/>
        </w:rPr>
      </w:pPr>
      <w:r>
        <w:rPr>
          <w:rFonts w:cs="Calibri" w:ascii="Calibri" w:hAnsi="Calibri"/>
          <w:b/>
          <w:sz w:val="36"/>
          <w:szCs w:val="36"/>
        </w:rPr>
        <w:drawing>
          <wp:anchor behindDoc="0" distT="0" distB="0" distL="114300" distR="114300" simplePos="0" locked="0" layoutInCell="1" allowOverlap="1" relativeHeight="6">
            <wp:simplePos x="0" y="0"/>
            <wp:positionH relativeFrom="column">
              <wp:posOffset>4783455</wp:posOffset>
            </wp:positionH>
            <wp:positionV relativeFrom="paragraph">
              <wp:posOffset>5080</wp:posOffset>
            </wp:positionV>
            <wp:extent cx="1336675" cy="1331595"/>
            <wp:effectExtent l="0" t="0" r="0" b="0"/>
            <wp:wrapTight wrapText="bothSides">
              <wp:wrapPolygon edited="0">
                <wp:start x="8770" y="0"/>
                <wp:lineTo x="6921" y="397"/>
                <wp:lineTo x="2391" y="2648"/>
                <wp:lineTo x="2187" y="3467"/>
                <wp:lineTo x="338" y="6537"/>
                <wp:lineTo x="-78" y="8781"/>
                <wp:lineTo x="-78" y="13079"/>
                <wp:lineTo x="1157" y="16351"/>
                <wp:lineTo x="4246" y="19623"/>
                <wp:lineTo x="4452" y="20033"/>
                <wp:lineTo x="7945" y="21256"/>
                <wp:lineTo x="8976" y="21256"/>
                <wp:lineTo x="12475" y="21256"/>
                <wp:lineTo x="13300" y="21256"/>
                <wp:lineTo x="16795" y="19825"/>
                <wp:lineTo x="16999" y="19623"/>
                <wp:lineTo x="20089" y="16351"/>
                <wp:lineTo x="21324" y="13079"/>
                <wp:lineTo x="21324" y="8781"/>
                <wp:lineTo x="20909" y="6537"/>
                <wp:lineTo x="19059" y="2648"/>
                <wp:lineTo x="14535" y="397"/>
                <wp:lineTo x="12475" y="0"/>
                <wp:lineTo x="8770" y="0"/>
              </wp:wrapPolygon>
            </wp:wrapTigh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7" t="-27" r="-27" b="-27"/>
                    <a:stretch>
                      <a:fillRect/>
                    </a:stretch>
                  </pic:blipFill>
                  <pic:spPr bwMode="auto">
                    <a:xfrm>
                      <a:off x="0" y="0"/>
                      <a:ext cx="1336675" cy="1331595"/>
                    </a:xfrm>
                    <a:prstGeom prst="rect">
                      <a:avLst/>
                    </a:prstGeom>
                  </pic:spPr>
                </pic:pic>
              </a:graphicData>
            </a:graphic>
          </wp:anchor>
        </w:drawing>
      </w:r>
    </w:p>
    <w:p>
      <w:pPr>
        <w:pStyle w:val="Normal"/>
        <w:jc w:val="both"/>
        <w:rPr>
          <w:rFonts w:ascii="IBM Plex Sans Condensed" w:hAnsi="IBM Plex Sans Condensed" w:eastAsia="Times;Times New Roman" w:cs="IBM Plex Sans Condensed"/>
          <w:b/>
          <w:b/>
          <w:sz w:val="28"/>
          <w:szCs w:val="28"/>
          <w:lang w:eastAsia="en-US"/>
        </w:rPr>
      </w:pPr>
      <w:r>
        <w:rPr>
          <w:rFonts w:eastAsia="Times;Times New Roman" w:cs="IBM Plex Sans Condensed" w:ascii="IBM Plex Sans Condensed" w:hAnsi="IBM Plex Sans Condensed"/>
          <w:b/>
          <w:sz w:val="28"/>
          <w:szCs w:val="28"/>
          <w:lang w:eastAsia="en-US"/>
        </w:rPr>
        <w:t>Psychology is a subject area within Social Science department at Crompton House School</w:t>
      </w:r>
    </w:p>
    <w:p>
      <w:pPr>
        <w:pStyle w:val="Normal"/>
        <w:jc w:val="both"/>
        <w:rPr>
          <w:rFonts w:ascii="IBM Plex Sans Condensed" w:hAnsi="IBM Plex Sans Condensed" w:eastAsia="Times;Times New Roman" w:cs="IBM Plex Sans Condensed"/>
          <w:b/>
          <w:b/>
          <w:sz w:val="22"/>
          <w:szCs w:val="22"/>
          <w:lang w:eastAsia="en-US"/>
        </w:rPr>
      </w:pPr>
      <w:r>
        <w:rPr>
          <w:rFonts w:eastAsia="Times;Times New Roman" w:cs="IBM Plex Sans Condensed" w:ascii="IBM Plex Sans Condensed" w:hAnsi="IBM Plex Sans Condensed"/>
          <w:b/>
          <w:sz w:val="22"/>
          <w:szCs w:val="22"/>
          <w:lang w:eastAsia="en-US"/>
        </w:rPr>
      </w:r>
    </w:p>
    <w:p>
      <w:pPr>
        <w:pStyle w:val="Normal"/>
        <w:jc w:val="both"/>
        <w:rPr>
          <w:rFonts w:ascii="IBM Plex Sans Condensed" w:hAnsi="IBM Plex Sans Condensed" w:eastAsia="Times;Times New Roman" w:cs="IBM Plex Sans Condensed"/>
          <w:sz w:val="22"/>
          <w:szCs w:val="22"/>
          <w:lang w:eastAsia="en-US"/>
        </w:rPr>
      </w:pPr>
      <w:r>
        <w:rPr>
          <w:rFonts w:eastAsia="Times;Times New Roman" w:cs="IBM Plex Sans Condensed" w:ascii="IBM Plex Sans Condensed" w:hAnsi="IBM Plex Sans Condensed"/>
          <w:sz w:val="22"/>
          <w:szCs w:val="22"/>
          <w:lang w:eastAsia="en-US"/>
        </w:rPr>
        <w:t>The Social Science department (Psychology, Sociology, and Health) is a dynamic and successful team that consistently achieves outstanding outcomes for students. Staff work collaboratively to deliver high-quality learning experiences and support student success. GCSE Sociology results are consistently strong, alongside excellent outcomes in A Level Psychology, Sociology and BTEC Health. The department has also recently expanded its provision to include Key Stage 4 courses in both Psychology and Health.</w:t>
      </w:r>
    </w:p>
    <w:p>
      <w:pPr>
        <w:pStyle w:val="Normal"/>
        <w:jc w:val="both"/>
        <w:rPr>
          <w:rFonts w:ascii="IBM Plex Sans Condensed" w:hAnsi="IBM Plex Sans Condensed" w:eastAsia="Times;Times New Roman" w:cs="IBM Plex Sans Condensed"/>
          <w:sz w:val="22"/>
          <w:szCs w:val="22"/>
          <w:lang w:eastAsia="en-US"/>
        </w:rPr>
      </w:pPr>
      <w:r>
        <w:rPr>
          <w:rFonts w:eastAsia="Times;Times New Roman" w:cs="IBM Plex Sans Condensed" w:ascii="IBM Plex Sans Condensed" w:hAnsi="IBM Plex Sans Condensed"/>
          <w:sz w:val="22"/>
          <w:szCs w:val="22"/>
          <w:lang w:eastAsia="en-US"/>
        </w:rPr>
      </w:r>
    </w:p>
    <w:p>
      <w:pPr>
        <w:pStyle w:val="Normal"/>
        <w:jc w:val="both"/>
        <w:rPr>
          <w:rFonts w:ascii="IBM Plex Sans Condensed" w:hAnsi="IBM Plex Sans Condensed" w:eastAsia="Times;Times New Roman" w:cs="IBM Plex Sans Condensed"/>
          <w:sz w:val="22"/>
          <w:szCs w:val="22"/>
          <w:lang w:eastAsia="en-US"/>
        </w:rPr>
      </w:pPr>
      <w:r>
        <w:rPr>
          <w:rFonts w:eastAsia="Times;Times New Roman" w:cs="IBM Plex Sans Condensed" w:ascii="IBM Plex Sans Condensed" w:hAnsi="IBM Plex Sans Condensed"/>
          <w:sz w:val="22"/>
          <w:szCs w:val="22"/>
          <w:lang w:eastAsia="en-US"/>
        </w:rPr>
        <w:t>We are seeking to appoint a Social Science teacher who will be a strong asset to the teaching of Psychology, with the potential to contribute to Sociology and/or Health and Social Care at Key Stages 4 and 5. The successful candidate will embrace the challenges and flexibility of working within a diverse team and, above all, demonstrate a genuine enthusiasm for these subjects.</w:t>
      </w:r>
    </w:p>
    <w:p>
      <w:pPr>
        <w:pStyle w:val="Normal"/>
        <w:jc w:val="both"/>
        <w:rPr>
          <w:rFonts w:ascii="IBM Plex Sans Condensed" w:hAnsi="IBM Plex Sans Condensed" w:eastAsia="Times;Times New Roman" w:cs="IBM Plex Sans Condensed"/>
          <w:sz w:val="22"/>
          <w:szCs w:val="22"/>
          <w:lang w:eastAsia="en-US"/>
        </w:rPr>
      </w:pPr>
      <w:r>
        <w:rPr>
          <w:rFonts w:eastAsia="Times;Times New Roman" w:cs="IBM Plex Sans Condensed" w:ascii="IBM Plex Sans Condensed" w:hAnsi="IBM Plex Sans Condensed"/>
          <w:sz w:val="22"/>
          <w:szCs w:val="22"/>
          <w:lang w:eastAsia="en-US"/>
        </w:rPr>
      </w:r>
    </w:p>
    <w:p>
      <w:pPr>
        <w:pStyle w:val="Normal"/>
        <w:jc w:val="both"/>
        <w:rPr>
          <w:rFonts w:ascii="IBM Plex Sans Condensed" w:hAnsi="IBM Plex Sans Condensed" w:eastAsia="Times;Times New Roman" w:cs="IBM Plex Sans Condensed"/>
          <w:b/>
          <w:b/>
          <w:sz w:val="22"/>
          <w:szCs w:val="22"/>
          <w:lang w:eastAsia="en-US"/>
        </w:rPr>
      </w:pPr>
      <w:r>
        <w:rPr>
          <w:rFonts w:eastAsia="Times;Times New Roman" w:cs="IBM Plex Sans Condensed" w:ascii="IBM Plex Sans Condensed" w:hAnsi="IBM Plex Sans Condensed"/>
          <w:b/>
          <w:sz w:val="22"/>
          <w:szCs w:val="22"/>
          <w:lang w:eastAsia="en-US"/>
        </w:rPr>
        <w:t>The Departments members of staff:</w:t>
      </w:r>
    </w:p>
    <w:p>
      <w:pPr>
        <w:pStyle w:val="Normal"/>
        <w:jc w:val="both"/>
        <w:rPr>
          <w:rFonts w:ascii="IBM Plex Sans Condensed" w:hAnsi="IBM Plex Sans Condensed" w:eastAsia="Times;Times New Roman" w:cs="IBM Plex Sans Condensed"/>
          <w:sz w:val="22"/>
          <w:szCs w:val="22"/>
          <w:lang w:eastAsia="en-US"/>
        </w:rPr>
      </w:pPr>
      <w:r>
        <w:rPr>
          <w:rFonts w:eastAsia="Times;Times New Roman" w:cs="IBM Plex Sans Condensed" w:ascii="IBM Plex Sans Condensed" w:hAnsi="IBM Plex Sans Condensed"/>
          <w:sz w:val="22"/>
          <w:szCs w:val="22"/>
          <w:lang w:eastAsia="en-US"/>
        </w:rPr>
        <w:t>Head of Subject</w:t>
        <w:tab/>
        <w:tab/>
        <w:tab/>
        <w:t>-</w:t>
        <w:tab/>
        <w:t xml:space="preserve">Mrs Lomas </w:t>
      </w:r>
    </w:p>
    <w:p>
      <w:pPr>
        <w:pStyle w:val="Normal"/>
        <w:jc w:val="both"/>
        <w:rPr>
          <w:rFonts w:ascii="IBM Plex Sans Condensed" w:hAnsi="IBM Plex Sans Condensed" w:eastAsia="Times;Times New Roman" w:cs="IBM Plex Sans Condensed"/>
          <w:sz w:val="22"/>
          <w:szCs w:val="22"/>
          <w:lang w:eastAsia="en-US"/>
        </w:rPr>
      </w:pPr>
      <w:r>
        <w:rPr>
          <w:rFonts w:eastAsia="Times;Times New Roman" w:cs="IBM Plex Sans Condensed" w:ascii="IBM Plex Sans Condensed" w:hAnsi="IBM Plex Sans Condensed"/>
          <w:sz w:val="22"/>
          <w:szCs w:val="22"/>
          <w:lang w:eastAsia="en-US"/>
        </w:rPr>
        <w:t xml:space="preserve">Second in charge </w:t>
        <w:tab/>
        <w:tab/>
        <w:t>-</w:t>
        <w:tab/>
        <w:t>Mrs Owen</w:t>
      </w:r>
    </w:p>
    <w:p>
      <w:pPr>
        <w:pStyle w:val="Normal"/>
        <w:jc w:val="both"/>
        <w:rPr>
          <w:rFonts w:ascii="IBM Plex Sans Condensed" w:hAnsi="IBM Plex Sans Condensed" w:eastAsia="Times;Times New Roman" w:cs="IBM Plex Sans Condensed"/>
          <w:sz w:val="22"/>
          <w:szCs w:val="22"/>
          <w:lang w:eastAsia="en-US"/>
        </w:rPr>
      </w:pPr>
      <w:r>
        <w:rPr>
          <w:rFonts w:eastAsia="Times;Times New Roman" w:cs="IBM Plex Sans Condensed" w:ascii="IBM Plex Sans Condensed" w:hAnsi="IBM Plex Sans Condensed"/>
          <w:sz w:val="22"/>
          <w:szCs w:val="22"/>
          <w:lang w:eastAsia="en-US"/>
        </w:rPr>
        <w:t>Teachers of Social Science</w:t>
        <w:tab/>
        <w:t>-</w:t>
        <w:tab/>
        <w:t>Mrs Ward (Head of PSHE)</w:t>
      </w:r>
    </w:p>
    <w:p>
      <w:pPr>
        <w:pStyle w:val="Normal"/>
        <w:numPr>
          <w:ilvl w:val="0"/>
          <w:numId w:val="1"/>
        </w:numPr>
        <w:jc w:val="both"/>
        <w:rPr/>
      </w:pPr>
      <w:r>
        <w:rPr>
          <w:rFonts w:eastAsia="IBM Plex Sans Condensed" w:cs="IBM Plex Sans Condensed" w:ascii="IBM Plex Sans Condensed" w:hAnsi="IBM Plex Sans Condensed"/>
          <w:sz w:val="22"/>
          <w:szCs w:val="22"/>
          <w:lang w:eastAsia="en-US"/>
        </w:rPr>
        <w:t xml:space="preserve">       </w:t>
      </w:r>
      <w:r>
        <w:rPr>
          <w:rFonts w:eastAsia="Times;Times New Roman" w:cs="IBM Plex Sans Condensed" w:ascii="IBM Plex Sans Condensed" w:hAnsi="IBM Plex Sans Condensed"/>
          <w:sz w:val="22"/>
          <w:szCs w:val="22"/>
          <w:lang w:eastAsia="en-US"/>
        </w:rPr>
        <w:t>Miss Lockwood</w:t>
      </w:r>
    </w:p>
    <w:p>
      <w:pPr>
        <w:pStyle w:val="Normal"/>
        <w:numPr>
          <w:ilvl w:val="0"/>
          <w:numId w:val="1"/>
        </w:numPr>
        <w:jc w:val="both"/>
        <w:rPr/>
      </w:pPr>
      <w:r>
        <w:rPr>
          <w:rFonts w:eastAsia="IBM Plex Sans Condensed" w:cs="IBM Plex Sans Condensed" w:ascii="IBM Plex Sans Condensed" w:hAnsi="IBM Plex Sans Condensed"/>
          <w:sz w:val="22"/>
          <w:szCs w:val="22"/>
          <w:lang w:eastAsia="en-US"/>
        </w:rPr>
        <w:t xml:space="preserve">       </w:t>
      </w:r>
      <w:r>
        <w:rPr>
          <w:rFonts w:eastAsia="Times;Times New Roman" w:cs="IBM Plex Sans Condensed" w:ascii="IBM Plex Sans Condensed" w:hAnsi="IBM Plex Sans Condensed"/>
          <w:sz w:val="22"/>
          <w:szCs w:val="22"/>
          <w:lang w:eastAsia="en-US"/>
        </w:rPr>
        <w:t>Mrs Thirlwall</w:t>
      </w:r>
    </w:p>
    <w:p>
      <w:pPr>
        <w:pStyle w:val="Normal"/>
        <w:numPr>
          <w:ilvl w:val="0"/>
          <w:numId w:val="1"/>
        </w:numPr>
        <w:jc w:val="both"/>
        <w:rPr/>
      </w:pPr>
      <w:r>
        <w:rPr>
          <w:rFonts w:eastAsia="IBM Plex Sans Condensed" w:cs="IBM Plex Sans Condensed" w:ascii="IBM Plex Sans Condensed" w:hAnsi="IBM Plex Sans Condensed"/>
          <w:sz w:val="22"/>
          <w:szCs w:val="22"/>
          <w:lang w:eastAsia="en-US"/>
        </w:rPr>
        <w:t xml:space="preserve">       </w:t>
      </w:r>
      <w:r>
        <w:rPr>
          <w:rFonts w:eastAsia="Times;Times New Roman" w:cs="IBM Plex Sans Condensed" w:ascii="IBM Plex Sans Condensed" w:hAnsi="IBM Plex Sans Condensed"/>
          <w:sz w:val="22"/>
          <w:szCs w:val="22"/>
          <w:lang w:eastAsia="en-US"/>
        </w:rPr>
        <w:t xml:space="preserve">Mrs Baker </w:t>
      </w:r>
    </w:p>
    <w:p>
      <w:pPr>
        <w:pStyle w:val="Normal"/>
        <w:jc w:val="both"/>
        <w:rPr>
          <w:rFonts w:ascii="IBM Plex Sans Condensed" w:hAnsi="IBM Plex Sans Condensed" w:eastAsia="Times;Times New Roman" w:cs="IBM Plex Sans Condensed"/>
          <w:sz w:val="22"/>
          <w:szCs w:val="22"/>
          <w:lang w:eastAsia="en-US"/>
        </w:rPr>
      </w:pPr>
      <w:r>
        <w:rPr>
          <w:rFonts w:eastAsia="Times;Times New Roman" w:cs="IBM Plex Sans Condensed" w:ascii="IBM Plex Sans Condensed" w:hAnsi="IBM Plex Sans Condensed"/>
          <w:sz w:val="22"/>
          <w:szCs w:val="22"/>
          <w:lang w:eastAsia="en-US"/>
        </w:rPr>
        <w:tab/>
      </w:r>
    </w:p>
    <w:p>
      <w:pPr>
        <w:pStyle w:val="Normal"/>
        <w:keepNext w:val="true"/>
        <w:numPr>
          <w:ilvl w:val="0"/>
          <w:numId w:val="0"/>
        </w:numPr>
        <w:ind w:left="360" w:right="0" w:hanging="360"/>
        <w:jc w:val="both"/>
        <w:rPr>
          <w:rFonts w:ascii="IBM Plex Sans Condensed" w:hAnsi="IBM Plex Sans Condensed" w:eastAsia="Times;Times New Roman" w:cs="IBM Plex Sans Condensed"/>
          <w:b/>
          <w:b/>
          <w:sz w:val="22"/>
          <w:szCs w:val="22"/>
          <w:lang w:eastAsia="en-US"/>
        </w:rPr>
      </w:pPr>
      <w:r>
        <w:rPr>
          <w:rFonts w:eastAsia="Times;Times New Roman" w:cs="IBM Plex Sans Condensed" w:ascii="IBM Plex Sans Condensed" w:hAnsi="IBM Plex Sans Condensed"/>
          <w:b/>
          <w:sz w:val="22"/>
          <w:szCs w:val="22"/>
          <w:lang w:eastAsia="en-US"/>
        </w:rPr>
        <w:t>Curriculum Time (per fortnight in hours)</w:t>
      </w:r>
    </w:p>
    <w:p>
      <w:pPr>
        <w:pStyle w:val="Normal"/>
        <w:jc w:val="both"/>
        <w:rPr/>
      </w:pPr>
      <w:r>
        <w:rPr>
          <w:rFonts w:eastAsia="Times;Times New Roman" w:cs="IBM Plex Sans Condensed" w:ascii="IBM Plex Sans Condensed" w:hAnsi="IBM Plex Sans Condensed"/>
          <w:b/>
          <w:sz w:val="22"/>
          <w:szCs w:val="22"/>
          <w:lang w:eastAsia="en-US"/>
        </w:rPr>
        <w:t>Years 7, 8 and 9</w:t>
        <w:tab/>
        <w:tab/>
      </w:r>
      <w:r>
        <w:rPr>
          <w:rFonts w:eastAsia="Times;Times New Roman" w:cs="IBM Plex Sans Condensed" w:ascii="IBM Plex Sans Condensed" w:hAnsi="IBM Plex Sans Condensed"/>
          <w:sz w:val="22"/>
          <w:szCs w:val="22"/>
          <w:lang w:eastAsia="en-US"/>
        </w:rPr>
        <w:t>0</w:t>
      </w:r>
    </w:p>
    <w:p>
      <w:pPr>
        <w:pStyle w:val="Normal"/>
        <w:ind w:left="2835" w:right="0" w:hanging="2835"/>
        <w:jc w:val="both"/>
        <w:rPr/>
      </w:pPr>
      <w:r>
        <w:rPr>
          <w:rFonts w:eastAsia="Times;Times New Roman" w:cs="IBM Plex Sans Condensed" w:ascii="IBM Plex Sans Condensed" w:hAnsi="IBM Plex Sans Condensed"/>
          <w:b/>
          <w:sz w:val="22"/>
          <w:szCs w:val="22"/>
          <w:lang w:eastAsia="en-US"/>
        </w:rPr>
        <w:t>Years 10/11</w:t>
      </w:r>
      <w:r>
        <w:rPr>
          <w:rFonts w:eastAsia="Times;Times New Roman" w:cs="IBM Plex Sans Condensed" w:ascii="IBM Plex Sans Condensed" w:hAnsi="IBM Plex Sans Condensed"/>
          <w:sz w:val="22"/>
          <w:szCs w:val="22"/>
          <w:lang w:eastAsia="en-US"/>
        </w:rPr>
        <w:tab/>
        <w:tab/>
        <w:t>5 over 2 weeks (Psychology, Sociology and Health and Social Care as    option subjects)</w:t>
      </w:r>
    </w:p>
    <w:p>
      <w:pPr>
        <w:pStyle w:val="Normal"/>
        <w:ind w:left="2880" w:right="0" w:hanging="2880"/>
        <w:jc w:val="both"/>
        <w:rPr/>
      </w:pPr>
      <w:r>
        <w:rPr>
          <w:rFonts w:eastAsia="Times;Times New Roman" w:cs="IBM Plex Sans Condensed" w:ascii="IBM Plex Sans Condensed" w:hAnsi="IBM Plex Sans Condensed"/>
          <w:b/>
          <w:sz w:val="22"/>
          <w:szCs w:val="22"/>
          <w:lang w:eastAsia="en-US"/>
        </w:rPr>
        <w:t>Years 12/13</w:t>
      </w:r>
      <w:r>
        <w:rPr>
          <w:rFonts w:eastAsia="Times;Times New Roman" w:cs="IBM Plex Sans Condensed" w:ascii="IBM Plex Sans Condensed" w:hAnsi="IBM Plex Sans Condensed"/>
          <w:sz w:val="22"/>
          <w:szCs w:val="22"/>
          <w:lang w:eastAsia="en-US"/>
        </w:rPr>
        <w:tab/>
        <w:t xml:space="preserve">9/10 over 2 weeks (4/5 per teacher) – 8 groups for Psychology, 5 groups for Sociology and 2 groups for Health and Social Care across both year groups. </w:t>
      </w:r>
    </w:p>
    <w:p>
      <w:pPr>
        <w:pStyle w:val="Normal"/>
        <w:keepNext w:val="true"/>
        <w:numPr>
          <w:ilvl w:val="0"/>
          <w:numId w:val="0"/>
        </w:numPr>
        <w:ind w:left="0" w:hanging="0"/>
        <w:jc w:val="both"/>
        <w:rPr>
          <w:rFonts w:ascii="IBM Plex Sans Condensed" w:hAnsi="IBM Plex Sans Condensed" w:eastAsia="Times;Times New Roman" w:cs="IBM Plex Sans Condensed"/>
          <w:b/>
          <w:b/>
          <w:sz w:val="22"/>
          <w:szCs w:val="22"/>
          <w:lang w:eastAsia="en-US"/>
        </w:rPr>
      </w:pPr>
      <w:r>
        <w:rPr>
          <w:rFonts w:eastAsia="Times;Times New Roman" w:cs="IBM Plex Sans Condensed" w:ascii="IBM Plex Sans Condensed" w:hAnsi="IBM Plex Sans Condensed"/>
          <w:b/>
          <w:sz w:val="22"/>
          <w:szCs w:val="22"/>
          <w:lang w:eastAsia="en-US"/>
        </w:rPr>
        <w:t>Rooming</w:t>
      </w:r>
    </w:p>
    <w:p>
      <w:pPr>
        <w:pStyle w:val="Normal"/>
        <w:jc w:val="both"/>
        <w:rPr>
          <w:rFonts w:ascii="IBM Plex Sans Condensed" w:hAnsi="IBM Plex Sans Condensed" w:eastAsia="Times;Times New Roman" w:cs="IBM Plex Sans Condensed"/>
          <w:sz w:val="22"/>
          <w:szCs w:val="22"/>
          <w:lang w:eastAsia="en-US"/>
        </w:rPr>
      </w:pPr>
      <w:r>
        <w:rPr>
          <w:rFonts w:eastAsia="Times;Times New Roman" w:cs="IBM Plex Sans Condensed" w:ascii="IBM Plex Sans Condensed" w:hAnsi="IBM Plex Sans Condensed"/>
          <w:sz w:val="22"/>
          <w:szCs w:val="22"/>
          <w:lang w:eastAsia="en-US"/>
        </w:rPr>
        <w:t xml:space="preserve">There are designated Psychology, Sociology and Health and Social Care classrooms within the Humanities area, which teachers share. The rooms are of an excellent standard, each fitted with an interactive whiteboard, digital projector and storage for the subject areas class sets of textbooks. </w:t>
      </w:r>
    </w:p>
    <w:p>
      <w:pPr>
        <w:pStyle w:val="Normal"/>
        <w:ind w:left="426" w:right="0" w:hanging="0"/>
        <w:jc w:val="both"/>
        <w:rPr>
          <w:rFonts w:ascii="IBM Plex Sans Condensed" w:hAnsi="IBM Plex Sans Condensed" w:eastAsia="Times;Times New Roman" w:cs="IBM Plex Sans Condensed"/>
          <w:sz w:val="22"/>
          <w:szCs w:val="22"/>
          <w:lang w:eastAsia="en-US"/>
        </w:rPr>
      </w:pPr>
      <w:r>
        <w:rPr>
          <w:rFonts w:eastAsia="Times;Times New Roman" w:cs="IBM Plex Sans Condensed" w:ascii="IBM Plex Sans Condensed" w:hAnsi="IBM Plex Sans Condensed"/>
          <w:sz w:val="22"/>
          <w:szCs w:val="22"/>
          <w:lang w:eastAsia="en-US"/>
        </w:rPr>
      </w:r>
    </w:p>
    <w:p>
      <w:pPr>
        <w:pStyle w:val="Normal"/>
        <w:shd w:fill="FFFFFF" w:val="clear"/>
        <w:textAlignment w:val="baseline"/>
        <w:rPr/>
      </w:pPr>
      <w:r>
        <w:rPr>
          <w:rFonts w:cs="IBM Plex Sans Condensed" w:ascii="IBM Plex Sans Condensed" w:hAnsi="IBM Plex Sans Condensed"/>
          <w:b/>
          <w:bCs/>
          <w:color w:val="000000"/>
          <w:sz w:val="22"/>
          <w:szCs w:val="22"/>
        </w:rPr>
        <w:t>Extra-curricular Activities</w:t>
      </w:r>
      <w:r>
        <w:rPr>
          <w:rFonts w:cs="IBM Plex Sans Condensed" w:ascii="IBM Plex Sans Condensed" w:hAnsi="IBM Plex Sans Condensed"/>
          <w:color w:val="000000"/>
          <w:sz w:val="22"/>
          <w:szCs w:val="22"/>
        </w:rPr>
        <w:br/>
        <w:t>We feel we offer a rich and diverse learning experience for pupils, both within the curriculum and beyond. The Social Science department organises a range of trips and activities throughout the year, including a Research Methods project at Chester Zoo, attendance at Criminology conferences, and occasional educational visits such as trips to Shrewsbury Prison. The department also has an active subject prefect team who support other students, contribute to student voice, and assist staff within the department.</w:t>
      </w:r>
    </w:p>
    <w:p>
      <w:pPr>
        <w:pStyle w:val="Normal"/>
        <w:shd w:fill="FFFFFF" w:val="clear"/>
        <w:textAlignment w:val="baseline"/>
        <w:rPr>
          <w:rFonts w:ascii="IBM Plex Sans Condensed" w:hAnsi="IBM Plex Sans Condensed" w:cs="IBM Plex Sans Condensed"/>
          <w:color w:val="000000"/>
          <w:sz w:val="22"/>
          <w:szCs w:val="22"/>
        </w:rPr>
      </w:pPr>
      <w:r>
        <w:rPr>
          <w:rFonts w:cs="IBM Plex Sans Condensed" w:ascii="IBM Plex Sans Condensed" w:hAnsi="IBM Plex Sans Condensed"/>
          <w:color w:val="000000"/>
          <w:sz w:val="22"/>
          <w:szCs w:val="22"/>
        </w:rPr>
        <w:t>Across the wider school, students benefit from lively drama productions, a strong sporting programme, and a wide range of musical and artistic opportunities, alongside Duke of Edinburgh and many other activities and residential trips. We would welcome a teacher who is interested in contributing to and developing the department’s extra-curricular provision.</w:t>
      </w:r>
    </w:p>
    <w:p>
      <w:pPr>
        <w:pStyle w:val="Normal"/>
        <w:rPr/>
      </w:pPr>
      <w:r>
        <w:rPr/>
      </w:r>
    </w:p>
    <w:sectPr>
      <w:headerReference w:type="default" r:id="rId3"/>
      <w:footerReference w:type="default" r:id="rId4"/>
      <w:type w:val="nextPage"/>
      <w:pgSz w:w="11906" w:h="16838"/>
      <w:pgMar w:left="1440" w:right="1440" w:header="706" w:top="1440" w:footer="706"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swiss"/>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 w:name="Calibri">
    <w:charset w:val="00"/>
    <w:family w:val="roman"/>
    <w:pitch w:val="variable"/>
  </w:font>
  <w:font w:name="IBM Plex Sans Condense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drawing>
        <wp:anchor behindDoc="1" distT="0" distB="0" distL="0" distR="0" simplePos="0" locked="0" layoutInCell="1" allowOverlap="1" relativeHeight="5">
          <wp:simplePos x="0" y="0"/>
          <wp:positionH relativeFrom="column">
            <wp:posOffset>-937895</wp:posOffset>
          </wp:positionH>
          <wp:positionV relativeFrom="paragraph">
            <wp:posOffset>-623570</wp:posOffset>
          </wp:positionV>
          <wp:extent cx="7559675" cy="1243330"/>
          <wp:effectExtent l="0" t="0" r="0" b="0"/>
          <wp:wrapNone/>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1"/>
                  <a:srcRect l="-5" t="88400" r="-5" b="-3"/>
                  <a:stretch>
                    <a:fillRect/>
                  </a:stretch>
                </pic:blipFill>
                <pic:spPr bwMode="auto">
                  <a:xfrm>
                    <a:off x="0" y="0"/>
                    <a:ext cx="7559675" cy="124333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0" distR="0" simplePos="0" locked="0" layoutInCell="1" allowOverlap="1" relativeHeight="3">
          <wp:simplePos x="0" y="0"/>
          <wp:positionH relativeFrom="column">
            <wp:posOffset>-938530</wp:posOffset>
          </wp:positionH>
          <wp:positionV relativeFrom="paragraph">
            <wp:posOffset>-460375</wp:posOffset>
          </wp:positionV>
          <wp:extent cx="7559675" cy="1272540"/>
          <wp:effectExtent l="0" t="0" r="0" b="0"/>
          <wp:wrapNone/>
          <wp:docPr id="2"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pic:cNvPicPr>
                    <a:picLocks noChangeAspect="1" noChangeArrowheads="1"/>
                  </pic:cNvPicPr>
                </pic:nvPicPr>
                <pic:blipFill>
                  <a:blip r:embed="rId1"/>
                  <a:srcRect l="-5" t="-3" r="-5" b="88124"/>
                  <a:stretch>
                    <a:fillRect/>
                  </a:stretch>
                </pic:blipFill>
                <pic:spPr bwMode="auto">
                  <a:xfrm>
                    <a:off x="0" y="0"/>
                    <a:ext cx="7559675" cy="127254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3240" w:hanging="360"/>
      </w:pPr>
      <w:rPr>
        <w:rFonts w:ascii="Calibri" w:hAnsi="Calibri" w:cs="Calibri" w:hint="default"/>
        <w:sz w:val="22"/>
        <w:szCs w:val="22"/>
        <w:rFonts w:cs="Calibri"/>
        <w:lang w:eastAsia="en-US"/>
      </w:rPr>
    </w:lvl>
    <w:lvl w:ilvl="1">
      <w:start w:val="1"/>
      <w:numFmt w:val="bullet"/>
      <w:lvlText w:val="o"/>
      <w:lvlJc w:val="left"/>
      <w:pPr>
        <w:ind w:left="3960" w:hanging="360"/>
      </w:pPr>
      <w:rPr>
        <w:rFonts w:ascii="Courier New" w:hAnsi="Courier New" w:cs="Courier New" w:hint="default"/>
        <w:rFonts w:cs="Courier New"/>
      </w:rPr>
    </w:lvl>
    <w:lvl w:ilvl="2">
      <w:start w:val="1"/>
      <w:numFmt w:val="bullet"/>
      <w:lvlText w:val=""/>
      <w:lvlJc w:val="left"/>
      <w:pPr>
        <w:ind w:left="4680" w:hanging="360"/>
      </w:pPr>
      <w:rPr>
        <w:rFonts w:ascii="Wingdings" w:hAnsi="Wingdings" w:cs="Wingdings" w:hint="default"/>
        <w:rFonts w:cs="Wingdings"/>
      </w:rPr>
    </w:lvl>
    <w:lvl w:ilvl="3">
      <w:start w:val="1"/>
      <w:numFmt w:val="bullet"/>
      <w:lvlText w:val=""/>
      <w:lvlJc w:val="left"/>
      <w:pPr>
        <w:ind w:left="5400" w:hanging="360"/>
      </w:pPr>
      <w:rPr>
        <w:rFonts w:ascii="Symbol" w:hAnsi="Symbol" w:cs="Symbol" w:hint="default"/>
        <w:rFonts w:cs="Symbol"/>
      </w:rPr>
    </w:lvl>
    <w:lvl w:ilvl="4">
      <w:start w:val="1"/>
      <w:numFmt w:val="bullet"/>
      <w:lvlText w:val="o"/>
      <w:lvlJc w:val="left"/>
      <w:pPr>
        <w:ind w:left="6120" w:hanging="360"/>
      </w:pPr>
      <w:rPr>
        <w:rFonts w:ascii="Courier New" w:hAnsi="Courier New" w:cs="Courier New" w:hint="default"/>
        <w:rFonts w:cs="Courier New"/>
      </w:rPr>
    </w:lvl>
    <w:lvl w:ilvl="5">
      <w:start w:val="1"/>
      <w:numFmt w:val="bullet"/>
      <w:lvlText w:val=""/>
      <w:lvlJc w:val="left"/>
      <w:pPr>
        <w:ind w:left="6840" w:hanging="360"/>
      </w:pPr>
      <w:rPr>
        <w:rFonts w:ascii="Wingdings" w:hAnsi="Wingdings" w:cs="Wingdings" w:hint="default"/>
        <w:rFonts w:cs="Wingdings"/>
      </w:rPr>
    </w:lvl>
    <w:lvl w:ilvl="6">
      <w:start w:val="1"/>
      <w:numFmt w:val="bullet"/>
      <w:lvlText w:val=""/>
      <w:lvlJc w:val="left"/>
      <w:pPr>
        <w:ind w:left="7560" w:hanging="360"/>
      </w:pPr>
      <w:rPr>
        <w:rFonts w:ascii="Symbol" w:hAnsi="Symbol" w:cs="Symbol" w:hint="default"/>
        <w:rFonts w:cs="Symbol"/>
      </w:rPr>
    </w:lvl>
    <w:lvl w:ilvl="7">
      <w:start w:val="1"/>
      <w:numFmt w:val="bullet"/>
      <w:lvlText w:val="o"/>
      <w:lvlJc w:val="left"/>
      <w:pPr>
        <w:ind w:left="8280" w:hanging="360"/>
      </w:pPr>
      <w:rPr>
        <w:rFonts w:ascii="Courier New" w:hAnsi="Courier New" w:cs="Courier New" w:hint="default"/>
        <w:rFonts w:cs="Courier New"/>
      </w:rPr>
    </w:lvl>
    <w:lvl w:ilvl="8">
      <w:start w:val="1"/>
      <w:numFmt w:val="bullet"/>
      <w:lvlText w:val=""/>
      <w:lvlJc w:val="left"/>
      <w:pPr>
        <w:ind w:left="9000"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en-GB" w:bidi="ar-SA"/>
    </w:rPr>
  </w:style>
  <w:style w:type="character" w:styleId="WW8Num1z0">
    <w:name w:val="WW8Num1z0"/>
    <w:qFormat/>
    <w:rPr>
      <w:rFonts w:ascii="Calibri" w:hAnsi="Calibri" w:eastAsia="Times;Times New Roman" w:cs="Calibri"/>
      <w:sz w:val="22"/>
      <w:szCs w:val="22"/>
      <w:lang w:eastAsia="en-US"/>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Emphasis">
    <w:name w:val="Emphasis"/>
    <w:qFormat/>
    <w:rPr>
      <w:i/>
      <w:iCs/>
    </w:rPr>
  </w:style>
  <w:style w:type="character" w:styleId="BalloonTextChar">
    <w:name w:val="Balloon Text Char"/>
    <w:qFormat/>
    <w:rPr>
      <w:rFonts w:ascii="Tahoma" w:hAnsi="Tahoma" w:cs="Tahoma"/>
      <w:sz w:val="16"/>
      <w:szCs w:val="16"/>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ListParagraph">
    <w:name w:val="List Paragraph"/>
    <w:basedOn w:val="Normal"/>
    <w:qFormat/>
    <w:pPr>
      <w:spacing w:before="0" w:after="0"/>
      <w:ind w:left="720" w:right="0" w:hanging="0"/>
      <w:contextualSpacing/>
    </w:pPr>
    <w:rPr>
      <w:lang w:val="en-US" w:eastAsia="en-US"/>
    </w:rPr>
  </w:style>
  <w:style w:type="paragraph" w:styleId="BalloonText">
    <w:name w:val="Balloon Text"/>
    <w:basedOn w:val="Normal"/>
    <w:qFormat/>
    <w:pPr/>
    <w:rPr>
      <w:rFonts w:ascii="Tahoma" w:hAnsi="Tahoma" w:cs="Tahoma"/>
      <w:sz w:val="16"/>
      <w:szCs w:val="16"/>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Internal Headings</Template>
  <TotalTime>2</TotalTime>
  <Application>LibreOffice/6.3.4.2$Windows_X86_64 LibreOffice_project/60da17e045e08f1793c57c00ba83cdfce946d0aa</Application>
  <Company>chs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2026-04-17T10:54:00Z</dcterms:created>
  <dc:creator>Waite</dc:creator>
  <dc:description/>
  <dc:language>en-US</dc:language>
  <cp:lastModifiedBy>V.Morgan</cp:lastModifiedBy>
  <cp:lastPrinted>1995-11-21T17:41:00Z</cp:lastPrinted>
  <dcterms:modified xsi:type="dcterms:W3CDTF">2026-04-17T10:56:00Z</dcterms:modified>
  <cp:revision>3</cp:revision>
  <dc:subject/>
  <dc:title>HISTORY &amp; POLITICS DEPARTMENT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chs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