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C6D9F1" w:val="clear"/>
        <w:ind w:left="-142" w:right="-472" w:firstLine="142"/>
        <w:jc w:val="center"/>
        <w:rPr>
          <w:rFonts w:ascii="Avenir Book" w:hAnsi="Avenir Book" w:cs="Avenir Book"/>
          <w:b/>
          <w:b/>
          <w:bCs/>
          <w:sz w:val="28"/>
          <w:szCs w:val="28"/>
          <w:u w:val="single"/>
        </w:rPr>
      </w:pPr>
      <w:r>
        <w:rPr>
          <w:rFonts w:cs="Avenir Book" w:ascii="Avenir Book" w:hAnsi="Avenir Book"/>
          <w:b/>
          <w:bCs/>
          <w:sz w:val="28"/>
          <w:szCs w:val="28"/>
          <w:u w:val="single"/>
        </w:rPr>
        <w:t xml:space="preserve">IVORY FEDERATION </w:t>
      </w:r>
    </w:p>
    <w:p>
      <w:pPr>
        <w:pStyle w:val="Normal"/>
        <w:jc w:val="center"/>
        <w:rPr>
          <w:rFonts w:ascii="Avenir Book" w:hAnsi="Avenir Book" w:cs="Avenir Book"/>
          <w:b/>
          <w:b/>
          <w:bCs/>
          <w:sz w:val="28"/>
          <w:szCs w:val="28"/>
          <w:u w:val="single"/>
        </w:rPr>
      </w:pPr>
      <w:r>
        <w:rPr>
          <w:rFonts w:cs="Avenir Book" w:ascii="Avenir Book" w:hAnsi="Avenir Book"/>
          <w:b/>
          <w:bCs/>
          <w:sz w:val="28"/>
          <w:szCs w:val="28"/>
          <w:u w:val="single"/>
        </w:rPr>
        <w:t>JOB DESCRIPTION &amp; PERSON SPECIFICATION</w:t>
      </w:r>
    </w:p>
    <w:p>
      <w:pPr>
        <w:pStyle w:val="Normal"/>
        <w:jc w:val="center"/>
        <w:rPr>
          <w:rFonts w:ascii="Avenir Book" w:hAnsi="Avenir Book" w:cs="Avenir Book"/>
          <w:b/>
          <w:b/>
          <w:bCs/>
          <w:sz w:val="20"/>
          <w:szCs w:val="20"/>
          <w:u w:val="single"/>
        </w:rPr>
      </w:pPr>
      <w:r>
        <w:rPr>
          <w:rFonts w:cs="Avenir Book" w:ascii="Avenir Book" w:hAnsi="Avenir Book"/>
          <w:b/>
          <w:bCs/>
          <w:sz w:val="20"/>
          <w:szCs w:val="20"/>
          <w:u w:val="single"/>
        </w:rPr>
      </w:r>
    </w:p>
    <w:tbl>
      <w:tblPr>
        <w:tblW w:w="1007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7941"/>
      </w:tblGrid>
      <w:tr>
        <w:trPr>
          <w:cantSplit w:val="true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JOB TITLE: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9" w:right="0" w:hanging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Playworker</w:t>
            </w:r>
          </w:p>
        </w:tc>
      </w:tr>
      <w:tr>
        <w:trPr>
          <w:cantSplit w:val="true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LOCATION:           RUSHCROFT PRIMARY SCHOOL  </w:t>
            </w:r>
          </w:p>
        </w:tc>
      </w:tr>
      <w:tr>
        <w:trPr>
          <w:cantSplit w:val="true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GRADE: 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9" w:right="0" w:hanging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Grade 1    POINT 4 (£12.77 p/h)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pacing w:before="0" w:after="0"/>
              <w:contextualSpacing/>
              <w:jc w:val="both"/>
              <w:rPr>
                <w:rFonts w:ascii="Century Gothic" w:hAnsi="Century Gothic" w:cs="Century Gothic"/>
                <w:b/>
                <w:b/>
                <w:bCs/>
                <w:szCs w:val="24"/>
              </w:rPr>
            </w:pPr>
            <w:r>
              <w:rPr>
                <w:rFonts w:cs="Century Gothic" w:ascii="Century Gothic" w:hAnsi="Century Gothic"/>
                <w:b/>
                <w:bCs/>
                <w:szCs w:val="24"/>
              </w:rPr>
              <w:t>JOB PURPOSE</w:t>
            </w:r>
          </w:p>
          <w:p>
            <w:pPr>
              <w:pStyle w:val="Isselectedend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Playworker will support the day-to-day delivery of the school’s Before and After School Club, helping to provide a safe, stimulating and welcoming environment for children aged 4–11 years.</w:t>
            </w:r>
          </w:p>
          <w:p>
            <w:pPr>
              <w:pStyle w:val="Isselectedend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postholder will work as part of the wraparound team to support children’s enjoyment, well-being and positive relationships through engaging play opportunities and activities.</w:t>
            </w:r>
          </w:p>
          <w:p>
            <w:pPr>
              <w:pStyle w:val="NormalWeb"/>
              <w:spacing w:before="280" w:after="28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The role includes supervising children, supporting activities, promoting inclusion, maintaining positive behaviour and following safeguarding, health &amp; safety and school procedures at all times.</w:t>
            </w:r>
          </w:p>
          <w:p>
            <w:pPr>
              <w:pStyle w:val="NormalWeb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66"/>
      </w:tblGrid>
      <w:tr>
        <w:trPr/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KEY TASKS – Service Delivery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Support the delivery of the Wraparound provision, helping to maintain a safe, nurturing and high-quality environment for all children.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2.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Fonts w:cs="Avenir Book" w:ascii="Avenir Book" w:hAnsi="Avenir Book"/>
                <w:color w:val="000000"/>
              </w:rPr>
              <w:t>Support the planning and delivery of engaging, age-appropriate and inclusive activities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ensuring all children’s needs, abilities, interests and backgrounds are considered.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3.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the effective management of behaviour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using restorative, trauma-informed and positive behaviour approaches, promoting respect, responsibility and cooperation.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4.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>
                <w:rFonts w:ascii="Avenir Book" w:hAnsi="Avenir Book" w:cs="Avenir Book"/>
                <w:color w:val="000000"/>
              </w:rPr>
            </w:pPr>
            <w:r>
              <w:rPr>
                <w:rFonts w:cs="Avenir Book" w:ascii="Avenir Book" w:hAnsi="Avenir Book"/>
                <w:color w:val="000000"/>
              </w:rPr>
              <w:t>Follow school safeguarding procedures, reporting any concerns promptly to the designated safeguarding lead or appropriate member of staff.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5.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the safe preparation and serving of snacks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following allergy, dietary and food-hygiene requirements.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6.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Monitor children’s well-being and behaviour</w:t>
            </w:r>
            <w:r>
              <w:rPr>
                <w:rFonts w:cs="Avenir Book" w:ascii="Avenir Book" w:hAnsi="Avenir Book"/>
                <w:bCs/>
                <w:color w:val="000000"/>
              </w:rPr>
              <w:t>, responding appropriately to medical, emotional or behavioural needs.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7.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Carry out first aid duties</w:t>
            </w:r>
            <w:r>
              <w:rPr>
                <w:rFonts w:cs="Avenir Book" w:ascii="Avenir Book" w:hAnsi="Avenir Book"/>
                <w:bCs/>
                <w:color w:val="000000"/>
              </w:rPr>
              <w:t>, ensuring children receive prompt and appropriate care.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8.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ind w:left="33" w:right="0" w:hanging="0"/>
              <w:rPr/>
            </w:pPr>
            <w:r>
              <w:rPr>
                <w:rFonts w:cs="Avenir Book" w:ascii="Avenir Book" w:hAnsi="Avenir Book"/>
                <w:color w:val="000000"/>
              </w:rPr>
              <w:t>Assist with the set-up and pack-away of equipment and resources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ensuring the environment is clean, organised, safe and inviting.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9.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left="33" w:right="0" w:hanging="0"/>
              <w:rPr/>
            </w:pPr>
            <w:r>
              <w:rPr>
                <w:rStyle w:val="Strong"/>
                <w:rFonts w:cs="Avenir Book" w:ascii="Avenir Book" w:hAnsi="Avenir Book"/>
                <w:b w:val="false"/>
                <w:color w:val="000000"/>
              </w:rPr>
              <w:t>Ensure activities and play opportunities comply with relevant health and safety legislation</w:t>
            </w:r>
            <w:r>
              <w:rPr>
                <w:rFonts w:cs="Avenir Book" w:ascii="Avenir Book" w:hAnsi="Avenir Book"/>
                <w:b/>
                <w:color w:val="000000"/>
              </w:rPr>
              <w:t>,</w:t>
            </w:r>
            <w:r>
              <w:rPr>
                <w:rFonts w:cs="Avenir Book" w:ascii="Avenir Book" w:hAnsi="Avenir Book"/>
                <w:bCs/>
                <w:color w:val="000000"/>
              </w:rPr>
              <w:t xml:space="preserve"> </w:t>
            </w:r>
            <w:r>
              <w:rPr>
                <w:rFonts w:cs="Avenir Book" w:ascii="Avenir Book" w:hAnsi="Avenir Book"/>
                <w:color w:val="000000"/>
              </w:rPr>
              <w:t>following health and safety procedures and reporting hazards appropriately</w:t>
            </w:r>
          </w:p>
          <w:p>
            <w:pPr>
              <w:pStyle w:val="NormalWeb"/>
              <w:spacing w:before="280" w:after="0"/>
              <w:ind w:left="33" w:right="0" w:hanging="0"/>
              <w:rPr>
                <w:rFonts w:ascii="Avenir Book" w:hAnsi="Avenir Book" w:cs="Avenir Book"/>
                <w:bCs w:val="false"/>
                <w:color w:val="000000"/>
              </w:rPr>
            </w:pPr>
            <w:r>
              <w:rPr>
                <w:rFonts w:cs="Avenir Book" w:ascii="Avenir Book" w:hAnsi="Avenir Book"/>
                <w:bCs w:val="false"/>
                <w:color w:val="000000"/>
              </w:rPr>
            </w:r>
          </w:p>
        </w:tc>
      </w:tr>
      <w:tr>
        <w:trPr/>
        <w:tc>
          <w:tcPr>
            <w:tcW w:w="101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  <w:t>KEY TASKS – Policies &amp; Procedures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10.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0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Uphold confidentiality, GDPR requirements and professional conduct at all times.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11.</w:t>
            </w:r>
          </w:p>
        </w:tc>
        <w:tc>
          <w:tcPr>
            <w:tcW w:w="95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To ensure all accidents are recorded in the accident book and the appropriate forms are completed.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66"/>
      </w:tblGrid>
      <w:tr>
        <w:trPr>
          <w:cantSplit w:val="true"/>
        </w:trPr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2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STANDARD DUTIES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12.</w:t>
            </w:r>
          </w:p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Promote inclusion, equality and diversity, ensuring all children have equal access to activities and opportunities.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13.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Uphold the values and ethos of the Ivory Federation.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14.</w:t>
            </w:r>
          </w:p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venir Book" w:hAnsi="Avenir Book" w:cs="Avenir Book"/>
                <w:szCs w:val="24"/>
              </w:rPr>
            </w:pPr>
            <w:r>
              <w:rPr>
                <w:rFonts w:cs="Avenir Book" w:ascii="Avenir Book" w:hAnsi="Avenir Book"/>
                <w:szCs w:val="24"/>
              </w:rPr>
              <w:t>Implement and adhere to all school policies including safeguarding, behaviour, anti-bullying, attendance, food hygiene and health &amp; safety.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15.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Participate in relevant training and professional development.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16.</w:t>
            </w:r>
          </w:p>
        </w:tc>
        <w:tc>
          <w:tcPr>
            <w:tcW w:w="956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Attend meetings as required 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>17.</w:t>
            </w:r>
          </w:p>
        </w:tc>
        <w:tc>
          <w:tcPr>
            <w:tcW w:w="95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venir Book" w:hAnsi="Avenir Book" w:cs="Avenir Book"/>
              </w:rPr>
            </w:pPr>
            <w:r>
              <w:rPr>
                <w:rFonts w:cs="Avenir Book" w:ascii="Avenir Book" w:hAnsi="Avenir Book"/>
              </w:rPr>
              <w:t xml:space="preserve">To undertake any other additional duties commensurate with the grade of the post.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jc w:val="both"/>
              <w:rPr/>
            </w:pPr>
            <w:r>
              <w:rPr>
                <w:rFonts w:cs="Century Gothic" w:ascii="Century Gothic" w:hAnsi="Century Gothic"/>
                <w:sz w:val="24"/>
              </w:rPr>
              <w:t xml:space="preserve">CONTACTS: </w:t>
            </w:r>
            <w:r>
              <w:rPr>
                <w:rFonts w:cs="Century Gothic" w:ascii="Century Gothic" w:hAnsi="Century Gothic"/>
                <w:b w:val="false"/>
                <w:bCs w:val="false"/>
              </w:rPr>
              <w:t>Pupils, staff ,parents, carers, visitors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33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7450"/>
      </w:tblGrid>
      <w:tr>
        <w:trPr>
          <w:cantSplit w:val="true"/>
        </w:trPr>
        <w:tc>
          <w:tcPr>
            <w:tcW w:w="10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rFonts w:ascii="Century Gothic" w:hAnsi="Century Gothic" w:cs="Century Gothic"/>
                <w:sz w:val="24"/>
              </w:rPr>
            </w:pPr>
            <w:r>
              <w:rPr>
                <w:rFonts w:cs="Century Gothic" w:ascii="Century Gothic" w:hAnsi="Century Gothic"/>
                <w:sz w:val="24"/>
              </w:rPr>
              <w:t>RELATIONSHIP TO OTHER POSTS IN THE DEPARTMENT</w:t>
            </w:r>
          </w:p>
        </w:tc>
      </w:tr>
      <w:tr>
        <w:trPr/>
        <w:tc>
          <w:tcPr>
            <w:tcW w:w="2683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  <w:t>Responsible to:</w:t>
            </w:r>
          </w:p>
        </w:tc>
        <w:tc>
          <w:tcPr>
            <w:tcW w:w="745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Endnote"/>
              <w:overflowPunct w:val="false"/>
              <w:textAlignment w:val="auto"/>
              <w:rPr>
                <w:rFonts w:ascii="Century Gothic" w:hAnsi="Century Gothic" w:cs="Century Gothic"/>
                <w:color w:val="000000"/>
                <w:szCs w:val="24"/>
              </w:rPr>
            </w:pPr>
            <w:r>
              <w:rPr>
                <w:rFonts w:cs="Century Gothic" w:ascii="Century Gothic" w:hAnsi="Century Gothic"/>
                <w:color w:val="000000"/>
                <w:szCs w:val="24"/>
              </w:rPr>
              <w:t xml:space="preserve">Senior Leadership </w:t>
            </w:r>
          </w:p>
        </w:tc>
      </w:tr>
      <w:tr>
        <w:trPr/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</w:r>
          </w:p>
        </w:tc>
        <w:tc>
          <w:tcPr>
            <w:tcW w:w="745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rPr>
                <w:rFonts w:ascii="Century Gothic" w:hAnsi="Century Gothic" w:cs="Century Gothic"/>
                <w:b/>
                <w:b/>
              </w:rPr>
            </w:pPr>
            <w:r>
              <w:rPr>
                <w:rFonts w:cs="Century Gothic" w:ascii="Century Gothic" w:hAnsi="Century Gothic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134" w:type="dxa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rPr/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rFonts w:ascii="Century Gothic" w:hAnsi="Century Gothic" w:cs="Century Gothic"/>
                <w:sz w:val="24"/>
              </w:rPr>
            </w:pPr>
            <w:r>
              <w:rPr>
                <w:rFonts w:cs="Century Gothic" w:ascii="Century Gothic" w:hAnsi="Century Gothic"/>
                <w:sz w:val="24"/>
              </w:rPr>
              <w:t xml:space="preserve">SPECIAL CONDITIONS </w:t>
            </w:r>
          </w:p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</w:r>
          </w:p>
          <w:p>
            <w:pPr>
              <w:pStyle w:val="Normal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DBS Required – Enhanced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Title"/>
        <w:rPr>
          <w:rFonts w:ascii="Century Gothic" w:hAnsi="Century Gothic" w:cs="Century Gothic"/>
          <w:sz w:val="28"/>
          <w:u w:val="single"/>
        </w:rPr>
      </w:pPr>
      <w:r>
        <w:rPr>
          <w:rFonts w:cs="Century Gothic" w:ascii="Century Gothic" w:hAnsi="Century Gothic"/>
          <w:sz w:val="28"/>
          <w:u w:val="single"/>
        </w:rPr>
        <w:t>PERSON SPECIFICATION</w:t>
      </w:r>
    </w:p>
    <w:p>
      <w:pPr>
        <w:pStyle w:val="Title"/>
        <w:jc w:val="left"/>
        <w:rPr>
          <w:rFonts w:ascii="Century Gothic" w:hAnsi="Century Gothic" w:cs="Century Gothic"/>
          <w:szCs w:val="24"/>
          <w:u w:val="single"/>
        </w:rPr>
      </w:pPr>
      <w:r>
        <w:rPr>
          <w:rFonts w:cs="Century Gothic" w:ascii="Century Gothic" w:hAnsi="Century Gothic"/>
          <w:szCs w:val="24"/>
          <w:u w:val="single"/>
        </w:rPr>
      </w:r>
    </w:p>
    <w:p>
      <w:pPr>
        <w:pStyle w:val="Title"/>
        <w:jc w:val="left"/>
        <w:rPr/>
      </w:pPr>
      <w:r>
        <w:rPr>
          <w:rFonts w:cs="Century Gothic" w:ascii="Century Gothic" w:hAnsi="Century Gothic"/>
          <w:szCs w:val="24"/>
        </w:rPr>
        <w:t xml:space="preserve">Job Title: </w:t>
      </w:r>
      <w:r>
        <w:rPr>
          <w:rFonts w:cs="Century Gothic" w:ascii="Century Gothic" w:hAnsi="Century Gothic"/>
          <w:b w:val="false"/>
          <w:szCs w:val="24"/>
        </w:rPr>
        <w:t>PLAYWORKER</w:t>
      </w:r>
    </w:p>
    <w:p>
      <w:pPr>
        <w:pStyle w:val="Normal"/>
        <w:rPr>
          <w:rFonts w:ascii="Century Gothic" w:hAnsi="Century Gothic" w:cs="Century Gothic"/>
          <w:b/>
          <w:b/>
        </w:rPr>
      </w:pPr>
      <w:r>
        <w:rPr>
          <w:rFonts w:cs="Century Gothic" w:ascii="Century Gothic" w:hAnsi="Century Gothic"/>
          <w:b/>
        </w:rPr>
      </w:r>
    </w:p>
    <w:tbl>
      <w:tblPr>
        <w:tblW w:w="9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681"/>
        <w:gridCol w:w="2640"/>
        <w:gridCol w:w="1454"/>
      </w:tblGrid>
      <w:tr>
        <w:trPr/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Selection Criteria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Essential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Selection Criteria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Desirable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b/>
                <w:b/>
              </w:rPr>
            </w:pPr>
            <w:r>
              <w:rPr>
                <w:rFonts w:cs="Avenir Book" w:ascii="Avenir Book" w:hAnsi="Avenir Book"/>
                <w:b/>
              </w:rPr>
              <w:t>How Assessed</w:t>
            </w:r>
          </w:p>
        </w:tc>
      </w:tr>
      <w:tr>
        <w:trPr>
          <w:trHeight w:val="2555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work towards NVQ Level 3 qualification in Child Care or Playwork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work towards a paediatric first aid qualification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Willingness to gain basic Food Hygiene Certificate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NVQ level 3 in childcare or equivalent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Paediatric first aid qualification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Web"/>
              <w:spacing w:before="280" w:after="0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Basic Food Hygiene Certificate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</w:tc>
      </w:tr>
      <w:tr>
        <w:trPr>
          <w:trHeight w:val="1943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Experience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with children aged 3–11 in an educational, childcare or wraparound setting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planning and leading activities for children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part of a team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managing behaviour and supporting children with SEMH needs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Experience working in a school environment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 / I</w:t>
            </w:r>
          </w:p>
        </w:tc>
      </w:tr>
      <w:tr>
        <w:trPr>
          <w:trHeight w:val="1185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Strong interpersonal and communication skills with children and adults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manage behaviour using restorative and positive approaches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>
                <w:rFonts w:ascii="Avenir Book" w:hAnsi="Avenir Book" w:cs="Avenir Book"/>
                <w:color w:val="000000"/>
                <w:sz w:val="22"/>
                <w:szCs w:val="22"/>
              </w:rPr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support routines and activities effectively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maintain accurate records and follow safeguarding procedures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Ability to respond calmly and effectively in emergencies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AF/I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Knowledge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Understanding of safeguarding, child protection and safer working practices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Knowledge of health &amp; safety, food hygiene and risk assessment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Understanding of inclusive practice and supporting diverse needs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</w:tc>
      </w:tr>
      <w:tr>
        <w:trPr/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venir Book" w:hAnsi="Avenir Book" w:cs="Avenir Book"/>
                <w:b/>
                <w:b/>
                <w:sz w:val="20"/>
                <w:szCs w:val="20"/>
              </w:rPr>
            </w:pPr>
            <w:r>
              <w:rPr>
                <w:rFonts w:cs="Avenir Book" w:ascii="Avenir Book" w:hAnsi="Avenir Book"/>
                <w:b/>
                <w:sz w:val="20"/>
                <w:szCs w:val="20"/>
              </w:rPr>
              <w:t>Work circumstances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Commitment to working the required wraparound hours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Fonts w:cs="Avenir Book" w:ascii="Avenir Book" w:hAnsi="Avenir Book"/>
                <w:color w:val="000000"/>
                <w:sz w:val="22"/>
                <w:szCs w:val="22"/>
              </w:rPr>
              <w:t>Commitment to professional development and training</w:t>
            </w:r>
            <w:r>
              <w:rPr>
                <w:rStyle w:val="Appleconvertedspace"/>
                <w:rFonts w:cs="Avenir Book" w:ascii="Avenir Book" w:hAnsi="Avenir Boo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venir Book" w:hAnsi="Avenir Book" w:cs="Avenir Book"/>
                <w:b/>
                <w:b/>
                <w:sz w:val="22"/>
                <w:szCs w:val="22"/>
              </w:rPr>
            </w:pPr>
            <w:r>
              <w:rPr>
                <w:rFonts w:cs="Avenir Book" w:ascii="Avenir Book" w:hAnsi="Avenir Book"/>
                <w:b/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venir Book" w:hAnsi="Avenir Book" w:cs="Avenir Book"/>
                <w:sz w:val="22"/>
                <w:szCs w:val="22"/>
              </w:rPr>
            </w:pPr>
            <w:r>
              <w:rPr>
                <w:rFonts w:cs="Avenir Book" w:ascii="Avenir Book" w:hAnsi="Avenir Book"/>
                <w:sz w:val="22"/>
                <w:szCs w:val="22"/>
              </w:rPr>
              <w:t>I</w:t>
            </w:r>
          </w:p>
        </w:tc>
      </w:tr>
    </w:tbl>
    <w:p>
      <w:pPr>
        <w:pStyle w:val="Normal"/>
        <w:jc w:val="center"/>
        <w:rPr>
          <w:rFonts w:ascii="Century Gothic" w:hAnsi="Century Gothic" w:cs="Century Gothic"/>
          <w:b/>
          <w:b/>
          <w:sz w:val="20"/>
          <w:szCs w:val="20"/>
        </w:rPr>
      </w:pPr>
      <w:r>
        <w:rPr>
          <w:rFonts w:cs="Century Gothic" w:ascii="Century Gothic" w:hAnsi="Century Gothic"/>
          <w:b/>
          <w:sz w:val="20"/>
          <w:szCs w:val="20"/>
        </w:rPr>
      </w:r>
    </w:p>
    <w:p>
      <w:pPr>
        <w:pStyle w:val="Normal"/>
        <w:spacing w:before="0" w:after="60"/>
        <w:jc w:val="both"/>
        <w:rPr/>
      </w:pPr>
      <w:r>
        <w:rPr>
          <w:rFonts w:cs="Century Gothic" w:ascii="Century Gothic" w:hAnsi="Century Gothic"/>
          <w:i/>
          <w:sz w:val="20"/>
          <w:szCs w:val="20"/>
        </w:rPr>
        <w:t>Abbreviations:</w:t>
      </w:r>
      <w:r>
        <w:rPr>
          <w:rFonts w:cs="Century Gothic" w:ascii="Century Gothic" w:hAnsi="Century Gothic"/>
          <w:sz w:val="20"/>
          <w:szCs w:val="20"/>
        </w:rPr>
        <w:t xml:space="preserve"> AF = Application Form; I = Interview.</w:t>
      </w:r>
    </w:p>
    <w:p>
      <w:pPr>
        <w:pStyle w:val="Normal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 xml:space="preserve">N.B. – Any candidate with a disability who meets the </w:t>
      </w:r>
    </w:p>
    <w:p>
      <w:pPr>
        <w:pStyle w:val="Normal"/>
        <w:jc w:val="center"/>
        <w:rPr>
          <w:rFonts w:ascii="Century Gothic" w:hAnsi="Century Gothic" w:cs="Century Gothic"/>
          <w:b/>
          <w:b/>
          <w:sz w:val="20"/>
          <w:szCs w:val="20"/>
        </w:rPr>
      </w:pPr>
      <w:r>
        <w:rPr>
          <w:rFonts w:cs="Century Gothic" w:ascii="Century Gothic" w:hAnsi="Century Gothic"/>
          <w:b/>
          <w:sz w:val="20"/>
          <w:szCs w:val="20"/>
        </w:rPr>
        <w:t>essential criteria will be guaranteed an interview</w:t>
      </w:r>
    </w:p>
    <w:sectPr>
      <w:footerReference w:type="default" r:id="rId2"/>
      <w:type w:val="nextPage"/>
      <w:pgSz w:w="11906" w:h="16838"/>
      <w:pgMar w:left="1418" w:right="1418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venir Book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Fonts w:eastAsia="Symbol" w:cs="Symbol" w:ascii="Symbol" w:hAnsi="Symbol"/>
        <w:sz w:val="20"/>
      </w:rPr>
      <w:t></w:t>
    </w:r>
    <w:r>
      <w:rPr>
        <w:rFonts w:eastAsia="Arial"/>
        <w:sz w:val="20"/>
      </w:rPr>
      <w:t xml:space="preserve"> </w:t>
    </w:r>
    <w:r>
      <w:rPr>
        <w:sz w:val="20"/>
      </w:rPr>
      <w:t>Oldham Council, 2011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Appleconvertedspace">
    <w:name w:val="apple-converted-space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Times New Roman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overflowPunct w:val="true"/>
      <w:textAlignment w:val="baseline"/>
    </w:pPr>
    <w:rPr>
      <w:rFonts w:cs="Times New Roman"/>
      <w:szCs w:val="20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next w:val="TextBody"/>
    <w:qFormat/>
    <w:pPr>
      <w:overflowPunct w:val="true"/>
      <w:jc w:val="center"/>
      <w:textAlignment w:val="baseline"/>
    </w:pPr>
    <w:rPr>
      <w:rFonts w:cs="Times New Roman"/>
      <w:b/>
      <w:szCs w:val="20"/>
      <w:lang w:eastAsia="en-GB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Isselectedend">
    <w:name w:val="isselectedend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2026-05-15T14:33:00Z</dcterms:created>
  <dc:creator>Elaine Middleton</dc:creator>
  <dc:description/>
  <dc:language>en-US</dc:language>
  <cp:lastModifiedBy>Ian Robinson (HR)</cp:lastModifiedBy>
  <cp:lastPrinted>1995-11-21T17:41:00Z</cp:lastPrinted>
  <dcterms:modified xsi:type="dcterms:W3CDTF">2026-05-15T14:33:00Z</dcterms:modified>
  <cp:revision>2</cp:revision>
  <dc:subject/>
  <dc:title>OLDHAM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