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Default="00F14FC5" w:rsidP="00E05D8F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JOB DESCRIPTION</w:t>
      </w:r>
    </w:p>
    <w:p w:rsidR="00C74865" w:rsidRDefault="00C74865" w:rsidP="00E05D8F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E05D8F" w:rsidRPr="005512E9" w:rsidTr="00DC327B">
        <w:tc>
          <w:tcPr>
            <w:tcW w:w="1451" w:type="dxa"/>
            <w:shd w:val="clear" w:color="auto" w:fill="00B3BE"/>
          </w:tcPr>
          <w:p w:rsidR="00E05D8F" w:rsidRPr="005512E9" w:rsidRDefault="00E05D8F" w:rsidP="00DC327B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E05D8F" w:rsidRPr="005512E9" w:rsidRDefault="00E05D8F" w:rsidP="00DC327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E05D8F" w:rsidRPr="00C357C2" w:rsidRDefault="00E05D8F" w:rsidP="00E05D8F">
            <w:pPr>
              <w:rPr>
                <w:rFonts w:cs="Arial"/>
                <w:b/>
                <w:bCs/>
                <w:color w:val="FF0000"/>
                <w:sz w:val="22"/>
              </w:rPr>
            </w:pPr>
            <w:r w:rsidRPr="00B25FAE">
              <w:rPr>
                <w:rFonts w:cs="Arial"/>
                <w:b/>
                <w:bCs/>
                <w:sz w:val="22"/>
              </w:rPr>
              <w:t xml:space="preserve">Substantive Tutor </w:t>
            </w:r>
            <w:r w:rsidR="00C357C2">
              <w:rPr>
                <w:rFonts w:cs="Arial"/>
                <w:b/>
                <w:bCs/>
                <w:sz w:val="22"/>
              </w:rPr>
              <w:t>–</w:t>
            </w:r>
            <w:r w:rsidRPr="00B25FAE">
              <w:rPr>
                <w:rFonts w:cs="Arial"/>
                <w:b/>
                <w:bCs/>
                <w:sz w:val="22"/>
              </w:rPr>
              <w:t xml:space="preserve"> </w:t>
            </w:r>
            <w:r w:rsidR="00B461F3">
              <w:rPr>
                <w:rFonts w:cs="Arial"/>
                <w:b/>
                <w:bCs/>
                <w:sz w:val="22"/>
              </w:rPr>
              <w:t xml:space="preserve">Community </w:t>
            </w:r>
            <w:r w:rsidR="00206B30">
              <w:rPr>
                <w:rFonts w:cs="Arial"/>
                <w:b/>
                <w:bCs/>
                <w:sz w:val="22"/>
              </w:rPr>
              <w:t>English</w:t>
            </w:r>
            <w:r w:rsidR="00B461F3">
              <w:rPr>
                <w:rFonts w:cs="Arial"/>
                <w:b/>
                <w:bCs/>
                <w:sz w:val="22"/>
              </w:rPr>
              <w:t xml:space="preserve"> and Maths</w:t>
            </w:r>
            <w:r w:rsidR="000A0FD2" w:rsidRPr="000A0FD2">
              <w:rPr>
                <w:rFonts w:cs="Arial"/>
                <w:b/>
                <w:bCs/>
                <w:sz w:val="22"/>
              </w:rPr>
              <w:t xml:space="preserve"> curriculum</w:t>
            </w:r>
          </w:p>
          <w:p w:rsidR="00E05D8F" w:rsidRPr="005512E9" w:rsidRDefault="00E05D8F" w:rsidP="00DC327B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4FC5" w:rsidRPr="005512E9" w:rsidRDefault="00F14FC5" w:rsidP="00E05D8F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2869"/>
        <w:gridCol w:w="6120"/>
      </w:tblGrid>
      <w:tr w:rsidR="00351E66" w:rsidRPr="00C74865" w:rsidTr="00DC4D4E">
        <w:trPr>
          <w:cantSplit/>
        </w:trPr>
        <w:tc>
          <w:tcPr>
            <w:tcW w:w="1451" w:type="dxa"/>
            <w:tcBorders>
              <w:bottom w:val="single" w:sz="4" w:space="0" w:color="auto"/>
              <w:right w:val="nil"/>
            </w:tcBorders>
          </w:tcPr>
          <w:p w:rsidR="00351E66" w:rsidRPr="00C74865" w:rsidRDefault="00351E66" w:rsidP="00DC327B">
            <w:pPr>
              <w:rPr>
                <w:b/>
                <w:sz w:val="22"/>
                <w:szCs w:val="22"/>
              </w:rPr>
            </w:pPr>
            <w:r w:rsidRPr="00C74865">
              <w:rPr>
                <w:b/>
                <w:sz w:val="22"/>
                <w:szCs w:val="22"/>
              </w:rPr>
              <w:t xml:space="preserve">Directorate:  </w:t>
            </w:r>
          </w:p>
        </w:tc>
        <w:tc>
          <w:tcPr>
            <w:tcW w:w="2869" w:type="dxa"/>
            <w:tcBorders>
              <w:left w:val="nil"/>
            </w:tcBorders>
          </w:tcPr>
          <w:p w:rsidR="00351E66" w:rsidRPr="00C74865" w:rsidRDefault="00C357C2" w:rsidP="00DC327B">
            <w:pPr>
              <w:rPr>
                <w:b/>
                <w:sz w:val="22"/>
                <w:szCs w:val="22"/>
              </w:rPr>
            </w:pPr>
            <w:r w:rsidRPr="00C74865">
              <w:rPr>
                <w:rFonts w:cs="Arial"/>
                <w:b/>
                <w:sz w:val="22"/>
                <w:szCs w:val="22"/>
              </w:rPr>
              <w:t>Education, Skills &amp; Early Years</w:t>
            </w:r>
          </w:p>
        </w:tc>
        <w:tc>
          <w:tcPr>
            <w:tcW w:w="6120" w:type="dxa"/>
            <w:tcBorders>
              <w:left w:val="nil"/>
            </w:tcBorders>
            <w:shd w:val="clear" w:color="auto" w:fill="auto"/>
          </w:tcPr>
          <w:p w:rsidR="00351E66" w:rsidRPr="00C74865" w:rsidRDefault="00351E66" w:rsidP="00DC327B">
            <w:pPr>
              <w:rPr>
                <w:b/>
                <w:sz w:val="22"/>
                <w:szCs w:val="22"/>
              </w:rPr>
            </w:pPr>
            <w:r w:rsidRPr="00C74865">
              <w:rPr>
                <w:b/>
                <w:sz w:val="22"/>
                <w:szCs w:val="22"/>
              </w:rPr>
              <w:t xml:space="preserve">Division/Section: </w:t>
            </w:r>
          </w:p>
          <w:p w:rsidR="00351E66" w:rsidRPr="00C74865" w:rsidRDefault="00351E66" w:rsidP="00DC327B">
            <w:pPr>
              <w:rPr>
                <w:rFonts w:cs="Arial"/>
                <w:b/>
                <w:sz w:val="22"/>
                <w:szCs w:val="22"/>
              </w:rPr>
            </w:pPr>
            <w:r w:rsidRPr="00C74865">
              <w:rPr>
                <w:rFonts w:cs="Arial"/>
                <w:b/>
                <w:sz w:val="22"/>
                <w:szCs w:val="22"/>
              </w:rPr>
              <w:t>Lifelong Learning</w:t>
            </w:r>
          </w:p>
          <w:p w:rsidR="00351E66" w:rsidRPr="00C74865" w:rsidRDefault="00351E66" w:rsidP="00DC327B">
            <w:pPr>
              <w:rPr>
                <w:b/>
                <w:sz w:val="22"/>
                <w:szCs w:val="22"/>
              </w:rPr>
            </w:pPr>
          </w:p>
        </w:tc>
      </w:tr>
      <w:tr w:rsidR="00C74865" w:rsidRPr="00C74865" w:rsidTr="00C74865">
        <w:trPr>
          <w:cantSplit/>
        </w:trPr>
        <w:tc>
          <w:tcPr>
            <w:tcW w:w="1451" w:type="dxa"/>
            <w:tcBorders>
              <w:right w:val="nil"/>
            </w:tcBorders>
          </w:tcPr>
          <w:p w:rsidR="00C74865" w:rsidRPr="00C74865" w:rsidRDefault="00C74865" w:rsidP="00DC327B">
            <w:pPr>
              <w:rPr>
                <w:b/>
                <w:sz w:val="22"/>
                <w:szCs w:val="22"/>
              </w:rPr>
            </w:pPr>
            <w:r w:rsidRPr="00C74865">
              <w:rPr>
                <w:b/>
                <w:sz w:val="22"/>
                <w:szCs w:val="22"/>
              </w:rPr>
              <w:t xml:space="preserve">Grade:   </w:t>
            </w:r>
          </w:p>
          <w:p w:rsidR="00C74865" w:rsidRPr="00C74865" w:rsidRDefault="00C74865" w:rsidP="00DC327B">
            <w:pPr>
              <w:rPr>
                <w:b/>
                <w:sz w:val="22"/>
                <w:szCs w:val="22"/>
              </w:rPr>
            </w:pPr>
          </w:p>
        </w:tc>
        <w:tc>
          <w:tcPr>
            <w:tcW w:w="8989" w:type="dxa"/>
            <w:gridSpan w:val="2"/>
            <w:tcBorders>
              <w:left w:val="nil"/>
            </w:tcBorders>
          </w:tcPr>
          <w:p w:rsidR="00C74865" w:rsidRPr="00C74865" w:rsidRDefault="00C357C2" w:rsidP="00DC327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</w:t>
            </w:r>
            <w:r w:rsidR="00C74865" w:rsidRPr="00C74865">
              <w:rPr>
                <w:rFonts w:cs="Arial"/>
                <w:b/>
                <w:szCs w:val="22"/>
              </w:rPr>
              <w:t xml:space="preserve">utor Range (SCP T109) </w:t>
            </w:r>
            <w:r w:rsidR="00706F09">
              <w:rPr>
                <w:rFonts w:cs="Arial"/>
                <w:b/>
                <w:szCs w:val="22"/>
              </w:rPr>
              <w:t>pro rata</w:t>
            </w:r>
          </w:p>
        </w:tc>
      </w:tr>
    </w:tbl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E05D8F">
        <w:trPr>
          <w:trHeight w:val="468"/>
        </w:trPr>
        <w:tc>
          <w:tcPr>
            <w:tcW w:w="10348" w:type="dxa"/>
          </w:tcPr>
          <w:p w:rsidR="005512E9" w:rsidRPr="00E05D8F" w:rsidRDefault="00E05D8F" w:rsidP="004E20E8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05D8F">
              <w:rPr>
                <w:rFonts w:cs="Arial"/>
                <w:b/>
                <w:bCs/>
                <w:sz w:val="22"/>
              </w:rPr>
              <w:t xml:space="preserve">To deliver the allocated teaching hours to learners, to comply with the quality standards of the Service and to ensure high quality </w:t>
            </w:r>
            <w:r w:rsidR="00F575BC">
              <w:rPr>
                <w:rFonts w:cs="Arial"/>
                <w:b/>
                <w:bCs/>
                <w:sz w:val="22"/>
              </w:rPr>
              <w:t xml:space="preserve">course creation, </w:t>
            </w:r>
            <w:r w:rsidRPr="00E05D8F">
              <w:rPr>
                <w:rFonts w:cs="Arial"/>
                <w:b/>
                <w:bCs/>
                <w:sz w:val="22"/>
              </w:rPr>
              <w:t>teaching and learning associated with the post.</w:t>
            </w:r>
          </w:p>
          <w:p w:rsidR="00D04BCD" w:rsidRPr="005512E9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D80C80" w:rsidRDefault="00D80C80">
      <w:pPr>
        <w:rPr>
          <w:rFonts w:cs="Arial"/>
          <w:sz w:val="22"/>
          <w:szCs w:val="22"/>
        </w:rPr>
      </w:pPr>
    </w:p>
    <w:tbl>
      <w:tblPr>
        <w:tblW w:w="98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7"/>
      </w:tblGrid>
      <w:tr w:rsidR="0062713A" w:rsidTr="0062713A">
        <w:trPr>
          <w:trHeight w:val="476"/>
        </w:trPr>
        <w:tc>
          <w:tcPr>
            <w:tcW w:w="9837" w:type="dxa"/>
            <w:vMerge w:val="restart"/>
          </w:tcPr>
          <w:p w:rsidR="0062713A" w:rsidRPr="0062713A" w:rsidRDefault="0062713A" w:rsidP="0062713A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deliver the allocated class teaching hours to learners.</w:t>
            </w:r>
          </w:p>
          <w:p w:rsidR="0062713A" w:rsidRPr="0062713A" w:rsidRDefault="0062713A" w:rsidP="0062713A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0A0FD2">
              <w:rPr>
                <w:rFonts w:ascii="Arial" w:hAnsi="Arial" w:cs="Arial"/>
                <w:sz w:val="24"/>
                <w:szCs w:val="24"/>
              </w:rPr>
              <w:t xml:space="preserve">create tailored learning courses, </w:t>
            </w:r>
            <w:r w:rsidRPr="0062713A">
              <w:rPr>
                <w:rFonts w:ascii="Arial" w:hAnsi="Arial" w:cs="Arial"/>
                <w:sz w:val="24"/>
                <w:szCs w:val="24"/>
              </w:rPr>
              <w:t>prepare schemes of work, lesson plans and relevant resources for the course/s.</w:t>
            </w:r>
          </w:p>
          <w:p w:rsidR="00046547" w:rsidRDefault="0062713A" w:rsidP="00046547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attend</w:t>
            </w:r>
            <w:r w:rsidR="000A0FD2">
              <w:rPr>
                <w:rFonts w:ascii="Arial" w:hAnsi="Arial" w:cs="Arial"/>
                <w:sz w:val="24"/>
                <w:szCs w:val="24"/>
              </w:rPr>
              <w:t xml:space="preserve"> and support IAG processes including</w:t>
            </w:r>
            <w:r w:rsidRPr="006271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0FD2">
              <w:rPr>
                <w:rFonts w:ascii="Arial" w:hAnsi="Arial" w:cs="Arial"/>
                <w:sz w:val="24"/>
                <w:szCs w:val="24"/>
              </w:rPr>
              <w:t xml:space="preserve">skills check and </w:t>
            </w:r>
            <w:r w:rsidRPr="0062713A">
              <w:rPr>
                <w:rFonts w:ascii="Arial" w:hAnsi="Arial" w:cs="Arial"/>
                <w:sz w:val="24"/>
                <w:szCs w:val="24"/>
              </w:rPr>
              <w:t>enrolment sessions as required.</w:t>
            </w:r>
          </w:p>
          <w:p w:rsidR="00046547" w:rsidRPr="00046547" w:rsidRDefault="0062713A" w:rsidP="00046547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046547">
              <w:rPr>
                <w:rFonts w:ascii="Arial" w:hAnsi="Arial" w:cs="Arial"/>
                <w:sz w:val="24"/>
                <w:szCs w:val="24"/>
              </w:rPr>
              <w:t>To complete all appropriate administrative tasks, including completion of registers, learner agreement forms, risk assessments</w:t>
            </w:r>
            <w:r w:rsidR="00B36D03" w:rsidRPr="00046547">
              <w:rPr>
                <w:rFonts w:ascii="Arial" w:hAnsi="Arial" w:cs="Arial"/>
                <w:sz w:val="24"/>
                <w:szCs w:val="24"/>
              </w:rPr>
              <w:t>, evaluations</w:t>
            </w:r>
            <w:r w:rsidRPr="000465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6547" w:rsidRPr="00046547">
              <w:rPr>
                <w:rFonts w:ascii="Arial" w:hAnsi="Arial" w:cs="Arial"/>
                <w:sz w:val="24"/>
                <w:szCs w:val="24"/>
              </w:rPr>
              <w:t>and records for the teaching and learning file in line with Recognising and Recording Progress and Achievement (RARPA).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undertake initial assessment and ongoing assessments for individual learners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update the learner records accordingly</w:t>
            </w:r>
            <w:r w:rsidRPr="0062713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set</w:t>
            </w:r>
            <w:r>
              <w:rPr>
                <w:rFonts w:ascii="Arial" w:hAnsi="Arial" w:cs="Arial"/>
                <w:sz w:val="24"/>
                <w:szCs w:val="24"/>
              </w:rPr>
              <w:t xml:space="preserve">, assess </w:t>
            </w:r>
            <w:r w:rsidRPr="0062713A">
              <w:rPr>
                <w:rFonts w:ascii="Arial" w:hAnsi="Arial" w:cs="Arial"/>
                <w:sz w:val="24"/>
                <w:szCs w:val="24"/>
              </w:rPr>
              <w:t xml:space="preserve">and mark learners’ work and provide feedback to support learning </w:t>
            </w:r>
            <w:proofErr w:type="gramStart"/>
            <w:r w:rsidRPr="0062713A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62713A">
              <w:rPr>
                <w:rFonts w:ascii="Arial" w:hAnsi="Arial" w:cs="Arial"/>
                <w:sz w:val="24"/>
                <w:szCs w:val="24"/>
              </w:rPr>
              <w:t xml:space="preserve"> ensure progress.  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ensure that individual learner needs are met, and progress is monitored and recorded and is reflected in lesson planning.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 xml:space="preserve">To ensure that each session is evaluated, practice reflects changes and impacts on improvement.  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provide tutorial time for learners as directed.</w:t>
            </w:r>
          </w:p>
          <w:p w:rsidR="00264C45" w:rsidRPr="0062713A" w:rsidRDefault="00264C45" w:rsidP="00264C45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attend</w:t>
            </w:r>
            <w:r>
              <w:rPr>
                <w:rFonts w:ascii="Arial" w:hAnsi="Arial" w:cs="Arial"/>
                <w:sz w:val="24"/>
                <w:szCs w:val="24"/>
              </w:rPr>
              <w:t xml:space="preserve"> standardisation </w:t>
            </w:r>
            <w:r w:rsidRPr="0062713A">
              <w:rPr>
                <w:rFonts w:ascii="Arial" w:hAnsi="Arial" w:cs="Arial"/>
                <w:sz w:val="24"/>
                <w:szCs w:val="24"/>
              </w:rPr>
              <w:t xml:space="preserve">meetings </w:t>
            </w:r>
            <w:r>
              <w:rPr>
                <w:rFonts w:ascii="Arial" w:hAnsi="Arial" w:cs="Arial"/>
                <w:sz w:val="24"/>
                <w:szCs w:val="24"/>
              </w:rPr>
              <w:t>and reflect this in your work standards.</w:t>
            </w:r>
          </w:p>
          <w:p w:rsidR="00B36D03" w:rsidRDefault="00264C45" w:rsidP="00B36D03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36D03">
              <w:rPr>
                <w:rFonts w:ascii="Arial" w:hAnsi="Arial" w:cs="Arial"/>
                <w:sz w:val="24"/>
                <w:szCs w:val="24"/>
              </w:rPr>
              <w:t>To be responsible for learners achieving accreditation ensuring alignment to the awarding body.</w:t>
            </w:r>
          </w:p>
          <w:p w:rsidR="00B36D03" w:rsidRPr="0062713A" w:rsidRDefault="00B36D03" w:rsidP="00B36D03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To maintain the quality standards of the Service.</w:t>
            </w:r>
          </w:p>
          <w:p w:rsidR="0062713A" w:rsidRPr="00F575BC" w:rsidRDefault="00B36D03" w:rsidP="00B36D03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lastRenderedPageBreak/>
              <w:t xml:space="preserve">To participate in the appraisal system as required and </w:t>
            </w:r>
            <w:r>
              <w:rPr>
                <w:rFonts w:ascii="Arial" w:hAnsi="Arial" w:cs="Arial"/>
                <w:sz w:val="24"/>
                <w:szCs w:val="24"/>
              </w:rPr>
              <w:t>undertake</w:t>
            </w:r>
            <w:r w:rsidRPr="0062713A">
              <w:rPr>
                <w:rFonts w:ascii="Arial" w:hAnsi="Arial" w:cs="Arial"/>
                <w:sz w:val="24"/>
                <w:szCs w:val="24"/>
              </w:rPr>
              <w:t xml:space="preserve"> Continuous Professional Development as appropriate. </w:t>
            </w: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  <w:tr w:rsidR="0062713A" w:rsidTr="0062713A">
        <w:trPr>
          <w:trHeight w:val="276"/>
        </w:trPr>
        <w:tc>
          <w:tcPr>
            <w:tcW w:w="9837" w:type="dxa"/>
            <w:vMerge/>
          </w:tcPr>
          <w:p w:rsidR="0062713A" w:rsidRPr="0062713A" w:rsidRDefault="0062713A" w:rsidP="00DC327B">
            <w:pPr>
              <w:rPr>
                <w:rFonts w:cs="Arial"/>
              </w:rPr>
            </w:pPr>
          </w:p>
        </w:tc>
      </w:tr>
    </w:tbl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215D97">
        <w:tc>
          <w:tcPr>
            <w:tcW w:w="10440" w:type="dxa"/>
            <w:shd w:val="clear" w:color="auto" w:fill="00B3BE"/>
          </w:tcPr>
          <w:p w:rsidR="00890273" w:rsidRPr="005512E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5512E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uphold and implement policies and procedures of the Council, including customer care, data protection, finance, ICT, </w:t>
            </w:r>
            <w:r w:rsidR="00706F09">
              <w:rPr>
                <w:rFonts w:cs="Arial"/>
                <w:sz w:val="22"/>
                <w:szCs w:val="22"/>
              </w:rPr>
              <w:t xml:space="preserve">Digital, </w:t>
            </w:r>
            <w:r w:rsidRPr="005512E9">
              <w:rPr>
                <w:rFonts w:cs="Arial"/>
                <w:sz w:val="22"/>
                <w:szCs w:val="22"/>
              </w:rPr>
              <w:t>safeguarding and health &amp; safety policies.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:rsidTr="00400D54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:rsidTr="00922661">
        <w:tc>
          <w:tcPr>
            <w:tcW w:w="10440" w:type="dxa"/>
          </w:tcPr>
          <w:p w:rsidR="00E05D8F" w:rsidRDefault="00AC23DF" w:rsidP="00E05D8F">
            <w:pPr>
              <w:rPr>
                <w:rFonts w:cs="Arial"/>
                <w:sz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  <w:r w:rsidR="00E05D8F">
              <w:rPr>
                <w:rFonts w:cs="Arial"/>
                <w:sz w:val="22"/>
                <w:szCs w:val="22"/>
              </w:rPr>
              <w:t xml:space="preserve"> </w:t>
            </w:r>
            <w:r w:rsidR="00E05D8F">
              <w:rPr>
                <w:rFonts w:cs="Arial"/>
                <w:sz w:val="22"/>
              </w:rPr>
              <w:t xml:space="preserve"> Assistant Heads of Service, Managers and Programme Leaders, Support staff, Partners </w:t>
            </w:r>
          </w:p>
          <w:p w:rsidR="00AC23DF" w:rsidRPr="005512E9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</w:p>
          <w:p w:rsidR="00AC23DF" w:rsidRPr="005512E9" w:rsidRDefault="00E05D8F" w:rsidP="00AC23D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</w:t>
            </w: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5512E9" w:rsidTr="00AF1AED">
        <w:tc>
          <w:tcPr>
            <w:tcW w:w="10440" w:type="dxa"/>
            <w:shd w:val="clear" w:color="auto" w:fill="00B3BE"/>
          </w:tcPr>
          <w:p w:rsidR="00AF1AED" w:rsidRPr="005512E9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:rsidR="00AF1AED" w:rsidRPr="005512E9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:rsidTr="00AF1AED">
        <w:trPr>
          <w:trHeight w:val="518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5512E9" w:rsidRDefault="00E05D8F" w:rsidP="00AF1AED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665E87">
              <w:rPr>
                <w:b w:val="0"/>
                <w:szCs w:val="22"/>
              </w:rPr>
              <w:t>Curriculum Manager</w:t>
            </w:r>
          </w:p>
        </w:tc>
      </w:tr>
      <w:tr w:rsidR="00AF1AED" w:rsidRPr="005512E9" w:rsidTr="00AF1AED">
        <w:trPr>
          <w:trHeight w:val="517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5512E9" w:rsidRDefault="00E05D8F" w:rsidP="00AF1AED">
            <w:pPr>
              <w:rPr>
                <w:rFonts w:cs="Arial"/>
                <w:sz w:val="22"/>
                <w:szCs w:val="22"/>
              </w:rPr>
            </w:pPr>
            <w:r w:rsidRPr="00665E87">
              <w:rPr>
                <w:sz w:val="22"/>
                <w:szCs w:val="22"/>
              </w:rPr>
              <w:t>N/A</w:t>
            </w:r>
          </w:p>
        </w:tc>
      </w:tr>
      <w:bookmarkEnd w:id="0"/>
    </w:tbl>
    <w:p w:rsidR="00EF3AB9" w:rsidRPr="005512E9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CB7954">
        <w:tc>
          <w:tcPr>
            <w:tcW w:w="10440" w:type="dxa"/>
          </w:tcPr>
          <w:p w:rsidR="00F14FC5" w:rsidRPr="005512E9" w:rsidRDefault="00F14FC5" w:rsidP="00706F09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06F09">
              <w:rPr>
                <w:rFonts w:cs="Arial"/>
                <w:sz w:val="22"/>
              </w:rPr>
              <w:t xml:space="preserve">Basic </w:t>
            </w:r>
            <w:r w:rsidR="00E05D8F">
              <w:rPr>
                <w:rFonts w:cs="Arial"/>
                <w:sz w:val="22"/>
              </w:rPr>
              <w:t>DBS Disclosure required</w:t>
            </w:r>
          </w:p>
        </w:tc>
      </w:tr>
    </w:tbl>
    <w:p w:rsidR="00DC4794" w:rsidRPr="005512E9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C357C2" w:rsidRPr="005512E9" w:rsidTr="00086E02">
        <w:tc>
          <w:tcPr>
            <w:tcW w:w="10440" w:type="dxa"/>
          </w:tcPr>
          <w:p w:rsidR="00C357C2" w:rsidRPr="005512E9" w:rsidRDefault="00C357C2" w:rsidP="00086E02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C357C2" w:rsidRPr="005512E9" w:rsidRDefault="00C357C2" w:rsidP="00086E0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357C2" w:rsidRPr="005512E9" w:rsidTr="00086E02">
        <w:trPr>
          <w:trHeight w:val="518"/>
        </w:trPr>
        <w:tc>
          <w:tcPr>
            <w:tcW w:w="10440" w:type="dxa"/>
          </w:tcPr>
          <w:p w:rsidR="00C357C2" w:rsidRPr="005512E9" w:rsidRDefault="00C357C2" w:rsidP="00086E02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</w:t>
            </w:r>
            <w:proofErr w:type="spell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Behaviours</w:t>
            </w:r>
            <w:proofErr w:type="spell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ambitions for Oldham.</w:t>
            </w:r>
          </w:p>
          <w:p w:rsidR="00C357C2" w:rsidRPr="005512E9" w:rsidRDefault="00C357C2" w:rsidP="00086E02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:rsidR="00C357C2" w:rsidRPr="005512E9" w:rsidRDefault="00C357C2" w:rsidP="00086E02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C357C2" w:rsidRPr="005512E9" w:rsidRDefault="00C357C2" w:rsidP="00086E02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C357C2" w:rsidRPr="005512E9" w:rsidRDefault="00C357C2" w:rsidP="00086E02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C357C2" w:rsidRPr="005512E9" w:rsidRDefault="00C357C2" w:rsidP="00086E02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We </w:t>
            </w:r>
            <w:proofErr w:type="spell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recognise</w:t>
            </w:r>
            <w:proofErr w:type="spell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the challenges we face and are committed to setting high aspirations to overcome them, with determination and focus.</w:t>
            </w:r>
          </w:p>
          <w:p w:rsidR="00C357C2" w:rsidRPr="005512E9" w:rsidRDefault="00C357C2" w:rsidP="00086E02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C357C2" w:rsidRPr="005512E9" w:rsidRDefault="00C357C2" w:rsidP="00086E02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C357C2" w:rsidRPr="005512E9" w:rsidTr="00086E02">
        <w:trPr>
          <w:trHeight w:val="518"/>
        </w:trPr>
        <w:tc>
          <w:tcPr>
            <w:tcW w:w="10440" w:type="dxa"/>
          </w:tcPr>
          <w:p w:rsidR="00C357C2" w:rsidRPr="005512E9" w:rsidRDefault="00C357C2" w:rsidP="00086E02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proofErr w:type="spellStart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Behaviours</w:t>
            </w:r>
            <w:proofErr w:type="spellEnd"/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:rsidR="00C357C2" w:rsidRPr="005512E9" w:rsidRDefault="00C357C2" w:rsidP="00086E02">
            <w:pPr>
              <w:rPr>
                <w:rFonts w:eastAsia="Arial" w:cs="Arial"/>
                <w:sz w:val="22"/>
                <w:szCs w:val="22"/>
              </w:rPr>
            </w:pPr>
          </w:p>
          <w:p w:rsidR="00C357C2" w:rsidRPr="005512E9" w:rsidRDefault="00C357C2" w:rsidP="00C357C2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C357C2" w:rsidRPr="005512E9" w:rsidRDefault="00C357C2" w:rsidP="00C357C2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C357C2" w:rsidRPr="005512E9" w:rsidRDefault="00C357C2" w:rsidP="00C357C2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C357C2" w:rsidRPr="005512E9" w:rsidRDefault="00C357C2" w:rsidP="00C357C2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C357C2" w:rsidRPr="005512E9" w:rsidRDefault="00C357C2" w:rsidP="00C357C2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C357C2" w:rsidRPr="005512E9" w:rsidRDefault="00C357C2" w:rsidP="00086E02">
            <w:pPr>
              <w:rPr>
                <w:rFonts w:eastAsia="Arial" w:cs="Arial"/>
                <w:sz w:val="22"/>
                <w:szCs w:val="22"/>
              </w:rPr>
            </w:pPr>
          </w:p>
          <w:p w:rsidR="00C357C2" w:rsidRPr="005512E9" w:rsidRDefault="00C357C2" w:rsidP="00086E02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C357C2" w:rsidRPr="005512E9" w:rsidRDefault="00C357C2" w:rsidP="00086E02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5512E9" w:rsidRDefault="00365733" w:rsidP="00DC4794">
      <w:pPr>
        <w:rPr>
          <w:rFonts w:cs="Arial"/>
          <w:sz w:val="22"/>
          <w:szCs w:val="22"/>
        </w:rPr>
      </w:pPr>
    </w:p>
    <w:p w:rsidR="00365733" w:rsidRPr="005512E9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5512E9" w:rsidTr="00CB7954">
        <w:tc>
          <w:tcPr>
            <w:tcW w:w="1620" w:type="dxa"/>
            <w:shd w:val="clear" w:color="auto" w:fill="00B3BE"/>
          </w:tcPr>
          <w:p w:rsidR="00DC4794" w:rsidRPr="005512E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E05D8F" w:rsidRPr="005512E9" w:rsidTr="00CB7954"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21</w:t>
            </w:r>
            <w:r>
              <w:rPr>
                <w:rFonts w:cs="Arial"/>
                <w:sz w:val="22"/>
                <w:vertAlign w:val="superscript"/>
              </w:rPr>
              <w:t>st</w:t>
            </w:r>
            <w:r>
              <w:rPr>
                <w:rFonts w:cs="Arial"/>
                <w:sz w:val="22"/>
              </w:rPr>
              <w:t xml:space="preserve"> June 2007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Caroline Ballard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Quality, MIS &amp; Marketing Coordinator</w:t>
            </w:r>
          </w:p>
        </w:tc>
      </w:tr>
      <w:tr w:rsidR="00E05D8F" w:rsidRPr="005512E9" w:rsidTr="00CB7954"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10</w:t>
            </w:r>
            <w:r>
              <w:rPr>
                <w:rFonts w:cs="Arial"/>
                <w:sz w:val="22"/>
                <w:vertAlign w:val="superscript"/>
              </w:rPr>
              <w:t>th</w:t>
            </w:r>
            <w:r>
              <w:rPr>
                <w:rFonts w:cs="Arial"/>
                <w:sz w:val="22"/>
              </w:rPr>
              <w:t xml:space="preserve"> January 2009 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Mary Grainger 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Curriculum Coordinator </w:t>
            </w:r>
          </w:p>
        </w:tc>
      </w:tr>
      <w:tr w:rsidR="00E05D8F" w:rsidRPr="005512E9" w:rsidTr="00CB7954"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October 2013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SMT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SMT</w:t>
            </w:r>
          </w:p>
        </w:tc>
      </w:tr>
      <w:tr w:rsidR="00E05D8F" w:rsidRPr="005512E9" w:rsidTr="00E05D8F">
        <w:trPr>
          <w:trHeight w:val="328"/>
        </w:trPr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September 2018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SMT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SMT</w:t>
            </w:r>
          </w:p>
        </w:tc>
      </w:tr>
      <w:tr w:rsidR="00E05D8F" w:rsidRPr="005512E9" w:rsidTr="00CB7954"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July 2019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Catherine Irwin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Assistant Head of Service</w:t>
            </w:r>
          </w:p>
        </w:tc>
      </w:tr>
      <w:tr w:rsidR="00E05D8F" w:rsidRPr="005512E9" w:rsidTr="00CB7954">
        <w:tc>
          <w:tcPr>
            <w:tcW w:w="162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February 2020</w:t>
            </w:r>
          </w:p>
        </w:tc>
        <w:tc>
          <w:tcPr>
            <w:tcW w:w="21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Catherine Irwin</w:t>
            </w:r>
          </w:p>
        </w:tc>
        <w:tc>
          <w:tcPr>
            <w:tcW w:w="4860" w:type="dxa"/>
          </w:tcPr>
          <w:p w:rsidR="00E05D8F" w:rsidRPr="005512E9" w:rsidRDefault="00E05D8F" w:rsidP="00E05D8F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Assistant Head of Service</w:t>
            </w:r>
          </w:p>
        </w:tc>
      </w:tr>
      <w:tr w:rsidR="00706F09" w:rsidRPr="005512E9" w:rsidTr="00CB7954">
        <w:tc>
          <w:tcPr>
            <w:tcW w:w="1620" w:type="dxa"/>
          </w:tcPr>
          <w:p w:rsidR="00706F09" w:rsidRPr="005512E9" w:rsidRDefault="00706F09" w:rsidP="00706F0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706F09" w:rsidRDefault="00706F09" w:rsidP="00706F09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October 2024</w:t>
            </w:r>
          </w:p>
        </w:tc>
        <w:tc>
          <w:tcPr>
            <w:tcW w:w="2160" w:type="dxa"/>
          </w:tcPr>
          <w:p w:rsidR="00706F09" w:rsidRDefault="00706F09" w:rsidP="00706F09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Catherine Irwin</w:t>
            </w:r>
          </w:p>
        </w:tc>
        <w:tc>
          <w:tcPr>
            <w:tcW w:w="4860" w:type="dxa"/>
          </w:tcPr>
          <w:p w:rsidR="00706F09" w:rsidRDefault="00706F09" w:rsidP="00706F09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Assistant Head of Service</w:t>
            </w:r>
          </w:p>
        </w:tc>
      </w:tr>
    </w:tbl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sz w:val="22"/>
          <w:szCs w:val="22"/>
        </w:rPr>
        <w:br w:type="page"/>
      </w:r>
      <w:bookmarkStart w:id="1" w:name="_Hlk126827677"/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E05D8F" w:rsidRPr="00E05D8F" w:rsidRDefault="00F14FC5" w:rsidP="00E05D8F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PERSON SPECIFICATION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80"/>
        <w:gridCol w:w="3932"/>
        <w:gridCol w:w="1985"/>
        <w:gridCol w:w="1115"/>
        <w:gridCol w:w="114"/>
      </w:tblGrid>
      <w:tr w:rsidR="00E05D8F" w:rsidRPr="00E05D8F" w:rsidTr="00C357C2">
        <w:trPr>
          <w:gridAfter w:val="1"/>
          <w:wAfter w:w="114" w:type="dxa"/>
        </w:trPr>
        <w:tc>
          <w:tcPr>
            <w:tcW w:w="8912" w:type="dxa"/>
            <w:gridSpan w:val="4"/>
            <w:shd w:val="clear" w:color="auto" w:fill="auto"/>
          </w:tcPr>
          <w:p w:rsidR="00E05D8F" w:rsidRPr="00E05D8F" w:rsidRDefault="00E05D8F" w:rsidP="00DC327B">
            <w:pPr>
              <w:rPr>
                <w:rFonts w:cs="Arial"/>
                <w:b/>
                <w:sz w:val="20"/>
                <w:szCs w:val="20"/>
              </w:rPr>
            </w:pPr>
          </w:p>
          <w:p w:rsidR="00E05D8F" w:rsidRPr="00F575BC" w:rsidRDefault="00E05D8F" w:rsidP="00DC327B">
            <w:pPr>
              <w:rPr>
                <w:rFonts w:cs="Arial"/>
                <w:b/>
              </w:rPr>
            </w:pPr>
            <w:r w:rsidRPr="00F575BC">
              <w:rPr>
                <w:rFonts w:cs="Arial"/>
                <w:b/>
              </w:rPr>
              <w:t xml:space="preserve">Job Title: Substantive Tutor:  </w:t>
            </w:r>
            <w:r w:rsidR="00B461F3">
              <w:rPr>
                <w:rFonts w:cs="Arial"/>
                <w:b/>
              </w:rPr>
              <w:t xml:space="preserve">Community English and </w:t>
            </w:r>
            <w:r w:rsidR="00046547">
              <w:rPr>
                <w:rFonts w:cs="Arial"/>
                <w:b/>
              </w:rPr>
              <w:t>Maths</w:t>
            </w:r>
            <w:r w:rsidR="00C357C2" w:rsidRPr="00F575BC">
              <w:rPr>
                <w:rFonts w:cs="Arial"/>
                <w:b/>
              </w:rPr>
              <w:t xml:space="preserve"> Curriculum</w:t>
            </w:r>
            <w:r w:rsidRPr="00F575BC">
              <w:rPr>
                <w:rFonts w:cs="Arial"/>
                <w:b/>
              </w:rPr>
              <w:t xml:space="preserve"> </w:t>
            </w:r>
          </w:p>
          <w:p w:rsidR="00E05D8F" w:rsidRPr="00E05D8F" w:rsidRDefault="00E05D8F" w:rsidP="00DC327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05D8F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bottom w:val="nil"/>
            </w:tcBorders>
            <w:shd w:val="clear" w:color="auto" w:fill="00B3BE"/>
          </w:tcPr>
          <w:p w:rsidR="00E05D8F" w:rsidRPr="00E05D8F" w:rsidRDefault="00E05D8F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nil"/>
            </w:tcBorders>
            <w:shd w:val="clear" w:color="auto" w:fill="auto"/>
          </w:tcPr>
          <w:p w:rsidR="00E05D8F" w:rsidRPr="0062713A" w:rsidRDefault="00E05D8F" w:rsidP="0062713A">
            <w:pPr>
              <w:rPr>
                <w:rFonts w:eastAsia="Calibri" w:cs="Arial"/>
                <w:b/>
                <w:bCs/>
              </w:rPr>
            </w:pPr>
            <w:r w:rsidRPr="0062713A">
              <w:rPr>
                <w:rFonts w:eastAsia="Calibri" w:cs="Arial"/>
                <w:b/>
                <w:bCs/>
              </w:rPr>
              <w:t>Selection criteria</w:t>
            </w:r>
          </w:p>
          <w:p w:rsidR="00E05D8F" w:rsidRPr="00E05D8F" w:rsidRDefault="00E05D8F" w:rsidP="0062713A">
            <w:pPr>
              <w:rPr>
                <w:rFonts w:cs="Arial"/>
                <w:b/>
                <w:sz w:val="20"/>
                <w:szCs w:val="20"/>
              </w:rPr>
            </w:pPr>
            <w:r w:rsidRPr="0062713A">
              <w:rPr>
                <w:rFonts w:eastAsia="Calibri" w:cs="Arial"/>
                <w:b/>
                <w:bCs/>
              </w:rPr>
              <w:t>(Essential)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E05D8F" w:rsidRPr="0062713A" w:rsidRDefault="00E05D8F" w:rsidP="0062713A">
            <w:pPr>
              <w:rPr>
                <w:rFonts w:eastAsia="Calibri" w:cs="Arial"/>
                <w:b/>
                <w:bCs/>
              </w:rPr>
            </w:pPr>
            <w:r w:rsidRPr="0062713A">
              <w:rPr>
                <w:rFonts w:eastAsia="Calibri" w:cs="Arial"/>
                <w:b/>
                <w:bCs/>
              </w:rPr>
              <w:t>Selection criteria</w:t>
            </w:r>
          </w:p>
          <w:p w:rsidR="00E05D8F" w:rsidRPr="00E05D8F" w:rsidRDefault="00E05D8F" w:rsidP="0062713A">
            <w:pPr>
              <w:rPr>
                <w:rFonts w:cs="Arial"/>
                <w:b/>
                <w:sz w:val="20"/>
                <w:szCs w:val="20"/>
              </w:rPr>
            </w:pPr>
            <w:r w:rsidRPr="0062713A">
              <w:rPr>
                <w:rFonts w:eastAsia="Calibri" w:cs="Arial"/>
                <w:b/>
                <w:bCs/>
              </w:rPr>
              <w:t>(Desirable)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E05D8F" w:rsidRPr="00E05D8F" w:rsidRDefault="00E05D8F" w:rsidP="00DC327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How Assessed</w:t>
            </w: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nil"/>
              <w:bottom w:val="nil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bottom w:val="nil"/>
            </w:tcBorders>
            <w:shd w:val="clear" w:color="auto" w:fill="auto"/>
          </w:tcPr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 w:val="restart"/>
            <w:shd w:val="clear" w:color="auto" w:fill="auto"/>
          </w:tcPr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  <w:r w:rsidRPr="0062713A">
              <w:rPr>
                <w:rFonts w:cs="Arial"/>
              </w:rPr>
              <w:t>AF &amp; C &amp; I</w:t>
            </w: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</w:rPr>
            </w:pPr>
          </w:p>
          <w:p w:rsidR="00C357C2" w:rsidRPr="0062713A" w:rsidRDefault="00C357C2" w:rsidP="00DC327B">
            <w:pPr>
              <w:jc w:val="both"/>
              <w:rPr>
                <w:rFonts w:cs="Arial"/>
                <w:b/>
              </w:rPr>
            </w:pPr>
          </w:p>
        </w:tc>
      </w:tr>
      <w:tr w:rsidR="00C357C2" w:rsidRPr="00E05D8F" w:rsidTr="00627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5"/>
        </w:trPr>
        <w:tc>
          <w:tcPr>
            <w:tcW w:w="1880" w:type="dxa"/>
            <w:tcBorders>
              <w:top w:val="nil"/>
              <w:bottom w:val="single" w:sz="4" w:space="0" w:color="auto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Education &amp; Qualification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57C2" w:rsidRPr="0062713A" w:rsidRDefault="00C357C2" w:rsidP="00DC327B">
            <w:pPr>
              <w:rPr>
                <w:rFonts w:eastAsia="Calibri" w:cs="Arial"/>
              </w:rPr>
            </w:pPr>
            <w:r w:rsidRPr="0062713A">
              <w:rPr>
                <w:rFonts w:eastAsia="Calibri" w:cs="Arial"/>
              </w:rPr>
              <w:t xml:space="preserve">Relevant subject qualification at level </w:t>
            </w:r>
            <w:r w:rsidR="00046547">
              <w:rPr>
                <w:rFonts w:eastAsia="Calibri" w:cs="Arial"/>
              </w:rPr>
              <w:t>5</w:t>
            </w:r>
            <w:r w:rsidR="00F575BC">
              <w:rPr>
                <w:rFonts w:eastAsia="Calibri" w:cs="Arial"/>
              </w:rPr>
              <w:t xml:space="preserve"> or above</w:t>
            </w:r>
            <w:r w:rsidRPr="0062713A">
              <w:rPr>
                <w:rFonts w:eastAsia="Calibri" w:cs="Arial"/>
              </w:rPr>
              <w:br/>
            </w:r>
          </w:p>
          <w:p w:rsidR="00C357C2" w:rsidRPr="0062713A" w:rsidRDefault="00C357C2" w:rsidP="00DC327B">
            <w:pPr>
              <w:rPr>
                <w:rFonts w:eastAsia="Calibri" w:cs="Arial"/>
              </w:rPr>
            </w:pPr>
            <w:r w:rsidRPr="0062713A">
              <w:rPr>
                <w:rFonts w:eastAsia="Calibri" w:cs="Arial"/>
              </w:rPr>
              <w:t>Relevant teaching qualification e.g.</w:t>
            </w:r>
            <w:bookmarkStart w:id="2" w:name="_Hlk32830291"/>
            <w:r w:rsidR="00BA478F">
              <w:rPr>
                <w:rFonts w:eastAsia="Calibri" w:cs="Arial"/>
              </w:rPr>
              <w:t xml:space="preserve"> AET, </w:t>
            </w:r>
            <w:r w:rsidRPr="0062713A">
              <w:rPr>
                <w:rFonts w:eastAsia="Calibri" w:cs="Arial"/>
              </w:rPr>
              <w:t xml:space="preserve">DTLLS, PGCE, Cert. Ed., C&amp; G 7307, B. Ed </w:t>
            </w:r>
            <w:r w:rsidR="00730E23">
              <w:rPr>
                <w:rFonts w:eastAsia="Calibri" w:cs="Arial"/>
              </w:rPr>
              <w:t xml:space="preserve">and </w:t>
            </w:r>
            <w:r w:rsidR="00487654">
              <w:rPr>
                <w:rFonts w:eastAsia="Calibri" w:cs="Arial"/>
              </w:rPr>
              <w:t>or</w:t>
            </w:r>
            <w:r w:rsidRPr="0062713A">
              <w:rPr>
                <w:rFonts w:eastAsia="Calibri" w:cs="Arial"/>
              </w:rPr>
              <w:t xml:space="preserve"> willingness to </w:t>
            </w:r>
            <w:r w:rsidR="00487654">
              <w:rPr>
                <w:rFonts w:eastAsia="Calibri" w:cs="Arial"/>
              </w:rPr>
              <w:t xml:space="preserve">work towards this </w:t>
            </w:r>
            <w:r w:rsidRPr="0062713A">
              <w:rPr>
                <w:rFonts w:eastAsia="Calibri" w:cs="Arial"/>
              </w:rPr>
              <w:t xml:space="preserve">within 12 </w:t>
            </w:r>
            <w:bookmarkEnd w:id="2"/>
            <w:r w:rsidRPr="0062713A">
              <w:rPr>
                <w:rFonts w:eastAsia="Calibri" w:cs="Arial"/>
              </w:rPr>
              <w:t>months.</w:t>
            </w:r>
          </w:p>
          <w:p w:rsidR="00C357C2" w:rsidRPr="0062713A" w:rsidRDefault="00C357C2" w:rsidP="00DC327B">
            <w:pPr>
              <w:rPr>
                <w:rFonts w:eastAsia="Calibri" w:cs="Arial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  <w:r w:rsidRPr="0062713A">
              <w:rPr>
                <w:rFonts w:eastAsia="Calibri" w:cs="Arial"/>
              </w:rPr>
              <w:t>Demonstration of a commitment to Continuing Professional Development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</w:tcPr>
          <w:p w:rsidR="00C357C2" w:rsidRPr="0062713A" w:rsidRDefault="00C357C2" w:rsidP="00DC327B">
            <w:pPr>
              <w:jc w:val="both"/>
              <w:rPr>
                <w:rFonts w:cs="Arial"/>
                <w:b/>
              </w:rPr>
            </w:pP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Experience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Pr="0062713A" w:rsidRDefault="00C357C2" w:rsidP="00DC327B">
            <w:pPr>
              <w:rPr>
                <w:rFonts w:eastAsia="Calibri" w:cs="Arial"/>
                <w:b/>
                <w:bCs/>
              </w:rPr>
            </w:pPr>
            <w:r w:rsidRPr="0062713A">
              <w:rPr>
                <w:rFonts w:eastAsia="Calibri" w:cs="Arial"/>
                <w:b/>
                <w:bCs/>
              </w:rPr>
              <w:t>Experience of:-</w:t>
            </w:r>
          </w:p>
          <w:p w:rsidR="00C357C2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Default="00C357C2" w:rsidP="00C357C2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Teaching adults</w:t>
            </w:r>
            <w:r w:rsidR="004876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61F3" w:rsidRPr="00442EAB" w:rsidRDefault="00B461F3" w:rsidP="00C357C2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B461F3">
              <w:rPr>
                <w:rFonts w:ascii="Arial" w:hAnsi="Arial" w:cs="Arial"/>
                <w:sz w:val="24"/>
                <w:szCs w:val="24"/>
              </w:rPr>
              <w:t>orking with communities to deliver outreach and responsive provision</w:t>
            </w: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Working with parents/carers in urban areas with complex needs and social disadvantage</w:t>
            </w: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Using ICT to support teaching learning and assessment.</w:t>
            </w:r>
          </w:p>
          <w:p w:rsidR="00C357C2" w:rsidRPr="0062713A" w:rsidRDefault="00C357C2" w:rsidP="00DC327B">
            <w:pPr>
              <w:pStyle w:val="ListParagraph"/>
              <w:numPr>
                <w:ilvl w:val="0"/>
                <w:numId w:val="39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Working with learners who are seeking employment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57C2" w:rsidRPr="0062713A" w:rsidRDefault="00C357C2" w:rsidP="00DC327B">
            <w:pPr>
              <w:rPr>
                <w:rFonts w:cs="Arial"/>
              </w:rPr>
            </w:pPr>
            <w:r w:rsidRPr="0062713A">
              <w:rPr>
                <w:rFonts w:cs="Arial"/>
              </w:rPr>
              <w:t>AF &amp; I</w:t>
            </w:r>
          </w:p>
          <w:p w:rsidR="00C357C2" w:rsidRPr="0062713A" w:rsidRDefault="00C357C2" w:rsidP="00DC327B">
            <w:pPr>
              <w:rPr>
                <w:rFonts w:cs="Arial"/>
              </w:rPr>
            </w:pPr>
          </w:p>
          <w:p w:rsidR="00C357C2" w:rsidRPr="0062713A" w:rsidRDefault="00C357C2" w:rsidP="00DC327B">
            <w:pPr>
              <w:rPr>
                <w:rFonts w:cs="Arial"/>
              </w:rPr>
            </w:pPr>
          </w:p>
          <w:p w:rsidR="00C357C2" w:rsidRPr="0062713A" w:rsidRDefault="00C357C2" w:rsidP="00DC327B">
            <w:pPr>
              <w:rPr>
                <w:rFonts w:cs="Arial"/>
              </w:rPr>
            </w:pPr>
          </w:p>
          <w:p w:rsidR="00C357C2" w:rsidRPr="0062713A" w:rsidRDefault="00C357C2" w:rsidP="00DC327B">
            <w:pPr>
              <w:rPr>
                <w:rFonts w:cs="Arial"/>
              </w:rPr>
            </w:pPr>
          </w:p>
          <w:p w:rsidR="00C357C2" w:rsidRPr="0062713A" w:rsidRDefault="00C357C2" w:rsidP="00C357C2">
            <w:pPr>
              <w:rPr>
                <w:rFonts w:cs="Arial"/>
                <w:b/>
              </w:rPr>
            </w:pP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C357C2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</w:p>
          <w:p w:rsidR="00C357C2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Skills &amp; Abilities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13A" w:rsidRPr="0062713A" w:rsidRDefault="0062713A" w:rsidP="0062713A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Analytical skills and demonstration of critical thinking</w:t>
            </w:r>
          </w:p>
          <w:p w:rsidR="0062713A" w:rsidRPr="0062713A" w:rsidRDefault="0062713A" w:rsidP="0062713A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714" w:hanging="357"/>
              <w:contextualSpacing w:val="0"/>
              <w:rPr>
                <w:rFonts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Highly developed written and practical skills to promote learning.</w:t>
            </w:r>
          </w:p>
          <w:p w:rsidR="0062713A" w:rsidRPr="0062713A" w:rsidRDefault="0062713A" w:rsidP="0062713A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714" w:hanging="357"/>
              <w:contextualSpacing w:val="0"/>
              <w:rPr>
                <w:rFonts w:cs="Arial"/>
                <w:b/>
                <w:bCs/>
                <w:sz w:val="20"/>
                <w:szCs w:val="20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Good planning, communication, organisational and administrative skills</w:t>
            </w:r>
          </w:p>
          <w:p w:rsidR="00C357C2" w:rsidRPr="0062713A" w:rsidRDefault="00C357C2" w:rsidP="00DC327B">
            <w:pPr>
              <w:rPr>
                <w:rFonts w:eastAsia="Calibri" w:cs="Arial"/>
                <w:b/>
                <w:bCs/>
              </w:rPr>
            </w:pPr>
            <w:r w:rsidRPr="0062713A">
              <w:rPr>
                <w:rFonts w:eastAsia="Calibri" w:cs="Arial"/>
                <w:b/>
                <w:bCs/>
              </w:rPr>
              <w:t>Ability to: -</w:t>
            </w:r>
          </w:p>
          <w:p w:rsidR="00C357C2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Motivate adults to learn.</w:t>
            </w: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Develop syllabi and plan lessons accordingly</w:t>
            </w:r>
          </w:p>
          <w:p w:rsidR="00C357C2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Undertake individual assessment and give constructive feedback to learners.</w:t>
            </w: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Facilitate group discussion and learning.</w:t>
            </w:r>
          </w:p>
          <w:p w:rsidR="00C357C2" w:rsidRPr="00C357C2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Deliver teaching in an anti-oppressive way.</w:t>
            </w:r>
          </w:p>
          <w:p w:rsidR="00C357C2" w:rsidRPr="0062713A" w:rsidRDefault="00C357C2" w:rsidP="00C357C2">
            <w:pPr>
              <w:pStyle w:val="ListParagraph"/>
              <w:numPr>
                <w:ilvl w:val="0"/>
                <w:numId w:val="40"/>
              </w:numPr>
              <w:spacing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C357C2">
              <w:rPr>
                <w:rFonts w:ascii="Arial" w:hAnsi="Arial" w:cs="Arial"/>
                <w:sz w:val="24"/>
                <w:szCs w:val="24"/>
              </w:rPr>
              <w:t>Satisfy external bodies and meet required standards.</w:t>
            </w:r>
            <w:r w:rsidRPr="0062713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C357C2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62713A" w:rsidRDefault="00C357C2" w:rsidP="00DC327B">
            <w:pPr>
              <w:rPr>
                <w:rFonts w:cs="Arial"/>
              </w:rPr>
            </w:pPr>
            <w:r w:rsidRPr="0062713A">
              <w:rPr>
                <w:rFonts w:cs="Arial"/>
              </w:rPr>
              <w:t>AF, I, P &amp; Micro Teach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  <w:r w:rsidRPr="00E05D8F">
              <w:rPr>
                <w:rFonts w:cs="Arial"/>
                <w:sz w:val="20"/>
                <w:szCs w:val="20"/>
              </w:rPr>
              <w:t xml:space="preserve">  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Knowledge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713A" w:rsidRPr="00924824" w:rsidRDefault="00C357C2" w:rsidP="00134619">
            <w:pPr>
              <w:pStyle w:val="ListParagraph"/>
              <w:numPr>
                <w:ilvl w:val="0"/>
                <w:numId w:val="41"/>
              </w:numPr>
              <w:rPr>
                <w:rFonts w:cs="Arial"/>
              </w:rPr>
            </w:pPr>
            <w:r w:rsidRPr="00924824">
              <w:rPr>
                <w:rFonts w:ascii="Arial" w:hAnsi="Arial" w:cs="Arial"/>
                <w:sz w:val="24"/>
                <w:szCs w:val="24"/>
              </w:rPr>
              <w:t>Knowledge of quality improvement and assurance systems</w:t>
            </w:r>
          </w:p>
          <w:p w:rsidR="0062713A" w:rsidRPr="0062713A" w:rsidRDefault="0062713A" w:rsidP="0062713A">
            <w:pPr>
              <w:rPr>
                <w:rFonts w:eastAsia="Calibri" w:cs="Arial"/>
                <w:b/>
                <w:bCs/>
              </w:rPr>
            </w:pPr>
            <w:r w:rsidRPr="0062713A">
              <w:rPr>
                <w:rFonts w:eastAsia="Calibri" w:cs="Arial"/>
                <w:b/>
                <w:bCs/>
              </w:rPr>
              <w:t>Understanding of:-</w:t>
            </w:r>
          </w:p>
          <w:p w:rsidR="0062713A" w:rsidRDefault="0062713A" w:rsidP="0062713A">
            <w:pPr>
              <w:rPr>
                <w:rFonts w:eastAsia="Calibri" w:cs="Arial"/>
              </w:rPr>
            </w:pPr>
          </w:p>
          <w:p w:rsidR="0062713A" w:rsidRDefault="0062713A" w:rsidP="0062713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 xml:space="preserve">The impact on adults returning to education </w:t>
            </w:r>
          </w:p>
          <w:p w:rsidR="00B461F3" w:rsidRDefault="00B461F3" w:rsidP="0062713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B461F3">
              <w:rPr>
                <w:rFonts w:ascii="Arial" w:hAnsi="Arial" w:cs="Arial"/>
                <w:sz w:val="24"/>
                <w:szCs w:val="24"/>
              </w:rPr>
              <w:t>The context of Further Education in a Community setting</w:t>
            </w:r>
          </w:p>
          <w:p w:rsidR="0062713A" w:rsidRDefault="0062713A" w:rsidP="00023833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adults learn</w:t>
            </w:r>
          </w:p>
          <w:p w:rsidR="0062713A" w:rsidRDefault="0062713A" w:rsidP="00023833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Accreditation procedures</w:t>
            </w:r>
          </w:p>
          <w:p w:rsidR="0062713A" w:rsidRPr="00924824" w:rsidRDefault="0062713A" w:rsidP="00DC327B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2713A">
              <w:rPr>
                <w:rFonts w:ascii="Arial" w:hAnsi="Arial" w:cs="Arial"/>
                <w:sz w:val="24"/>
                <w:szCs w:val="24"/>
              </w:rPr>
              <w:t>D</w:t>
            </w:r>
            <w:r w:rsidR="00C357C2" w:rsidRPr="0062713A">
              <w:rPr>
                <w:rFonts w:ascii="Arial" w:hAnsi="Arial" w:cs="Arial"/>
                <w:sz w:val="24"/>
                <w:szCs w:val="24"/>
              </w:rPr>
              <w:t>evolution and GMCA funding rules and regulations to comply with the widening participation agenda and the inclusive approach to teaching and learning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2713A" w:rsidRDefault="0062713A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2713A" w:rsidRDefault="0062713A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2713A" w:rsidRDefault="0062713A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  <w:r w:rsidRPr="00E05D8F">
              <w:rPr>
                <w:rFonts w:cs="Arial"/>
                <w:sz w:val="20"/>
                <w:szCs w:val="20"/>
              </w:rPr>
              <w:t>AF,I &amp; P</w:t>
            </w: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>Work Circumstances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Pr="0062713A" w:rsidRDefault="00C357C2" w:rsidP="00DC327B">
            <w:pPr>
              <w:rPr>
                <w:rFonts w:eastAsia="Calibri" w:cs="Arial"/>
              </w:rPr>
            </w:pPr>
            <w:r w:rsidRPr="0062713A">
              <w:rPr>
                <w:rFonts w:eastAsia="Calibri" w:cs="Arial"/>
              </w:rPr>
              <w:t>May be required to work some evenings and weekends to meet the needs of the service.</w:t>
            </w:r>
          </w:p>
          <w:p w:rsidR="00C357C2" w:rsidRPr="0062713A" w:rsidRDefault="00C357C2" w:rsidP="00DC327B">
            <w:pPr>
              <w:ind w:left="360"/>
              <w:rPr>
                <w:rFonts w:eastAsia="Calibri" w:cs="Arial"/>
              </w:rPr>
            </w:pPr>
          </w:p>
          <w:p w:rsidR="00C357C2" w:rsidRPr="00B461F3" w:rsidRDefault="00C357C2" w:rsidP="00DC327B">
            <w:pPr>
              <w:rPr>
                <w:rFonts w:cs="Arial"/>
                <w:sz w:val="20"/>
                <w:szCs w:val="20"/>
              </w:rPr>
            </w:pPr>
            <w:r w:rsidRPr="00B461F3">
              <w:rPr>
                <w:rFonts w:eastAsia="Calibri" w:cs="Arial"/>
              </w:rPr>
              <w:t>Must be able to commute effectively between different parts of the borough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  <w:r w:rsidRPr="00E05D8F">
              <w:rPr>
                <w:rFonts w:cs="Arial"/>
                <w:sz w:val="20"/>
                <w:szCs w:val="20"/>
              </w:rPr>
              <w:t>AF</w:t>
            </w: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  <w:r w:rsidRPr="00E05D8F">
              <w:rPr>
                <w:rFonts w:cs="Arial"/>
                <w:sz w:val="20"/>
                <w:szCs w:val="20"/>
              </w:rPr>
              <w:t>AF</w:t>
            </w:r>
          </w:p>
          <w:p w:rsidR="00C357C2" w:rsidRPr="00E05D8F" w:rsidRDefault="00C357C2" w:rsidP="00DC327B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357C2" w:rsidRPr="00E05D8F" w:rsidTr="00C3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0" w:type="dxa"/>
            <w:tcBorders>
              <w:top w:val="single" w:sz="4" w:space="0" w:color="auto"/>
            </w:tcBorders>
            <w:shd w:val="clear" w:color="auto" w:fill="00B3BE"/>
          </w:tcPr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  <w:r w:rsidRPr="00E05D8F">
              <w:rPr>
                <w:rFonts w:cs="Arial"/>
                <w:b/>
                <w:sz w:val="20"/>
                <w:szCs w:val="20"/>
              </w:rPr>
              <w:t xml:space="preserve">SPECIAL CONDITIONS </w:t>
            </w:r>
          </w:p>
          <w:p w:rsidR="00C357C2" w:rsidRPr="00E05D8F" w:rsidRDefault="00C357C2" w:rsidP="00DC327B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  <w:shd w:val="clear" w:color="auto" w:fill="auto"/>
          </w:tcPr>
          <w:p w:rsidR="00C357C2" w:rsidRPr="0062713A" w:rsidRDefault="00C357C2" w:rsidP="00DC327B">
            <w:pPr>
              <w:rPr>
                <w:rFonts w:eastAsia="Calibri" w:cs="Arial"/>
              </w:rPr>
            </w:pPr>
            <w:r w:rsidRPr="0062713A">
              <w:rPr>
                <w:rFonts w:eastAsia="Calibri" w:cs="Arial"/>
              </w:rPr>
              <w:t xml:space="preserve">Basic DBS Disclosure is required. </w:t>
            </w:r>
          </w:p>
          <w:p w:rsidR="00C357C2" w:rsidRPr="00E05D8F" w:rsidRDefault="00C357C2" w:rsidP="00DC327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357C2" w:rsidRPr="00E05D8F" w:rsidRDefault="00C357C2" w:rsidP="00DC327B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C357C2" w:rsidRPr="00E05D8F" w:rsidRDefault="00C357C2" w:rsidP="00DC327B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05D8F" w:rsidRPr="005512E9" w:rsidRDefault="00E05D8F" w:rsidP="00B96957">
      <w:pPr>
        <w:pStyle w:val="EndnoteText"/>
        <w:rPr>
          <w:rFonts w:ascii="Arial" w:hAnsi="Arial" w:cs="Arial"/>
          <w:sz w:val="22"/>
          <w:szCs w:val="22"/>
        </w:rPr>
      </w:pPr>
    </w:p>
    <w:p w:rsidR="003C4B1F" w:rsidRPr="005512E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:rsidR="00F14FC5" w:rsidRDefault="00F14FC5">
      <w:pPr>
        <w:rPr>
          <w:rFonts w:cs="Arial"/>
          <w:sz w:val="22"/>
          <w:szCs w:val="22"/>
        </w:rPr>
      </w:pPr>
    </w:p>
    <w:p w:rsidR="00A94BF3" w:rsidRPr="00A94BF3" w:rsidRDefault="00A94BF3" w:rsidP="00A94BF3">
      <w:pPr>
        <w:rPr>
          <w:rFonts w:cs="Arial"/>
          <w:b/>
          <w:bCs/>
          <w:sz w:val="22"/>
          <w:szCs w:val="22"/>
        </w:rPr>
      </w:pPr>
      <w:r w:rsidRPr="00A94BF3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A94BF3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A94BF3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A94BF3" w:rsidRPr="00A94BF3" w:rsidRDefault="00A94BF3" w:rsidP="00A94BF3">
      <w:pPr>
        <w:rPr>
          <w:rFonts w:cs="Arial"/>
          <w:b/>
          <w:bCs/>
          <w:sz w:val="22"/>
          <w:szCs w:val="22"/>
        </w:rPr>
      </w:pPr>
    </w:p>
    <w:p w:rsidR="00A94BF3" w:rsidRPr="00A94BF3" w:rsidRDefault="00A94BF3" w:rsidP="00A94BF3">
      <w:pPr>
        <w:rPr>
          <w:rFonts w:cs="Arial"/>
          <w:b/>
          <w:bCs/>
          <w:sz w:val="22"/>
          <w:szCs w:val="22"/>
        </w:rPr>
      </w:pPr>
      <w:r w:rsidRPr="00A94BF3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:rsidR="006F229E" w:rsidRDefault="006F229E">
      <w:pPr>
        <w:rPr>
          <w:rFonts w:cs="Arial"/>
          <w:sz w:val="22"/>
          <w:szCs w:val="22"/>
        </w:rPr>
      </w:pPr>
    </w:p>
    <w:p w:rsidR="00AB2D81" w:rsidRDefault="00AB2D81" w:rsidP="00AB2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2"/>
          <w:szCs w:val="22"/>
        </w:rPr>
      </w:pPr>
    </w:p>
    <w:p w:rsidR="00AB2D81" w:rsidRDefault="00AB2D81" w:rsidP="00AB2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This post is subject to a Basic DBS check as the role </w:t>
      </w:r>
    </w:p>
    <w:p w:rsidR="00AB2D81" w:rsidRDefault="00AB2D81" w:rsidP="00AB2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does not </w:t>
      </w:r>
      <w:r w:rsidR="00773470">
        <w:rPr>
          <w:rFonts w:cs="Arial"/>
          <w:b/>
          <w:bCs/>
          <w:sz w:val="22"/>
          <w:szCs w:val="22"/>
        </w:rPr>
        <w:t>include</w:t>
      </w:r>
      <w:r>
        <w:rPr>
          <w:rFonts w:cs="Arial"/>
          <w:b/>
          <w:bCs/>
          <w:sz w:val="22"/>
          <w:szCs w:val="22"/>
        </w:rPr>
        <w:t xml:space="preserve"> any Regulated activity</w:t>
      </w:r>
    </w:p>
    <w:p w:rsidR="00AB2D81" w:rsidRPr="008A5000" w:rsidRDefault="00AB2D81" w:rsidP="00AB2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2"/>
          <w:szCs w:val="22"/>
        </w:rPr>
      </w:pPr>
    </w:p>
    <w:bookmarkEnd w:id="1"/>
    <w:p w:rsidR="00AB2D81" w:rsidRPr="005512E9" w:rsidRDefault="00AB2D81">
      <w:pPr>
        <w:rPr>
          <w:rFonts w:cs="Arial"/>
          <w:sz w:val="22"/>
          <w:szCs w:val="22"/>
        </w:rPr>
      </w:pPr>
    </w:p>
    <w:sectPr w:rsidR="00AB2D81" w:rsidRPr="005512E9">
      <w:headerReference w:type="default" r:id="rId9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E9A" w:rsidRDefault="00234E9A">
      <w:r>
        <w:separator/>
      </w:r>
    </w:p>
  </w:endnote>
  <w:endnote w:type="continuationSeparator" w:id="0">
    <w:p w:rsidR="00234E9A" w:rsidRDefault="0023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E9A" w:rsidRDefault="00234E9A">
      <w:r>
        <w:separator/>
      </w:r>
    </w:p>
  </w:footnote>
  <w:footnote w:type="continuationSeparator" w:id="0">
    <w:p w:rsidR="00234E9A" w:rsidRDefault="0023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7398D"/>
    <w:multiLevelType w:val="hybridMultilevel"/>
    <w:tmpl w:val="1D025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8C743C"/>
    <w:multiLevelType w:val="hybridMultilevel"/>
    <w:tmpl w:val="C64CF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6606B"/>
    <w:multiLevelType w:val="hybridMultilevel"/>
    <w:tmpl w:val="8D52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638F1"/>
    <w:multiLevelType w:val="hybridMultilevel"/>
    <w:tmpl w:val="7DDE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94271"/>
    <w:multiLevelType w:val="hybridMultilevel"/>
    <w:tmpl w:val="8348E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92FA2"/>
    <w:multiLevelType w:val="hybridMultilevel"/>
    <w:tmpl w:val="4E685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6"/>
  </w:num>
  <w:num w:numId="2" w16cid:durableId="1009989196">
    <w:abstractNumId w:val="38"/>
  </w:num>
  <w:num w:numId="3" w16cid:durableId="326054038">
    <w:abstractNumId w:val="14"/>
  </w:num>
  <w:num w:numId="4" w16cid:durableId="440688297">
    <w:abstractNumId w:val="18"/>
  </w:num>
  <w:num w:numId="5" w16cid:durableId="1017780440">
    <w:abstractNumId w:val="21"/>
  </w:num>
  <w:num w:numId="6" w16cid:durableId="1616329832">
    <w:abstractNumId w:val="34"/>
  </w:num>
  <w:num w:numId="7" w16cid:durableId="859244620">
    <w:abstractNumId w:val="19"/>
  </w:num>
  <w:num w:numId="8" w16cid:durableId="1634165963">
    <w:abstractNumId w:val="31"/>
  </w:num>
  <w:num w:numId="9" w16cid:durableId="714626268">
    <w:abstractNumId w:val="26"/>
  </w:num>
  <w:num w:numId="10" w16cid:durableId="848299403">
    <w:abstractNumId w:val="23"/>
  </w:num>
  <w:num w:numId="11" w16cid:durableId="1716345712">
    <w:abstractNumId w:val="10"/>
  </w:num>
  <w:num w:numId="12" w16cid:durableId="1648852518">
    <w:abstractNumId w:val="2"/>
  </w:num>
  <w:num w:numId="13" w16cid:durableId="1572236322">
    <w:abstractNumId w:val="28"/>
  </w:num>
  <w:num w:numId="14" w16cid:durableId="1053310867">
    <w:abstractNumId w:val="7"/>
  </w:num>
  <w:num w:numId="15" w16cid:durableId="2092458485">
    <w:abstractNumId w:val="36"/>
  </w:num>
  <w:num w:numId="16" w16cid:durableId="318004662">
    <w:abstractNumId w:val="35"/>
  </w:num>
  <w:num w:numId="17" w16cid:durableId="1615094813">
    <w:abstractNumId w:val="0"/>
  </w:num>
  <w:num w:numId="18" w16cid:durableId="2022657153">
    <w:abstractNumId w:val="27"/>
  </w:num>
  <w:num w:numId="19" w16cid:durableId="890576806">
    <w:abstractNumId w:val="20"/>
  </w:num>
  <w:num w:numId="20" w16cid:durableId="101461933">
    <w:abstractNumId w:val="4"/>
  </w:num>
  <w:num w:numId="21" w16cid:durableId="848252260">
    <w:abstractNumId w:val="33"/>
  </w:num>
  <w:num w:numId="22" w16cid:durableId="709963111">
    <w:abstractNumId w:val="29"/>
  </w:num>
  <w:num w:numId="23" w16cid:durableId="2133017500">
    <w:abstractNumId w:val="27"/>
  </w:num>
  <w:num w:numId="24" w16cid:durableId="131675817">
    <w:abstractNumId w:val="3"/>
  </w:num>
  <w:num w:numId="25" w16cid:durableId="1196384464">
    <w:abstractNumId w:val="32"/>
  </w:num>
  <w:num w:numId="26" w16cid:durableId="2068408667">
    <w:abstractNumId w:val="15"/>
  </w:num>
  <w:num w:numId="27" w16cid:durableId="1147475216">
    <w:abstractNumId w:val="1"/>
  </w:num>
  <w:num w:numId="28" w16cid:durableId="982275245">
    <w:abstractNumId w:val="39"/>
  </w:num>
  <w:num w:numId="29" w16cid:durableId="1188712403">
    <w:abstractNumId w:val="41"/>
  </w:num>
  <w:num w:numId="30" w16cid:durableId="604771926">
    <w:abstractNumId w:val="42"/>
  </w:num>
  <w:num w:numId="31" w16cid:durableId="2048407005">
    <w:abstractNumId w:val="40"/>
  </w:num>
  <w:num w:numId="32" w16cid:durableId="1268194923">
    <w:abstractNumId w:val="17"/>
  </w:num>
  <w:num w:numId="33" w16cid:durableId="1031221000">
    <w:abstractNumId w:val="12"/>
  </w:num>
  <w:num w:numId="34" w16cid:durableId="1295527210">
    <w:abstractNumId w:val="8"/>
  </w:num>
  <w:num w:numId="35" w16cid:durableId="1708216631">
    <w:abstractNumId w:val="11"/>
  </w:num>
  <w:num w:numId="36" w16cid:durableId="1289628680">
    <w:abstractNumId w:val="25"/>
  </w:num>
  <w:num w:numId="37" w16cid:durableId="1700350300">
    <w:abstractNumId w:val="13"/>
  </w:num>
  <w:num w:numId="38" w16cid:durableId="1084718670">
    <w:abstractNumId w:val="5"/>
  </w:num>
  <w:num w:numId="39" w16cid:durableId="510142250">
    <w:abstractNumId w:val="9"/>
  </w:num>
  <w:num w:numId="40" w16cid:durableId="2143838069">
    <w:abstractNumId w:val="30"/>
  </w:num>
  <w:num w:numId="41" w16cid:durableId="863977578">
    <w:abstractNumId w:val="37"/>
  </w:num>
  <w:num w:numId="42" w16cid:durableId="344137777">
    <w:abstractNumId w:val="22"/>
  </w:num>
  <w:num w:numId="43" w16cid:durableId="121189883">
    <w:abstractNumId w:val="16"/>
  </w:num>
  <w:num w:numId="44" w16cid:durableId="760444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04137"/>
    <w:rsid w:val="000165A3"/>
    <w:rsid w:val="00023833"/>
    <w:rsid w:val="000460AD"/>
    <w:rsid w:val="00046547"/>
    <w:rsid w:val="00046F62"/>
    <w:rsid w:val="00047CE3"/>
    <w:rsid w:val="00054EB4"/>
    <w:rsid w:val="0006753D"/>
    <w:rsid w:val="00074693"/>
    <w:rsid w:val="00080B2F"/>
    <w:rsid w:val="000A0FD2"/>
    <w:rsid w:val="000A2E3B"/>
    <w:rsid w:val="000A3EF7"/>
    <w:rsid w:val="000E4D5E"/>
    <w:rsid w:val="00111102"/>
    <w:rsid w:val="001155B3"/>
    <w:rsid w:val="00126FAD"/>
    <w:rsid w:val="0013292B"/>
    <w:rsid w:val="0014567E"/>
    <w:rsid w:val="001557C0"/>
    <w:rsid w:val="0015582F"/>
    <w:rsid w:val="00167AD4"/>
    <w:rsid w:val="00175B96"/>
    <w:rsid w:val="001968F4"/>
    <w:rsid w:val="001C068C"/>
    <w:rsid w:val="001D7A09"/>
    <w:rsid w:val="001E3331"/>
    <w:rsid w:val="00206B30"/>
    <w:rsid w:val="0021305B"/>
    <w:rsid w:val="00215D97"/>
    <w:rsid w:val="002320B4"/>
    <w:rsid w:val="00234BA5"/>
    <w:rsid w:val="00234E9A"/>
    <w:rsid w:val="00264C45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51E66"/>
    <w:rsid w:val="003627D7"/>
    <w:rsid w:val="00365733"/>
    <w:rsid w:val="00386EEA"/>
    <w:rsid w:val="003878CA"/>
    <w:rsid w:val="003A063A"/>
    <w:rsid w:val="003A384F"/>
    <w:rsid w:val="003C4B1F"/>
    <w:rsid w:val="003F3751"/>
    <w:rsid w:val="004006A8"/>
    <w:rsid w:val="00442EAB"/>
    <w:rsid w:val="004631F6"/>
    <w:rsid w:val="004803CE"/>
    <w:rsid w:val="00487654"/>
    <w:rsid w:val="00491A2C"/>
    <w:rsid w:val="004B632E"/>
    <w:rsid w:val="004E20E8"/>
    <w:rsid w:val="00520387"/>
    <w:rsid w:val="00534301"/>
    <w:rsid w:val="005451A7"/>
    <w:rsid w:val="005512E9"/>
    <w:rsid w:val="00565A92"/>
    <w:rsid w:val="00604717"/>
    <w:rsid w:val="00615C36"/>
    <w:rsid w:val="006207F7"/>
    <w:rsid w:val="0062713A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229E"/>
    <w:rsid w:val="006F6C85"/>
    <w:rsid w:val="00706F09"/>
    <w:rsid w:val="00730E23"/>
    <w:rsid w:val="00734CA5"/>
    <w:rsid w:val="00753D3F"/>
    <w:rsid w:val="00773470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51060"/>
    <w:rsid w:val="00890273"/>
    <w:rsid w:val="00892286"/>
    <w:rsid w:val="00893E36"/>
    <w:rsid w:val="008F08DF"/>
    <w:rsid w:val="00920E48"/>
    <w:rsid w:val="00922661"/>
    <w:rsid w:val="00924824"/>
    <w:rsid w:val="00925441"/>
    <w:rsid w:val="00935735"/>
    <w:rsid w:val="00937036"/>
    <w:rsid w:val="00963B68"/>
    <w:rsid w:val="009A1386"/>
    <w:rsid w:val="009B7C96"/>
    <w:rsid w:val="009C6F5E"/>
    <w:rsid w:val="009D7AAA"/>
    <w:rsid w:val="009E41B1"/>
    <w:rsid w:val="00A11181"/>
    <w:rsid w:val="00A421B3"/>
    <w:rsid w:val="00A73087"/>
    <w:rsid w:val="00A94BF3"/>
    <w:rsid w:val="00A95C4D"/>
    <w:rsid w:val="00AA0948"/>
    <w:rsid w:val="00AA0AF6"/>
    <w:rsid w:val="00AA14BC"/>
    <w:rsid w:val="00AA3C2A"/>
    <w:rsid w:val="00AB2D81"/>
    <w:rsid w:val="00AC23DF"/>
    <w:rsid w:val="00AE22F1"/>
    <w:rsid w:val="00AF1AED"/>
    <w:rsid w:val="00B2638F"/>
    <w:rsid w:val="00B267A2"/>
    <w:rsid w:val="00B36D03"/>
    <w:rsid w:val="00B461F3"/>
    <w:rsid w:val="00B563C5"/>
    <w:rsid w:val="00B74DE2"/>
    <w:rsid w:val="00B863B2"/>
    <w:rsid w:val="00B96957"/>
    <w:rsid w:val="00B969CF"/>
    <w:rsid w:val="00BA3C89"/>
    <w:rsid w:val="00BA478F"/>
    <w:rsid w:val="00BB5A1D"/>
    <w:rsid w:val="00BF09E2"/>
    <w:rsid w:val="00C116B3"/>
    <w:rsid w:val="00C357C2"/>
    <w:rsid w:val="00C43E86"/>
    <w:rsid w:val="00C5606A"/>
    <w:rsid w:val="00C74865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05D8F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41B45"/>
    <w:rsid w:val="00F575BC"/>
    <w:rsid w:val="00F8542D"/>
    <w:rsid w:val="00FD3E78"/>
    <w:rsid w:val="00FE2DE9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2025-08-15T09:38:00Z</dcterms:created>
  <dcterms:modified xsi:type="dcterms:W3CDTF">2025-08-15T09:38:00Z</dcterms:modified>
</cp:coreProperties>
</file>