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Licensing Projects &amp; Hearings Officer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Place </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Public Protection / Licensing</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9745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2"/>
                <w:szCs w:val="22"/>
              </w:rPr>
            </w:pPr>
            <w:r>
              <w:rPr>
                <w:rFonts w:cs="Arial"/>
                <w:bCs/>
                <w:sz w:val="22"/>
                <w:szCs w:val="22"/>
              </w:rPr>
              <w:t xml:space="preserve">To provide project and organisational support to the Trading Standards &amp; Licensing Manager, analysing and interpreting different data to use in project planning and delivery, plus overseeing licensing hearings and committee report writing. </w:t>
            </w:r>
          </w:p>
          <w:p>
            <w:pPr>
              <w:pStyle w:val="Normal"/>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Paragraph"/>
              <w:snapToGrid w:val="false"/>
              <w:spacing w:before="0" w:after="0"/>
              <w:textAlignment w:val="baseline"/>
              <w:rPr>
                <w:rFonts w:ascii="Arial" w:hAnsi="Arial" w:cs="Arial"/>
                <w:sz w:val="22"/>
                <w:szCs w:val="22"/>
              </w:rPr>
            </w:pPr>
            <w:r>
              <w:rPr>
                <w:rFonts w:cs="Arial" w:ascii="Arial" w:hAnsi="Arial"/>
                <w:sz w:val="22"/>
                <w:szCs w:val="22"/>
              </w:rPr>
            </w:r>
          </w:p>
          <w:p>
            <w:pPr>
              <w:pStyle w:val="Normal"/>
              <w:rPr>
                <w:rFonts w:eastAsia="Calibri" w:cs="Arial"/>
                <w:sz w:val="22"/>
                <w:szCs w:val="22"/>
              </w:rPr>
            </w:pPr>
            <w:r>
              <w:rPr>
                <w:rFonts w:eastAsia="Calibri" w:cs="Arial"/>
                <w:sz w:val="22"/>
                <w:szCs w:val="22"/>
              </w:rPr>
              <w:t>1. To assist in interviews of applicants/licence holders who are appearing before the Council’s licensing panel.</w:t>
            </w:r>
          </w:p>
          <w:p>
            <w:pPr>
              <w:pStyle w:val="Normal"/>
              <w:rPr>
                <w:rFonts w:eastAsia="Calibri" w:cs="Arial"/>
                <w:sz w:val="22"/>
                <w:szCs w:val="22"/>
              </w:rPr>
            </w:pPr>
            <w:r>
              <w:rPr>
                <w:rFonts w:eastAsia="Calibri" w:cs="Arial"/>
                <w:sz w:val="22"/>
                <w:szCs w:val="22"/>
              </w:rPr>
            </w:r>
          </w:p>
          <w:p>
            <w:pPr>
              <w:pStyle w:val="Normal"/>
              <w:rPr>
                <w:rFonts w:eastAsia="Calibri" w:cs="Arial"/>
                <w:sz w:val="22"/>
                <w:szCs w:val="22"/>
              </w:rPr>
            </w:pPr>
            <w:r>
              <w:rPr>
                <w:rFonts w:eastAsia="Calibri" w:cs="Arial"/>
                <w:sz w:val="22"/>
                <w:szCs w:val="22"/>
              </w:rPr>
              <w:t xml:space="preserve">2. To prepare and upload reports for and attend licensing panel/committee hearings and deal with post hearing related duties including outcome letters, database updates and tracking appeals. </w:t>
            </w:r>
          </w:p>
          <w:p>
            <w:pPr>
              <w:pStyle w:val="Normal"/>
              <w:rPr>
                <w:rFonts w:eastAsia="Calibri" w:cs="Arial"/>
                <w:sz w:val="22"/>
                <w:szCs w:val="22"/>
              </w:rPr>
            </w:pPr>
            <w:r>
              <w:rPr>
                <w:rFonts w:eastAsia="Calibri" w:cs="Arial"/>
                <w:sz w:val="22"/>
                <w:szCs w:val="22"/>
              </w:rPr>
            </w:r>
          </w:p>
          <w:p>
            <w:pPr>
              <w:pStyle w:val="Normal"/>
              <w:rPr>
                <w:rFonts w:eastAsia="Calibri" w:cs="Arial"/>
                <w:sz w:val="22"/>
                <w:szCs w:val="22"/>
              </w:rPr>
            </w:pPr>
            <w:r>
              <w:rPr>
                <w:rFonts w:eastAsia="Calibri" w:cs="Arial"/>
                <w:sz w:val="22"/>
                <w:szCs w:val="22"/>
              </w:rPr>
              <w:t xml:space="preserve">3. To act as co-ordinator for a range of projects relating to the work of the team including developing policies for consultation and determination and acting a liaison with trade representatives. </w:t>
            </w:r>
          </w:p>
          <w:p>
            <w:pPr>
              <w:pStyle w:val="Endnot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4. To be an administrator for the licensing database and for developing and maintaining our licensing presence online.</w:t>
            </w:r>
          </w:p>
          <w:p>
            <w:pPr>
              <w:pStyle w:val="Endnote"/>
              <w:jc w:val="both"/>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5. To undertake reviews of fees and charges in accordance with agreed protocols.</w:t>
            </w:r>
          </w:p>
          <w:p>
            <w:pPr>
              <w:pStyle w:val="Endnote"/>
              <w:jc w:val="both"/>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6. To be responsible for annual fee management – to manage database, run renewal reminders, generate letters &amp; liaise with Licensing Officers for any required enforcement action.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Normal"/>
              <w:spacing w:before="0" w:after="0"/>
              <w:contextualSpacing/>
              <w:jc w:val="both"/>
              <w:rPr>
                <w:rFonts w:eastAsia="Calibri" w:cs="Arial"/>
                <w:sz w:val="22"/>
                <w:szCs w:val="22"/>
              </w:rPr>
            </w:pPr>
            <w:r>
              <w:rPr>
                <w:rFonts w:eastAsia="Calibri" w:cs="Arial"/>
                <w:sz w:val="22"/>
                <w:szCs w:val="22"/>
              </w:rPr>
              <w:t>7. Contribute to the creation and upkeep of a range of project documentation and reports, and ensure where possible, that they are accurate and up to date, including monitoring version control.</w:t>
            </w:r>
          </w:p>
          <w:p>
            <w:pPr>
              <w:pStyle w:val="Paragraph"/>
              <w:spacing w:before="0" w:after="0"/>
              <w:textAlignment w:val="baseline"/>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8. Monitor project timescales, record the achievement of project milestones, issue reminders to prompt others when the agreed actions are pending/ overdue, and escalate delays as appropriate.</w:t>
            </w:r>
          </w:p>
          <w:p>
            <w:pPr>
              <w:pStyle w:val="Paragraph"/>
              <w:spacing w:before="0" w:after="0"/>
              <w:textAlignment w:val="baseline"/>
              <w:rPr>
                <w:rFonts w:ascii="Arial" w:hAnsi="Arial" w:cs="Arial"/>
                <w:sz w:val="22"/>
                <w:szCs w:val="22"/>
              </w:rPr>
            </w:pPr>
            <w:r>
              <w:rPr>
                <w:rFonts w:cs="Arial" w:ascii="Arial" w:hAnsi="Arial"/>
                <w:sz w:val="22"/>
                <w:szCs w:val="22"/>
              </w:rPr>
            </w:r>
          </w:p>
          <w:p>
            <w:pPr>
              <w:pStyle w:val="Normal"/>
              <w:spacing w:before="0" w:after="0"/>
              <w:contextualSpacing/>
              <w:jc w:val="both"/>
              <w:rPr>
                <w:rFonts w:eastAsia="Calibri" w:cs="Arial"/>
                <w:sz w:val="22"/>
                <w:szCs w:val="22"/>
              </w:rPr>
            </w:pPr>
            <w:r>
              <w:rPr>
                <w:rFonts w:eastAsia="Calibri" w:cs="Arial"/>
                <w:sz w:val="22"/>
                <w:szCs w:val="22"/>
              </w:rPr>
              <w:t>9. Contribute to project communication activities, for example, contributing to and preparing documents and materials for briefings, presentations and training.</w:t>
            </w:r>
          </w:p>
          <w:p>
            <w:pPr>
              <w:pStyle w:val="Paragraph"/>
              <w:spacing w:before="0" w:after="0"/>
              <w:textAlignment w:val="baseline"/>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 xml:space="preserve">10. Undertake a range of activities connected to data and information required at all stages of the project including research, collation, cleansing, auditing, processing, analysing and interpretation, where the data could require investigation and the information could be interpreted in different ways.  </w:t>
            </w:r>
          </w:p>
          <w:p>
            <w:pPr>
              <w:pStyle w:val="Paragraph"/>
              <w:spacing w:before="0" w:after="0"/>
              <w:textAlignment w:val="baseline"/>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11. Support change management activities so outcomes of the project are embedded in new working practices, where applicable, for example, collating flowcharts or process maps, or offering assistance to others during the transition period via email or telephone.</w:t>
            </w:r>
          </w:p>
          <w:p>
            <w:pPr>
              <w:pStyle w:val="Paragraph"/>
              <w:spacing w:before="0" w:after="0"/>
              <w:textAlignment w:val="baseline"/>
              <w:rPr>
                <w:rFonts w:ascii="Arial" w:hAnsi="Arial" w:cs="Arial"/>
                <w:sz w:val="22"/>
                <w:szCs w:val="22"/>
              </w:rPr>
            </w:pPr>
            <w:r>
              <w:rPr>
                <w:rFonts w:cs="Arial" w:ascii="Arial" w:hAnsi="Arial"/>
                <w:sz w:val="22"/>
                <w:szCs w:val="22"/>
              </w:rPr>
            </w:r>
          </w:p>
          <w:p>
            <w:pPr>
              <w:pStyle w:val="Endnote"/>
              <w:jc w:val="both"/>
              <w:rPr>
                <w:rFonts w:ascii="Arial" w:hAnsi="Arial" w:cs="Arial"/>
                <w:sz w:val="22"/>
                <w:szCs w:val="22"/>
              </w:rPr>
            </w:pPr>
            <w:r>
              <w:rPr>
                <w:rFonts w:cs="Arial" w:ascii="Arial" w:hAnsi="Arial"/>
                <w:sz w:val="22"/>
                <w:szCs w:val="22"/>
              </w:rPr>
              <w:t xml:space="preserve">12. Contribute to project review, closure and evaluation activities, such as monitoring project performance indicators, identifying and measuring benefits realised, and supporting the completion of project evaluation documents.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13. Undertake any associated administrative duties as required, including organising servicing and participating in any project related meetings or events, including agendas, minutes and any additional supporting paperwork that may be required.</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jc w:val="both"/>
              <w:rPr>
                <w:sz w:val="22"/>
                <w:szCs w:val="22"/>
              </w:rPr>
            </w:pPr>
            <w:r>
              <w:rPr>
                <w:sz w:val="22"/>
                <w:szCs w:val="22"/>
              </w:rPr>
              <w:t xml:space="preserve">Colleagues with own team, and the rest of the Council, internal and external customers including the public, partner organisations, applicants and trade representatives. Elected members of Council.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Licensing Manager</w:t>
            </w:r>
          </w:p>
        </w:tc>
      </w:tr>
      <w:tr>
        <w:trPr>
          <w:trHeight w:val="517" w:hRule="atLeast"/>
        </w:trPr>
        <w:tc>
          <w:tcPr>
            <w:tcW w:w="2106" w:type="dxa"/>
            <w:tcBorders>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bottom w:val="single" w:sz="4" w:space="0" w:color="000000"/>
              <w:right w:val="single" w:sz="4" w:space="0" w:color="000000"/>
            </w:tcBorders>
            <w:shd w:fill="auto" w:val="clear"/>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b/>
                <w:b/>
                <w:sz w:val="22"/>
                <w:szCs w:val="22"/>
              </w:rPr>
            </w:pPr>
            <w:r>
              <w:rPr>
                <w:rFonts w:cs="Arial"/>
                <w:b/>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We have a clear set of values that outline how we do business. We share these Borough-wide with our residents, partners and businesses:</w:t>
            </w:r>
          </w:p>
          <w:p>
            <w:pPr>
              <w:pStyle w:val="Normal"/>
              <w:numPr>
                <w:ilvl w:val="0"/>
                <w:numId w:val="3"/>
              </w:numPr>
              <w:spacing w:before="280" w:after="0"/>
              <w:jc w:val="both"/>
              <w:rPr/>
            </w:pPr>
            <w:r>
              <w:rPr>
                <w:rFonts w:cs="Arial"/>
                <w:b/>
                <w:bCs/>
                <w:sz w:val="22"/>
                <w:szCs w:val="22"/>
                <w:lang w:val="en" w:eastAsia="en-GB"/>
              </w:rPr>
              <w:t>Fairness - </w:t>
            </w:r>
            <w:r>
              <w:rPr>
                <w:rFonts w:cs="Arial"/>
                <w:sz w:val="22"/>
                <w:szCs w:val="22"/>
                <w:lang w:val="en" w:eastAsia="en-GB"/>
              </w:rPr>
              <w:t>We will champion fairness and equality of opportunity and ensure working together brings mutual benefits and the greatest possible added value. We will enable everyone to be involved.</w:t>
            </w:r>
          </w:p>
          <w:p>
            <w:pPr>
              <w:pStyle w:val="Normal"/>
              <w:numPr>
                <w:ilvl w:val="0"/>
                <w:numId w:val="3"/>
              </w:numPr>
              <w:spacing w:before="0" w:after="0"/>
              <w:jc w:val="both"/>
              <w:rPr/>
            </w:pPr>
            <w:r>
              <w:rPr>
                <w:rFonts w:cs="Arial"/>
                <w:b/>
                <w:bCs/>
                <w:sz w:val="22"/>
                <w:szCs w:val="22"/>
                <w:lang w:val="en" w:eastAsia="en-GB"/>
              </w:rPr>
              <w:t>Openness - </w:t>
            </w:r>
            <w:r>
              <w:rPr>
                <w:rFonts w:cs="Arial"/>
                <w:sz w:val="22"/>
                <w:szCs w:val="22"/>
                <w:lang w:val="en" w:eastAsia="en-GB"/>
              </w:rPr>
              <w:t>We will be open and honest in our actions and communications. We will take decisions in a transparent way and at the most local level possible.</w:t>
            </w:r>
          </w:p>
          <w:p>
            <w:pPr>
              <w:pStyle w:val="Normal"/>
              <w:numPr>
                <w:ilvl w:val="0"/>
                <w:numId w:val="3"/>
              </w:numPr>
              <w:spacing w:before="0" w:after="0"/>
              <w:jc w:val="both"/>
              <w:rPr/>
            </w:pPr>
            <w:r>
              <w:rPr>
                <w:rFonts w:cs="Arial"/>
                <w:b/>
                <w:bCs/>
                <w:sz w:val="22"/>
                <w:szCs w:val="22"/>
                <w:lang w:val="en" w:eastAsia="en-GB"/>
              </w:rPr>
              <w:t>Responsibility - </w:t>
            </w:r>
            <w:r>
              <w:rPr>
                <w:rFonts w:cs="Arial"/>
                <w:sz w:val="22"/>
                <w:szCs w:val="22"/>
                <w:lang w:val="en" w:eastAsia="en-GB"/>
              </w:rPr>
              <w:t>We take responsibility for, and answer to our actions. We will encourage people to take responsibility for themselves and their actions. Mutual benefits go hand-in-hand with mutual obligations.</w:t>
            </w:r>
          </w:p>
          <w:p>
            <w:pPr>
              <w:pStyle w:val="Normal"/>
              <w:numPr>
                <w:ilvl w:val="0"/>
                <w:numId w:val="3"/>
              </w:numPr>
              <w:spacing w:before="0" w:after="0"/>
              <w:jc w:val="both"/>
              <w:rPr/>
            </w:pPr>
            <w:r>
              <w:rPr>
                <w:rFonts w:cs="Arial"/>
                <w:b/>
                <w:bCs/>
                <w:sz w:val="22"/>
                <w:szCs w:val="22"/>
                <w:lang w:val="en" w:eastAsia="en-GB"/>
              </w:rPr>
              <w:t>Working together - </w:t>
            </w:r>
            <w:r>
              <w:rPr>
                <w:rFonts w:cs="Arial"/>
                <w:sz w:val="22"/>
                <w:szCs w:val="22"/>
                <w:lang w:val="en" w:eastAsia="en-GB"/>
              </w:rPr>
              <w:t>We will work together and support each other in achieving common goals, making sure the environment is in place for self-help.</w:t>
            </w:r>
          </w:p>
          <w:p>
            <w:pPr>
              <w:pStyle w:val="Normal"/>
              <w:numPr>
                <w:ilvl w:val="0"/>
                <w:numId w:val="3"/>
              </w:numPr>
              <w:spacing w:before="0" w:after="0"/>
              <w:jc w:val="both"/>
              <w:rPr/>
            </w:pPr>
            <w:r>
              <w:rPr>
                <w:rFonts w:cs="Arial"/>
                <w:b/>
                <w:bCs/>
                <w:sz w:val="22"/>
                <w:szCs w:val="22"/>
                <w:lang w:val="en" w:eastAsia="en-GB"/>
              </w:rPr>
              <w:t>Accountability - </w:t>
            </w:r>
            <w:r>
              <w:rPr>
                <w:rFonts w:cs="Arial"/>
                <w:sz w:val="22"/>
                <w:szCs w:val="22"/>
                <w:lang w:val="en" w:eastAsia="en-GB"/>
              </w:rPr>
              <w:t>We recognise and act upon the impact of our actions on others and hold ourselves accountable to our stakeholders.</w:t>
            </w:r>
          </w:p>
          <w:p>
            <w:pPr>
              <w:pStyle w:val="Normal"/>
              <w:numPr>
                <w:ilvl w:val="0"/>
                <w:numId w:val="3"/>
              </w:numPr>
              <w:spacing w:before="0" w:after="0"/>
              <w:jc w:val="both"/>
              <w:rPr/>
            </w:pPr>
            <w:r>
              <w:rPr>
                <w:rFonts w:cs="Arial"/>
                <w:b/>
                <w:bCs/>
                <w:sz w:val="22"/>
                <w:szCs w:val="22"/>
                <w:lang w:val="en" w:eastAsia="en-GB"/>
              </w:rPr>
              <w:t>Respect - </w:t>
            </w:r>
            <w:r>
              <w:rPr>
                <w:rFonts w:cs="Arial"/>
                <w:sz w:val="22"/>
                <w:szCs w:val="22"/>
                <w:lang w:val="en" w:eastAsia="en-GB"/>
              </w:rPr>
              <w:t>We recognise and welcome different views and treat each other with dignity and respect.</w:t>
            </w:r>
          </w:p>
          <w:p>
            <w:pPr>
              <w:pStyle w:val="Normal"/>
              <w:numPr>
                <w:ilvl w:val="0"/>
                <w:numId w:val="3"/>
              </w:numPr>
              <w:spacing w:before="0" w:after="280"/>
              <w:jc w:val="both"/>
              <w:rPr/>
            </w:pPr>
            <w:r>
              <w:rPr>
                <w:rFonts w:cs="Arial"/>
                <w:b/>
                <w:bCs/>
                <w:sz w:val="22"/>
                <w:szCs w:val="22"/>
                <w:lang w:val="en" w:eastAsia="en-GB"/>
              </w:rPr>
              <w:t>Democracy - </w:t>
            </w:r>
            <w:r>
              <w:rPr>
                <w:rFonts w:cs="Arial"/>
                <w:sz w:val="22"/>
                <w:szCs w:val="22"/>
                <w:lang w:val="en" w:eastAsia="en-GB"/>
              </w:rPr>
              <w:t>We believe and act within the principles of democracy and promote these across the borough. </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rFonts w:cs="Arial"/>
                <w:sz w:val="22"/>
                <w:szCs w:val="22"/>
              </w:rPr>
            </w:pPr>
            <w:r>
              <w:rPr>
                <w:rFonts w:cs="Arial"/>
                <w:sz w:val="22"/>
                <w:szCs w:val="22"/>
              </w:rPr>
              <w:t>Work with a Resident Focus</w:t>
            </w:r>
          </w:p>
          <w:p>
            <w:pPr>
              <w:pStyle w:val="Normal"/>
              <w:numPr>
                <w:ilvl w:val="0"/>
                <w:numId w:val="2"/>
              </w:numPr>
              <w:rPr>
                <w:rFonts w:cs="Arial"/>
                <w:sz w:val="22"/>
                <w:szCs w:val="22"/>
              </w:rPr>
            </w:pPr>
            <w:r>
              <w:rPr>
                <w:rFonts w:cs="Arial"/>
                <w:sz w:val="22"/>
                <w:szCs w:val="22"/>
              </w:rPr>
              <w:t>Support Local Leaders</w:t>
            </w:r>
          </w:p>
          <w:p>
            <w:pPr>
              <w:pStyle w:val="Normal"/>
              <w:numPr>
                <w:ilvl w:val="0"/>
                <w:numId w:val="2"/>
              </w:numPr>
              <w:rPr>
                <w:rFonts w:cs="Arial"/>
                <w:sz w:val="22"/>
                <w:szCs w:val="22"/>
              </w:rPr>
            </w:pPr>
            <w:r>
              <w:rPr>
                <w:rFonts w:cs="Arial"/>
                <w:sz w:val="22"/>
                <w:szCs w:val="22"/>
              </w:rPr>
              <w:t>Committed to the Borough</w:t>
            </w:r>
          </w:p>
          <w:p>
            <w:pPr>
              <w:pStyle w:val="Normal"/>
              <w:numPr>
                <w:ilvl w:val="0"/>
                <w:numId w:val="2"/>
              </w:numPr>
              <w:rPr>
                <w:rFonts w:cs="Arial"/>
                <w:sz w:val="22"/>
                <w:szCs w:val="22"/>
              </w:rPr>
            </w:pPr>
            <w:r>
              <w:rPr>
                <w:rFonts w:cs="Arial"/>
                <w:sz w:val="22"/>
                <w:szCs w:val="22"/>
              </w:rPr>
              <w:t>Take Ownership and Drive Change</w:t>
            </w:r>
          </w:p>
          <w:p>
            <w:pPr>
              <w:pStyle w:val="Normal"/>
              <w:numPr>
                <w:ilvl w:val="0"/>
                <w:numId w:val="2"/>
              </w:numPr>
              <w:rPr>
                <w:rFonts w:cs="Arial"/>
                <w:sz w:val="22"/>
                <w:szCs w:val="22"/>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February 2018</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J. Garforth</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TS &amp; Licensing Manager</w:t>
            </w:r>
          </w:p>
        </w:tc>
      </w:tr>
      <w:tr>
        <w:trPr/>
        <w:tc>
          <w:tcPr>
            <w:tcW w:w="162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b/>
                <w:b/>
                <w:sz w:val="22"/>
                <w:szCs w:val="22"/>
              </w:rPr>
            </w:pPr>
            <w:r>
              <w:rPr>
                <w:rFonts w:cs="Arial"/>
                <w:b/>
                <w:sz w:val="22"/>
                <w:szCs w:val="22"/>
              </w:rPr>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b/>
                <w:b/>
                <w:sz w:val="22"/>
                <w:szCs w:val="22"/>
              </w:rPr>
            </w:pPr>
            <w:r>
              <w:rPr>
                <w:rFonts w:cs="Arial"/>
                <w:b/>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Licensing Projects and Hearings Officer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b/>
                <w:b/>
                <w:bCs/>
                <w:sz w:val="22"/>
                <w:szCs w:val="22"/>
              </w:rPr>
            </w:pPr>
            <w:r>
              <w:rPr>
                <w:rFonts w:cs="Arial"/>
                <w:b/>
                <w:bCs/>
                <w:sz w:val="22"/>
                <w:szCs w:val="22"/>
              </w:rPr>
            </w:r>
          </w:p>
          <w:p>
            <w:pPr>
              <w:pStyle w:val="Header"/>
              <w:tabs>
                <w:tab w:val="clear" w:pos="4153"/>
                <w:tab w:val="clear" w:pos="8306"/>
              </w:tabs>
              <w:rPr>
                <w:szCs w:val="22"/>
              </w:rPr>
            </w:pPr>
            <w:r>
              <w:rPr>
                <w:szCs w:val="22"/>
              </w:rPr>
              <w:t>Literacy and numeracy sufficient to undertake the tasks and duties of the role.</w:t>
            </w:r>
          </w:p>
          <w:p>
            <w:pPr>
              <w:pStyle w:val="Header"/>
              <w:tabs>
                <w:tab w:val="clear" w:pos="4153"/>
                <w:tab w:val="clear" w:pos="8306"/>
              </w:tabs>
              <w:rPr>
                <w:szCs w:val="22"/>
              </w:rPr>
            </w:pPr>
            <w:r>
              <w:rPr>
                <w:szCs w:val="22"/>
              </w:rPr>
            </w:r>
          </w:p>
          <w:p>
            <w:pPr>
              <w:pStyle w:val="Header"/>
              <w:tabs>
                <w:tab w:val="clear" w:pos="4153"/>
                <w:tab w:val="clear" w:pos="8306"/>
              </w:tabs>
              <w:rPr>
                <w:szCs w:val="22"/>
              </w:rPr>
            </w:pPr>
            <w:r>
              <w:rPr>
                <w:szCs w:val="22"/>
              </w:rPr>
              <w:t>Holding or working towards the Award for Personal Licence holders or Professional Licensing Practitioners Qualification.</w:t>
            </w:r>
          </w:p>
          <w:p>
            <w:pPr>
              <w:pStyle w:val="Header"/>
              <w:tabs>
                <w:tab w:val="clear" w:pos="4153"/>
                <w:tab w:val="clear" w:pos="8306"/>
              </w:tabs>
              <w:rPr>
                <w:szCs w:val="22"/>
              </w:rPr>
            </w:pPr>
            <w:r>
              <w:rPr>
                <w:szCs w:val="22"/>
              </w:rPr>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p>
            <w:pPr>
              <w:pStyle w:val="Header"/>
              <w:tabs>
                <w:tab w:val="clear" w:pos="4153"/>
                <w:tab w:val="clear" w:pos="8306"/>
              </w:tabs>
              <w:rPr>
                <w:szCs w:val="22"/>
              </w:rPr>
            </w:pPr>
            <w:r>
              <w:rPr>
                <w:szCs w:val="22"/>
              </w:rPr>
              <w:t xml:space="preserve">Prince 2 Foundation Certificate </w:t>
            </w:r>
          </w:p>
          <w:p>
            <w:pPr>
              <w:pStyle w:val="Header"/>
              <w:tabs>
                <w:tab w:val="clear" w:pos="4153"/>
                <w:tab w:val="clear" w:pos="8306"/>
              </w:tabs>
              <w:rPr>
                <w:szCs w:val="22"/>
              </w:rPr>
            </w:pPr>
            <w:r>
              <w:rPr>
                <w:szCs w:val="22"/>
              </w:rPr>
              <w:t>(bring to interview if achieved)</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jc w:val="center"/>
              <w:rPr>
                <w:szCs w:val="22"/>
              </w:rPr>
            </w:pPr>
            <w:r>
              <w:rPr>
                <w:szCs w:val="22"/>
              </w:rPr>
            </w:r>
          </w:p>
          <w:p>
            <w:pPr>
              <w:pStyle w:val="Header"/>
              <w:tabs>
                <w:tab w:val="clear" w:pos="4153"/>
                <w:tab w:val="clear" w:pos="8306"/>
              </w:tabs>
              <w:jc w:val="center"/>
              <w:rPr>
                <w:szCs w:val="22"/>
              </w:rPr>
            </w:pPr>
            <w:r>
              <w:rPr>
                <w:szCs w:val="22"/>
              </w:rPr>
              <w:t>AF / I</w:t>
            </w:r>
          </w:p>
          <w:p>
            <w:pPr>
              <w:pStyle w:val="Header"/>
              <w:tabs>
                <w:tab w:val="clear" w:pos="4153"/>
                <w:tab w:val="clear" w:pos="8306"/>
              </w:tabs>
              <w:jc w:val="center"/>
              <w:rPr>
                <w:szCs w:val="22"/>
              </w:rPr>
            </w:pPr>
            <w:r>
              <w:rPr>
                <w:szCs w:val="22"/>
              </w:rPr>
            </w:r>
          </w:p>
          <w:p>
            <w:pPr>
              <w:pStyle w:val="Header"/>
              <w:tabs>
                <w:tab w:val="clear" w:pos="4153"/>
                <w:tab w:val="clear" w:pos="8306"/>
              </w:tabs>
              <w:jc w:val="center"/>
              <w:rPr>
                <w:szCs w:val="22"/>
              </w:rPr>
            </w:pPr>
            <w:r>
              <w:rPr>
                <w:szCs w:val="22"/>
              </w:rPr>
            </w:r>
          </w:p>
          <w:p>
            <w:pPr>
              <w:pStyle w:val="Header"/>
              <w:tabs>
                <w:tab w:val="clear" w:pos="4153"/>
                <w:tab w:val="clear" w:pos="8306"/>
              </w:tabs>
              <w:jc w:val="center"/>
              <w:rPr>
                <w:szCs w:val="22"/>
              </w:rPr>
            </w:pPr>
            <w:r>
              <w:rPr>
                <w:szCs w:val="22"/>
              </w:rPr>
            </w:r>
          </w:p>
          <w:p>
            <w:pPr>
              <w:pStyle w:val="Endnote"/>
              <w:jc w:val="center"/>
              <w:rPr>
                <w:szCs w:val="22"/>
              </w:rPr>
            </w:pPr>
            <w:r>
              <w:rPr>
                <w:szCs w:val="22"/>
              </w:rPr>
              <w:t>AF/I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Experience of working within a licensing team.</w:t>
            </w:r>
          </w:p>
          <w:p>
            <w:pPr>
              <w:pStyle w:val="Normal"/>
              <w:rPr>
                <w:sz w:val="22"/>
                <w:szCs w:val="22"/>
              </w:rPr>
            </w:pPr>
            <w:r>
              <w:rPr>
                <w:sz w:val="22"/>
                <w:szCs w:val="22"/>
              </w:rPr>
            </w:r>
          </w:p>
          <w:p>
            <w:pPr>
              <w:pStyle w:val="Normal"/>
              <w:rPr>
                <w:sz w:val="22"/>
                <w:szCs w:val="22"/>
              </w:rPr>
            </w:pPr>
            <w:r>
              <w:rPr>
                <w:sz w:val="22"/>
                <w:szCs w:val="22"/>
              </w:rPr>
              <w:t>Experience of undertaking a range of co-ordination and monitoring activities to support others to successfully deliver projects and/or programmes of work</w:t>
            </w:r>
          </w:p>
          <w:p>
            <w:pPr>
              <w:pStyle w:val="Normal"/>
              <w:rPr>
                <w:sz w:val="22"/>
                <w:szCs w:val="22"/>
              </w:rPr>
            </w:pPr>
            <w:r>
              <w:rPr>
                <w:sz w:val="22"/>
                <w:szCs w:val="22"/>
              </w:rPr>
            </w:r>
          </w:p>
          <w:p>
            <w:pPr>
              <w:pStyle w:val="Normal"/>
              <w:rPr>
                <w:sz w:val="22"/>
                <w:szCs w:val="22"/>
              </w:rPr>
            </w:pPr>
            <w:r>
              <w:rPr>
                <w:sz w:val="22"/>
                <w:szCs w:val="22"/>
              </w:rPr>
              <w:t>Experience of researching, collating, processing and analysing information/data of potentially complex data sets to support project planning and delivery activities</w:t>
            </w:r>
          </w:p>
          <w:p>
            <w:pPr>
              <w:pStyle w:val="Normal"/>
              <w:rPr>
                <w:sz w:val="22"/>
                <w:szCs w:val="22"/>
              </w:rPr>
            </w:pPr>
            <w:r>
              <w:rPr>
                <w:sz w:val="22"/>
                <w:szCs w:val="22"/>
              </w:rPr>
            </w:r>
          </w:p>
          <w:p>
            <w:pPr>
              <w:pStyle w:val="Normal"/>
              <w:rPr>
                <w:sz w:val="22"/>
                <w:szCs w:val="22"/>
              </w:rPr>
            </w:pPr>
            <w:r>
              <w:rPr>
                <w:sz w:val="22"/>
                <w:szCs w:val="22"/>
              </w:rPr>
              <w:t>Experience of giving advice and guidance tailored to the situation and appropriate to the relevant audience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Experience of maintaining and updating a variety of systems including spreadsheets and databases including ideally the Lalpac licensing database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Experience of working with Elected Members, committee structures and the ability to demonstrate political sensitivity.</w:t>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ind w:left="-102" w:right="0" w:hanging="0"/>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rPr>
                <w:sz w:val="22"/>
                <w:szCs w:val="22"/>
              </w:rPr>
            </w:pPr>
            <w:r>
              <w:rPr>
                <w:sz w:val="22"/>
                <w:szCs w:val="22"/>
              </w:rPr>
              <w:t>Interpersonal skills to establish and maintain professional relationships with others at all levels within the organisation to encourage and persuade other to engage with progressing the objectives of the project</w:t>
            </w:r>
          </w:p>
          <w:p>
            <w:pPr>
              <w:pStyle w:val="Normal"/>
              <w:rPr>
                <w:sz w:val="22"/>
                <w:szCs w:val="22"/>
              </w:rPr>
            </w:pPr>
            <w:r>
              <w:rPr>
                <w:sz w:val="22"/>
                <w:szCs w:val="22"/>
              </w:rPr>
            </w:r>
          </w:p>
          <w:p>
            <w:pPr>
              <w:pStyle w:val="Normal"/>
              <w:rPr>
                <w:sz w:val="22"/>
                <w:szCs w:val="22"/>
              </w:rPr>
            </w:pPr>
            <w:r>
              <w:rPr>
                <w:sz w:val="22"/>
                <w:szCs w:val="22"/>
              </w:rPr>
              <w:t>Communication skills to write straightforward reports and other documentation appropriate to the intended audience</w:t>
            </w:r>
          </w:p>
          <w:p>
            <w:pPr>
              <w:pStyle w:val="Normal"/>
              <w:rPr>
                <w:sz w:val="22"/>
                <w:szCs w:val="22"/>
              </w:rPr>
            </w:pPr>
            <w:r>
              <w:rPr>
                <w:sz w:val="22"/>
                <w:szCs w:val="22"/>
              </w:rPr>
            </w:r>
          </w:p>
          <w:p>
            <w:pPr>
              <w:pStyle w:val="Normal"/>
              <w:rPr>
                <w:sz w:val="22"/>
                <w:szCs w:val="22"/>
              </w:rPr>
            </w:pPr>
            <w:r>
              <w:rPr>
                <w:sz w:val="22"/>
                <w:szCs w:val="22"/>
              </w:rPr>
              <w:t>Organisational skills to prioritise own workload taking into account potentially conflicting deadlines</w:t>
            </w:r>
          </w:p>
          <w:p>
            <w:pPr>
              <w:pStyle w:val="Normal"/>
              <w:rPr>
                <w:sz w:val="22"/>
                <w:szCs w:val="22"/>
              </w:rPr>
            </w:pPr>
            <w:r>
              <w:rPr>
                <w:sz w:val="22"/>
                <w:szCs w:val="22"/>
              </w:rPr>
            </w:r>
          </w:p>
          <w:p>
            <w:pPr>
              <w:pStyle w:val="Normal"/>
              <w:rPr>
                <w:sz w:val="22"/>
                <w:szCs w:val="22"/>
              </w:rPr>
            </w:pPr>
            <w:r>
              <w:rPr>
                <w:sz w:val="22"/>
                <w:szCs w:val="22"/>
              </w:rPr>
              <w:t>Teamwork skills to support and encourage other team members to achieve common goals to the required quality standards</w:t>
            </w:r>
          </w:p>
          <w:p>
            <w:pPr>
              <w:pStyle w:val="Normal"/>
              <w:rPr>
                <w:sz w:val="22"/>
                <w:szCs w:val="22"/>
              </w:rPr>
            </w:pPr>
            <w:r>
              <w:rPr>
                <w:sz w:val="22"/>
                <w:szCs w:val="22"/>
              </w:rPr>
            </w:r>
          </w:p>
          <w:p>
            <w:pPr>
              <w:pStyle w:val="Normal"/>
              <w:rPr>
                <w:sz w:val="22"/>
                <w:szCs w:val="22"/>
              </w:rPr>
            </w:pPr>
            <w:r>
              <w:rPr>
                <w:sz w:val="22"/>
                <w:szCs w:val="22"/>
              </w:rPr>
              <w:t>Initiative to respond to unanticipated problems which may be outside of current procedures, where decisions could be made without reference to a line manager</w:t>
            </w:r>
          </w:p>
          <w:p>
            <w:pPr>
              <w:pStyle w:val="Normal"/>
              <w:rPr>
                <w:sz w:val="22"/>
                <w:szCs w:val="22"/>
              </w:rPr>
            </w:pPr>
            <w:r>
              <w:rPr>
                <w:sz w:val="22"/>
                <w:szCs w:val="22"/>
              </w:rPr>
            </w:r>
          </w:p>
          <w:p>
            <w:pPr>
              <w:pStyle w:val="Normal"/>
              <w:rPr>
                <w:sz w:val="22"/>
                <w:szCs w:val="22"/>
              </w:rPr>
            </w:pPr>
            <w:r>
              <w:rPr>
                <w:sz w:val="22"/>
                <w:szCs w:val="22"/>
              </w:rPr>
              <w:t>Able to concentrate, be methodical and have attention to detail over tasks relating to data and reports</w:t>
            </w:r>
          </w:p>
          <w:p>
            <w:pPr>
              <w:pStyle w:val="Normal"/>
              <w:rPr>
                <w:rFonts w:eastAsia="Arial" w:cs="Arial"/>
                <w:sz w:val="22"/>
                <w:szCs w:val="22"/>
              </w:rPr>
            </w:pPr>
            <w:r>
              <w:rPr>
                <w:rFonts w:eastAsia="Arial" w:cs="Arial"/>
                <w:sz w:val="22"/>
                <w:szCs w:val="22"/>
              </w:rPr>
              <w:t xml:space="preserve"> </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ind w:left="360" w:right="0" w:hanging="0"/>
              <w:rPr>
                <w:rFonts w:ascii="Gautami" w:hAnsi="Gautami" w:cs="Arial"/>
                <w:sz w:val="22"/>
                <w:szCs w:val="22"/>
              </w:rPr>
            </w:pPr>
            <w:r>
              <w:rPr>
                <w:rFonts w:cs="Arial"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Endnote"/>
              <w:jc w:val="center"/>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Detailed knowledge of Licensing Act 2003, Gambling Act 2005, Private Hire and Hackney legislation and other key licensing regimes.</w:t>
            </w:r>
          </w:p>
          <w:p>
            <w:pPr>
              <w:pStyle w:val="Normal"/>
              <w:rPr>
                <w:sz w:val="22"/>
                <w:szCs w:val="22"/>
              </w:rPr>
            </w:pPr>
            <w:r>
              <w:rPr>
                <w:sz w:val="22"/>
                <w:szCs w:val="22"/>
              </w:rPr>
            </w:r>
          </w:p>
          <w:p>
            <w:pPr>
              <w:pStyle w:val="Normal"/>
              <w:rPr>
                <w:sz w:val="22"/>
                <w:szCs w:val="22"/>
                <w:lang w:val="en-US"/>
              </w:rPr>
            </w:pPr>
            <w:r>
              <w:rPr>
                <w:sz w:val="22"/>
                <w:szCs w:val="22"/>
                <w:lang w:val="en-US"/>
              </w:rPr>
              <w:t>Understanding of the project support requirements that could be undertaken at different stages over the project lifestyle</w:t>
            </w:r>
          </w:p>
          <w:p>
            <w:pPr>
              <w:pStyle w:val="Normal"/>
              <w:rPr>
                <w:sz w:val="22"/>
                <w:szCs w:val="22"/>
                <w:lang w:val="en-US"/>
              </w:rPr>
            </w:pPr>
            <w:r>
              <w:rPr>
                <w:sz w:val="22"/>
                <w:szCs w:val="22"/>
                <w:lang w:val="en-US"/>
              </w:rPr>
            </w:r>
          </w:p>
          <w:p>
            <w:pPr>
              <w:pStyle w:val="Normal"/>
              <w:rPr>
                <w:sz w:val="22"/>
                <w:szCs w:val="22"/>
                <w:lang w:val="en-US"/>
              </w:rPr>
            </w:pPr>
            <w:r>
              <w:rPr>
                <w:sz w:val="22"/>
                <w:szCs w:val="22"/>
                <w:lang w:val="en-US"/>
              </w:rPr>
              <w:t>Knowledge of equality of diversity issues</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br/>
              <w:t>AF / I</w:t>
            </w:r>
          </w:p>
          <w:p>
            <w:pPr>
              <w:pStyle w:val="Normal"/>
              <w:jc w:val="center"/>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t>AF / I</w:t>
            </w:r>
          </w:p>
          <w:p>
            <w:pPr>
              <w:pStyle w:val="Normal"/>
              <w:jc w:val="center"/>
              <w:rPr>
                <w:sz w:val="22"/>
                <w:szCs w:val="22"/>
              </w:rPr>
            </w:pPr>
            <w:r>
              <w:rPr>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tabs>
                <w:tab w:val="clear" w:pos="720"/>
                <w:tab w:val="left" w:pos="389" w:leader="none"/>
              </w:tabs>
              <w:overflowPunct w:val="true"/>
              <w:snapToGrid w:val="false"/>
              <w:textAlignment w:val="baseline"/>
              <w:rPr>
                <w:rFonts w:cs="Arial"/>
                <w:b/>
                <w:b/>
                <w:bCs/>
                <w:sz w:val="22"/>
                <w:szCs w:val="22"/>
              </w:rPr>
            </w:pPr>
            <w:r>
              <w:rPr>
                <w:rFonts w:cs="Arial"/>
                <w:b/>
                <w:bCs/>
                <w:sz w:val="22"/>
                <w:szCs w:val="22"/>
              </w:rPr>
            </w:r>
          </w:p>
          <w:p>
            <w:pPr>
              <w:pStyle w:val="Normal"/>
              <w:rPr>
                <w:sz w:val="22"/>
                <w:szCs w:val="22"/>
              </w:rPr>
            </w:pPr>
            <w:r>
              <w:rPr>
                <w:sz w:val="22"/>
                <w:szCs w:val="22"/>
              </w:rPr>
              <w:t>Able to work flexibly to meet the needs of the service including at different locations</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sz w:val="22"/>
                <w:szCs w:val="22"/>
              </w:rPr>
            </w:pPr>
            <w:r>
              <w:rPr>
                <w:sz w:val="22"/>
                <w:szCs w:val="22"/>
              </w:rPr>
              <w:t>Interview</w:t>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rFonts w:cs="Arial"/>
          <w:b/>
          <w:b/>
          <w:bCs/>
          <w:sz w:val="22"/>
          <w:szCs w:val="22"/>
        </w:rPr>
      </w:pPr>
      <w:r>
        <w:rPr>
          <w:rFonts w:cs="Arial"/>
          <w:b/>
          <w:bCs/>
          <w:sz w:val="22"/>
          <w:szCs w:val="22"/>
        </w:rPr>
        <w:t>NB. - Any candidate that meets the criteria of our Guaranteed Assessment Scheme and meets the essential criteria will be guaranteed an interview. Our Guaranteed Assessment Scheme supports candidates with disabilities, those who are aged 24 or under and have previously been in or currently in care, and those whose last long term substantive employer was the Armed Forces.</w:t>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Annotationsubject">
    <w:name w:val="annotation subject"/>
    <w:basedOn w:val="Annotationtext"/>
    <w:next w:val="Annotationtext"/>
    <w:qFormat/>
    <w:pPr/>
    <w:rPr>
      <w:rFonts w:ascii="Arial" w:hAnsi="Arial" w:cs="Arial"/>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