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IBM Plex Sans Condensed ExtraLi" w:hAnsi="IBM Plex Sans Condensed ExtraLi" w:cs="IBM Plex Sans Condensed ExtraLi"/>
          <w:b/>
          <w:bCs/>
          <w:sz w:val="32"/>
          <w:szCs w:val="32"/>
        </w:rPr>
      </w:pPr>
      <w:r>
        <w:rPr>
          <w:rFonts w:cs="IBM Plex Sans Condensed ExtraLi" w:ascii="IBM Plex Sans Condensed ExtraLi" w:hAnsi="IBM Plex Sans Condensed ExtraLi"/>
          <w:b/>
          <w:bCs/>
          <w:sz w:val="32"/>
          <w:szCs w:val="32"/>
        </w:rPr>
        <w:t>Crompton House Church of England Multi Academy Trust</w:t>
      </w:r>
    </w:p>
    <w:tbl>
      <w:tblPr>
        <w:tblW w:w="9492" w:type="dxa"/>
        <w:jc w:val="left"/>
        <w:tblInd w:w="108" w:type="dxa"/>
        <w:tblLayout w:type="fixed"/>
        <w:tblCellMar>
          <w:top w:w="0" w:type="dxa"/>
          <w:left w:w="108" w:type="dxa"/>
          <w:bottom w:w="0" w:type="dxa"/>
          <w:right w:w="108" w:type="dxa"/>
        </w:tblCellMar>
      </w:tblPr>
      <w:tblGrid>
        <w:gridCol w:w="1696"/>
        <w:gridCol w:w="2552"/>
        <w:gridCol w:w="1275"/>
        <w:gridCol w:w="3969"/>
      </w:tblGrid>
      <w:tr>
        <w:trPr/>
        <w:tc>
          <w:tcPr>
            <w:tcW w:w="9492"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JOB DESCRIPTION</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r>
      <w:tr>
        <w:trPr/>
        <w:tc>
          <w:tcPr>
            <w:tcW w:w="169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Post Title:</w:t>
            </w:r>
          </w:p>
        </w:tc>
        <w:tc>
          <w:tcPr>
            <w:tcW w:w="7796"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IBM Plex Sans Condensed ExtraLi" w:hAnsi="IBM Plex Sans Condensed ExtraLi" w:cs="IBM Plex Sans Condensed ExtraLi"/>
                <w:szCs w:val="24"/>
              </w:rPr>
            </w:pPr>
            <w:r>
              <w:rPr>
                <w:rFonts w:cs="IBM Plex Sans Condensed ExtraLi" w:ascii="IBM Plex Sans Condensed ExtraLi" w:hAnsi="IBM Plex Sans Condensed ExtraLi"/>
                <w:szCs w:val="24"/>
              </w:rPr>
              <w:t>Trust IT Technician</w:t>
              <w:br/>
            </w:r>
          </w:p>
        </w:tc>
      </w:tr>
      <w:tr>
        <w:trPr/>
        <w:tc>
          <w:tcPr>
            <w:tcW w:w="169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Location</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c>
          <w:tcPr>
            <w:tcW w:w="7796"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Crompton House Church of England School, with regular travel to other Trust schools</w:t>
            </w:r>
          </w:p>
        </w:tc>
      </w:tr>
      <w:tr>
        <w:trPr/>
        <w:tc>
          <w:tcPr>
            <w:tcW w:w="169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 xml:space="preserve">Department </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c>
          <w:tcPr>
            <w:tcW w:w="7796"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IT Services</w:t>
            </w:r>
          </w:p>
        </w:tc>
      </w:tr>
      <w:tr>
        <w:trPr/>
        <w:tc>
          <w:tcPr>
            <w:tcW w:w="169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Grade:</w:t>
            </w:r>
          </w:p>
        </w:tc>
        <w:tc>
          <w:tcPr>
            <w:tcW w:w="25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3 (SCP 7-11)</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Hours:</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36.66 hours per week, Full Year</w:t>
            </w:r>
          </w:p>
        </w:tc>
      </w:tr>
    </w:tbl>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bl>
      <w:tblPr>
        <w:tblW w:w="9492" w:type="dxa"/>
        <w:jc w:val="left"/>
        <w:tblInd w:w="108" w:type="dxa"/>
        <w:tblLayout w:type="fixed"/>
        <w:tblCellMar>
          <w:top w:w="0" w:type="dxa"/>
          <w:left w:w="108" w:type="dxa"/>
          <w:bottom w:w="0" w:type="dxa"/>
          <w:right w:w="108" w:type="dxa"/>
        </w:tblCellMar>
      </w:tblPr>
      <w:tblGrid>
        <w:gridCol w:w="1980"/>
        <w:gridCol w:w="7512"/>
      </w:tblGrid>
      <w:tr>
        <w:trPr/>
        <w:tc>
          <w:tcPr>
            <w:tcW w:w="198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PURPOSE OF POST</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Working under the direction of the Trust Technical Support Lead, provide first-line IT support to pupils and staff across the Trust's schools, through the IT helpdesk and scheduled support visits to primary schools, so that IT systems are reliable, secure and support teaching and learning.</w:t>
            </w:r>
          </w:p>
        </w:tc>
      </w:tr>
    </w:tbl>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bl>
      <w:tblPr>
        <w:tblW w:w="9493" w:type="dxa"/>
        <w:jc w:val="left"/>
        <w:tblInd w:w="108" w:type="dxa"/>
        <w:tblLayout w:type="fixed"/>
        <w:tblCellMar>
          <w:top w:w="0" w:type="dxa"/>
          <w:left w:w="108" w:type="dxa"/>
          <w:bottom w:w="0" w:type="dxa"/>
          <w:right w:w="108" w:type="dxa"/>
        </w:tblCellMar>
      </w:tblPr>
      <w:tblGrid>
        <w:gridCol w:w="9493"/>
      </w:tblGrid>
      <w:tr>
        <w:trPr>
          <w:trHeight w:val="535" w:hRule="atLeast"/>
        </w:trPr>
        <w:tc>
          <w:tcPr>
            <w:tcW w:w="9493"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KEY TASKS:</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c>
          <w:tcPr>
            <w:tcW w:w="949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ind w:left="720" w:right="0"/>
              <w:jc w:val="center"/>
              <w:rPr>
                <w:rFonts w:ascii="IBM Plex Sans Condensed ExtraLi" w:hAnsi="IBM Plex Sans Condensed ExtraLi" w:cs="IBM Plex Sans Condensed ExtraLi"/>
                <w:b/>
                <w:bCs/>
                <w:szCs w:val="24"/>
              </w:rPr>
            </w:pPr>
            <w:r>
              <w:rPr>
                <w:rFonts w:cs="IBM Plex Sans Condensed ExtraLi" w:ascii="IBM Plex Sans Condensed ExtraLi" w:hAnsi="IBM Plex Sans Condensed ExtraLi"/>
                <w:b/>
                <w:bCs/>
                <w:szCs w:val="24"/>
              </w:rPr>
              <w:t>SUPPORT</w:t>
            </w:r>
          </w:p>
        </w:tc>
      </w:tr>
      <w:tr>
        <w:trPr/>
        <w:tc>
          <w:tcPr>
            <w:tcW w:w="9493" w:type="dxa"/>
            <w:tcBorders>
              <w:top w:val="single" w:sz="4" w:space="0" w:color="000000"/>
              <w:left w:val="single" w:sz="4" w:space="0" w:color="000000"/>
              <w:bottom w:val="single" w:sz="4" w:space="0" w:color="000000"/>
              <w:right w:val="single" w:sz="4" w:space="0" w:color="000000"/>
            </w:tcBorders>
          </w:tcPr>
          <w:p>
            <w:pPr>
              <w:pStyle w:val="BodyText"/>
              <w:snapToGrid w:val="false"/>
              <w:spacing w:lineRule="auto" w:line="240" w:before="0" w:after="0"/>
              <w:ind w:left="720" w:right="0"/>
              <w:jc w:val="both"/>
              <w:rPr>
                <w:rFonts w:ascii="IBM Plex Sans Condensed ExtraLi" w:hAnsi="IBM Plex Sans Condensed ExtraLi" w:cs="IBM Plex Sans Condensed ExtraLi"/>
                <w:sz w:val="22"/>
                <w:szCs w:val="22"/>
              </w:rPr>
            </w:pPr>
            <w:r>
              <w:rPr>
                <w:rFonts w:cs="IBM Plex Sans Condensed ExtraLi" w:ascii="IBM Plex Sans Condensed ExtraLi" w:hAnsi="IBM Plex Sans Condensed ExtraLi"/>
                <w:sz w:val="22"/>
                <w:szCs w:val="22"/>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Serve as the initial point of contact for all IT-related issues, providing timely and effective support to students and staff.</w:t>
            </w:r>
          </w:p>
          <w:p>
            <w:pPr>
              <w:pStyle w:val="BodyText"/>
              <w:spacing w:lineRule="auto" w:line="240" w:before="0" w:after="0"/>
              <w:ind w:left="447" w:right="0"/>
              <w:jc w:val="both"/>
              <w:rPr>
                <w:rFonts w:ascii="IBM Plex Sans Condensed ExtraLi" w:hAnsi="IBM Plex Sans Condensed ExtraLi" w:cs="IBM Plex Sans Condensed ExtraLi"/>
                <w:sz w:val="22"/>
                <w:szCs w:val="22"/>
                <w:lang w:val="en-GB"/>
              </w:rPr>
            </w:pPr>
            <w:r>
              <w:rPr>
                <w:rFonts w:cs="IBM Plex Sans Condensed ExtraLi" w:ascii="IBM Plex Sans Condensed ExtraLi" w:hAnsi="IBM Plex Sans Condensed ExtraLi"/>
                <w:sz w:val="22"/>
                <w:szCs w:val="22"/>
                <w:lang w:val="en-GB"/>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Provide high quality support, manage requests, and record details of problems on the IT Helpdesk.</w:t>
            </w:r>
          </w:p>
          <w:p>
            <w:pPr>
              <w:pStyle w:val="BodyText"/>
              <w:spacing w:lineRule="auto" w:line="240" w:before="0" w:after="0"/>
              <w:jc w:val="both"/>
              <w:rPr>
                <w:rFonts w:ascii="IBM Plex Sans Condensed ExtraLi" w:hAnsi="IBM Plex Sans Condensed ExtraLi" w:cs="IBM Plex Sans Condensed ExtraLi"/>
                <w:sz w:val="22"/>
                <w:szCs w:val="22"/>
                <w:lang w:val="en-GB"/>
              </w:rPr>
            </w:pPr>
            <w:r>
              <w:rPr>
                <w:rFonts w:cs="IBM Plex Sans Condensed ExtraLi" w:ascii="IBM Plex Sans Condensed ExtraLi" w:hAnsi="IBM Plex Sans Condensed ExtraLi"/>
                <w:sz w:val="22"/>
                <w:szCs w:val="22"/>
                <w:lang w:val="en-GB"/>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Promote proactive support and services to all users to prevent issues re-occurring.</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2"/>
              </w:numPr>
              <w:spacing w:lineRule="auto" w:line="240" w:before="0" w:after="0"/>
              <w:ind w:hanging="425" w:left="447" w:right="0"/>
              <w:jc w:val="both"/>
              <w:rPr/>
            </w:pPr>
            <w:r>
              <w:rPr>
                <w:rFonts w:eastAsia="Arial" w:cs="IBM Plex Sans Condensed ExtraLi" w:ascii="IBM Plex Sans Condensed ExtraLi" w:hAnsi="IBM Plex Sans Condensed ExtraLi"/>
                <w:sz w:val="22"/>
                <w:szCs w:val="22"/>
              </w:rPr>
              <w:t>Set up, enroll and deploy devices using the Trust's device management tools (e.g. Microsoft Intune), as directed.</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2"/>
              </w:numPr>
              <w:spacing w:lineRule="auto" w:line="240" w:before="0" w:after="0"/>
              <w:ind w:hanging="425" w:left="447" w:right="0"/>
              <w:jc w:val="both"/>
              <w:rPr/>
            </w:pPr>
            <w:r>
              <w:rPr>
                <w:rFonts w:eastAsia="Arial" w:cs="IBM Plex Sans Condensed ExtraLi" w:ascii="IBM Plex Sans Condensed ExtraLi" w:hAnsi="IBM Plex Sans Condensed ExtraLi"/>
                <w:sz w:val="22"/>
                <w:szCs w:val="22"/>
              </w:rPr>
              <w:t>Support printers and multifunction devices, carrying out basic fault-finding and logging calls with the managed print provider.</w:t>
            </w:r>
          </w:p>
          <w:p>
            <w:pPr>
              <w:pStyle w:val="BodyText"/>
              <w:spacing w:lineRule="auto" w:line="240" w:before="0" w:after="0"/>
              <w:ind w:left="447" w:right="0"/>
              <w:jc w:val="both"/>
              <w:rPr>
                <w:rFonts w:ascii="IBM Plex Sans Condensed ExtraLi" w:hAnsi="IBM Plex Sans Condensed ExtraLi" w:cs="IBM Plex Sans Condensed ExtraLi"/>
                <w:sz w:val="22"/>
                <w:szCs w:val="22"/>
                <w:lang w:val="en-GB"/>
              </w:rPr>
            </w:pPr>
            <w:r>
              <w:rPr>
                <w:rFonts w:cs="IBM Plex Sans Condensed ExtraLi" w:ascii="IBM Plex Sans Condensed ExtraLi" w:hAnsi="IBM Plex Sans Condensed ExtraLi"/>
                <w:sz w:val="22"/>
                <w:szCs w:val="22"/>
                <w:lang w:val="en-GB"/>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Install, configure, diagnose and maintain hardware and software, including Windows, macOS, iOS/iPadOS and Chromebook devices.</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2"/>
              </w:numPr>
              <w:spacing w:lineRule="auto" w:line="240" w:before="0" w:after="0"/>
              <w:ind w:hanging="425" w:left="447" w:right="0"/>
              <w:jc w:val="both"/>
              <w:rPr/>
            </w:pPr>
            <w:r>
              <w:rPr>
                <w:rFonts w:eastAsia="Arial" w:cs="IBM Plex Sans Condensed ExtraLi" w:ascii="IBM Plex Sans Condensed ExtraLi" w:hAnsi="IBM Plex Sans Condensed ExtraLi"/>
                <w:sz w:val="22"/>
                <w:szCs w:val="22"/>
              </w:rPr>
              <w:t>Provide basic first-line support for the trusts MIS and other key systems (e.g. password resets, access issues), escalating as needed.</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Carry out regular checks of classroom AV equipment (e.g. projectors, interactive displays, televisions) and set up and support AV for lessons, assemblies, school and Trust events.</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2"/>
              </w:numPr>
              <w:spacing w:lineRule="auto" w:line="240" w:before="0" w:after="0"/>
              <w:ind w:hanging="425" w:left="447" w:right="0"/>
              <w:rPr/>
            </w:pPr>
            <w:r>
              <w:rPr>
                <w:rFonts w:eastAsia="Arial" w:cs="IBM Plex Sans Condensed ExtraLi" w:ascii="IBM Plex Sans Condensed ExtraLi" w:hAnsi="IBM Plex Sans Condensed ExtraLi"/>
                <w:sz w:val="22"/>
                <w:szCs w:val="22"/>
              </w:rPr>
              <w:t>Prepare and support IT equipment for examinations and access arrangements in line with JCQ requirements, as directed.</w:t>
            </w:r>
          </w:p>
          <w:p>
            <w:pPr>
              <w:pStyle w:val="BodyText"/>
              <w:spacing w:lineRule="auto" w:line="240" w:before="0" w:after="0"/>
              <w:jc w:val="both"/>
              <w:rPr>
                <w:rFonts w:ascii="IBM Plex Sans Condensed ExtraLi" w:hAnsi="IBM Plex Sans Condensed ExtraLi" w:cs="IBM Plex Sans Condensed ExtraLi"/>
                <w:sz w:val="22"/>
                <w:szCs w:val="22"/>
                <w:lang w:val="en-GB"/>
              </w:rPr>
            </w:pPr>
            <w:r>
              <w:rPr>
                <w:rFonts w:cs="IBM Plex Sans Condensed ExtraLi" w:ascii="IBM Plex Sans Condensed ExtraLi" w:hAnsi="IBM Plex Sans Condensed ExtraLi"/>
                <w:sz w:val="22"/>
                <w:szCs w:val="22"/>
                <w:lang w:val="en-GB"/>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Provide information and basic training for users and promote good practice in the use of IT.</w:t>
            </w:r>
          </w:p>
          <w:p>
            <w:pPr>
              <w:pStyle w:val="BodyText"/>
              <w:spacing w:lineRule="auto" w:line="240" w:before="0" w:after="0"/>
              <w:ind w:left="447" w:right="0"/>
              <w:jc w:val="both"/>
              <w:rPr>
                <w:rFonts w:ascii="IBM Plex Sans Condensed ExtraLi" w:hAnsi="IBM Plex Sans Condensed ExtraLi" w:cs="IBM Plex Sans Condensed ExtraLi"/>
                <w:sz w:val="22"/>
                <w:szCs w:val="22"/>
                <w:lang w:val="en-GB"/>
              </w:rPr>
            </w:pPr>
            <w:r>
              <w:rPr>
                <w:rFonts w:cs="IBM Plex Sans Condensed ExtraLi" w:ascii="IBM Plex Sans Condensed ExtraLi" w:hAnsi="IBM Plex Sans Condensed ExtraLi"/>
                <w:sz w:val="22"/>
                <w:szCs w:val="22"/>
                <w:lang w:val="en-GB"/>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Escalate complex problems to second line support and collaborate with external vendors for hardware and software support as needed.</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rPr>
              <w:t>Carry out site visits and provide technical support to other schools in the trust as directed.</w:t>
            </w:r>
          </w:p>
          <w:p>
            <w:pPr>
              <w:pStyle w:val="BodyText"/>
              <w:spacing w:lineRule="auto" w:line="240" w:before="0" w:after="0"/>
              <w:ind w:left="720" w:right="0"/>
              <w:jc w:val="both"/>
              <w:rPr>
                <w:rFonts w:ascii="IBM Plex Sans Condensed ExtraLi" w:hAnsi="IBM Plex Sans Condensed ExtraLi" w:cs="IBM Plex Sans Condensed ExtraLi"/>
                <w:szCs w:val="24"/>
              </w:rPr>
            </w:pPr>
            <w:r>
              <w:rPr>
                <w:rFonts w:cs="IBM Plex Sans Condensed ExtraLi" w:ascii="IBM Plex Sans Condensed ExtraLi" w:hAnsi="IBM Plex Sans Condensed ExtraLi"/>
                <w:szCs w:val="24"/>
              </w:rPr>
            </w:r>
          </w:p>
        </w:tc>
      </w:tr>
    </w:tbl>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bl>
      <w:tblPr>
        <w:tblW w:w="9493" w:type="dxa"/>
        <w:jc w:val="left"/>
        <w:tblInd w:w="108" w:type="dxa"/>
        <w:tblLayout w:type="fixed"/>
        <w:tblCellMar>
          <w:top w:w="0" w:type="dxa"/>
          <w:left w:w="108" w:type="dxa"/>
          <w:bottom w:w="0" w:type="dxa"/>
          <w:right w:w="108" w:type="dxa"/>
        </w:tblCellMar>
      </w:tblPr>
      <w:tblGrid>
        <w:gridCol w:w="9493"/>
      </w:tblGrid>
      <w:tr>
        <w:trPr/>
        <w:tc>
          <w:tcPr>
            <w:tcW w:w="949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ind w:left="720" w:right="0"/>
              <w:jc w:val="center"/>
              <w:rPr>
                <w:rFonts w:ascii="IBM Plex Sans Condensed ExtraLi" w:hAnsi="IBM Plex Sans Condensed ExtraLi" w:cs="IBM Plex Sans Condensed ExtraLi"/>
                <w:b/>
                <w:bCs/>
                <w:szCs w:val="24"/>
              </w:rPr>
            </w:pPr>
            <w:r>
              <w:rPr>
                <w:rFonts w:cs="IBM Plex Sans Condensed ExtraLi" w:ascii="IBM Plex Sans Condensed ExtraLi" w:hAnsi="IBM Plex Sans Condensed ExtraLi"/>
                <w:b/>
                <w:bCs/>
                <w:szCs w:val="24"/>
              </w:rPr>
              <w:t>Safeguarding, Security and Data Protection</w:t>
            </w:r>
          </w:p>
        </w:tc>
      </w:tr>
      <w:tr>
        <w:trPr/>
        <w:tc>
          <w:tcPr>
            <w:tcW w:w="9493" w:type="dxa"/>
            <w:tcBorders>
              <w:top w:val="single" w:sz="4" w:space="0" w:color="000000"/>
              <w:left w:val="single" w:sz="4" w:space="0" w:color="000000"/>
              <w:bottom w:val="single" w:sz="4" w:space="0" w:color="000000"/>
              <w:right w:val="single" w:sz="4" w:space="0" w:color="000000"/>
            </w:tcBorders>
          </w:tcPr>
          <w:p>
            <w:pPr>
              <w:pStyle w:val="BodyText"/>
              <w:snapToGrid w:val="false"/>
              <w:spacing w:lineRule="auto" w:line="240" w:before="0" w:after="0"/>
              <w:ind w:left="720" w:right="0"/>
              <w:jc w:val="both"/>
              <w:rPr>
                <w:rFonts w:ascii="IBM Plex Sans Condensed ExtraLi" w:hAnsi="IBM Plex Sans Condensed ExtraLi" w:cs="IBM Plex Sans Condensed ExtraLi"/>
                <w:sz w:val="22"/>
                <w:szCs w:val="22"/>
              </w:rPr>
            </w:pPr>
            <w:r>
              <w:rPr>
                <w:rFonts w:cs="IBM Plex Sans Condensed ExtraLi" w:ascii="IBM Plex Sans Condensed ExtraLi" w:hAnsi="IBM Plex Sans Condensed ExtraLi"/>
                <w:sz w:val="22"/>
                <w:szCs w:val="22"/>
              </w:rP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Handle data and systems securely in line with UK GDPR and the Trust's IT security and acceptable use policies.</w:t>
              <w:b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Carry out routine checks of the web filtering and monitoring systems as directed and report any safeguarding concerns immediately to the DSL in line with KCSIE and the DfE filtering and monitoring standards.</w:t>
              <w:br/>
            </w:r>
          </w:p>
          <w:p>
            <w:pPr>
              <w:pStyle w:val="BodyText"/>
              <w:numPr>
                <w:ilvl w:val="0"/>
                <w:numId w:val="2"/>
              </w:numPr>
              <w:spacing w:lineRule="auto" w:line="240" w:before="0" w:after="0"/>
              <w:ind w:hanging="425" w:left="447" w:right="0"/>
              <w:jc w:val="both"/>
              <w:rPr/>
            </w:pPr>
            <w:r>
              <w:rPr>
                <w:rFonts w:cs="IBM Plex Sans Condensed ExtraLi" w:ascii="IBM Plex Sans Condensed ExtraLi" w:hAnsi="IBM Plex Sans Condensed ExtraLi"/>
                <w:sz w:val="22"/>
                <w:szCs w:val="22"/>
                <w:lang w:val="en-GB"/>
              </w:rPr>
              <w:t>Follow good cyber security practice (e.g. MFA, timely updates, recognising and reporting phishing) and report suspected incidents promptly to senior IT staff.</w:t>
            </w:r>
          </w:p>
          <w:p>
            <w:pPr>
              <w:pStyle w:val="BodyText"/>
              <w:spacing w:lineRule="auto" w:line="240" w:before="0" w:after="0"/>
              <w:jc w:val="both"/>
              <w:rPr>
                <w:rFonts w:ascii="IBM Plex Sans Condensed ExtraLi" w:hAnsi="IBM Plex Sans Condensed ExtraLi" w:cs="IBM Plex Sans Condensed ExtraLi"/>
                <w:szCs w:val="24"/>
              </w:rPr>
            </w:pPr>
            <w:r>
              <w:rPr>
                <w:rFonts w:cs="IBM Plex Sans Condensed ExtraLi" w:ascii="IBM Plex Sans Condensed ExtraLi" w:hAnsi="IBM Plex Sans Condensed ExtraLi"/>
                <w:szCs w:val="24"/>
              </w:rPr>
            </w:r>
          </w:p>
        </w:tc>
      </w:tr>
      <w:tr>
        <w:trPr/>
        <w:tc>
          <w:tcPr>
            <w:tcW w:w="949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ind w:left="720" w:right="0"/>
              <w:jc w:val="center"/>
              <w:rPr>
                <w:rFonts w:ascii="IBM Plex Sans Condensed ExtraLi" w:hAnsi="IBM Plex Sans Condensed ExtraLi" w:cs="IBM Plex Sans Condensed ExtraLi"/>
                <w:b/>
                <w:bCs/>
                <w:szCs w:val="24"/>
              </w:rPr>
            </w:pPr>
            <w:r>
              <w:rPr>
                <w:rFonts w:cs="IBM Plex Sans Condensed ExtraLi" w:ascii="IBM Plex Sans Condensed ExtraLi" w:hAnsi="IBM Plex Sans Condensed ExtraLi"/>
                <w:b/>
                <w:bCs/>
                <w:szCs w:val="24"/>
              </w:rPr>
              <w:t>Administration &amp; Monitoring</w:t>
            </w:r>
          </w:p>
        </w:tc>
      </w:tr>
      <w:tr>
        <w:trPr/>
        <w:tc>
          <w:tcPr>
            <w:tcW w:w="9493"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ind w:hanging="357" w:left="442" w:right="0"/>
              <w:contextualSpacing/>
              <w:jc w:val="both"/>
              <w:rPr/>
            </w:pPr>
            <w:r>
              <w:rPr>
                <w:rFonts w:eastAsia="Times New Roman" w:cs="IBM Plex Sans Condensed ExtraLi" w:ascii="IBM Plex Sans Condensed ExtraLi" w:hAnsi="IBM Plex Sans Condensed ExtraLi"/>
                <w:lang w:val="en-US" w:eastAsia="en-GB"/>
              </w:rPr>
              <w:t>Process starters, leavers and changes to user accounts in Microsoft 365/Entra ID and on-premises directories in line with Trust procedures.</w:t>
            </w:r>
          </w:p>
          <w:p>
            <w:pPr>
              <w:pStyle w:val="ListParagraph"/>
              <w:spacing w:lineRule="auto" w:line="240" w:before="0" w:after="0"/>
              <w:ind w:left="442" w:right="0"/>
              <w:contextualSpacing/>
              <w:jc w:val="both"/>
              <w:rPr>
                <w:rFonts w:ascii="IBM Plex Sans Condensed ExtraLi" w:hAnsi="IBM Plex Sans Condensed ExtraLi" w:eastAsia="Times New Roman" w:cs="IBM Plex Sans Condensed ExtraLi"/>
                <w:lang w:val="en-US" w:eastAsia="en-GB"/>
              </w:rPr>
            </w:pPr>
            <w:r>
              <w:rPr>
                <w:rFonts w:eastAsia="Times New Roman" w:cs="IBM Plex Sans Condensed ExtraLi" w:ascii="IBM Plex Sans Condensed ExtraLi" w:hAnsi="IBM Plex Sans Condensed ExtraLi"/>
                <w:lang w:val="en-US" w:eastAsia="en-GB"/>
              </w:rPr>
            </w:r>
          </w:p>
          <w:p>
            <w:pPr>
              <w:pStyle w:val="BodyText"/>
              <w:numPr>
                <w:ilvl w:val="0"/>
                <w:numId w:val="3"/>
              </w:numPr>
              <w:spacing w:lineRule="auto" w:line="240" w:before="0" w:after="0"/>
              <w:ind w:hanging="360" w:left="447" w:right="0"/>
              <w:jc w:val="both"/>
              <w:rPr/>
            </w:pPr>
            <w:r>
              <w:rPr>
                <w:rFonts w:cs="IBM Plex Sans Condensed ExtraLi" w:ascii="IBM Plex Sans Condensed ExtraLi" w:hAnsi="IBM Plex Sans Condensed ExtraLi"/>
                <w:sz w:val="22"/>
                <w:szCs w:val="22"/>
              </w:rPr>
              <w:t>Contribute towards and maintain up to date and relevant documentation within the department including asset database, operating procedures, manuals, and technical documentation.</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3"/>
              </w:numPr>
              <w:spacing w:lineRule="auto" w:line="240" w:before="0" w:after="0"/>
              <w:ind w:hanging="360" w:left="447" w:right="0"/>
              <w:jc w:val="both"/>
              <w:rPr/>
            </w:pPr>
            <w:r>
              <w:rPr>
                <w:rFonts w:cs="IBM Plex Sans Condensed ExtraLi" w:ascii="IBM Plex Sans Condensed ExtraLi" w:hAnsi="IBM Plex Sans Condensed ExtraLi"/>
                <w:sz w:val="22"/>
                <w:szCs w:val="22"/>
              </w:rPr>
              <w:t>Carry out routine checks of backup systems and monitor automated alerts, escalating errors to senior IT staff</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3"/>
              </w:numPr>
              <w:spacing w:lineRule="auto" w:line="240" w:before="0" w:after="0"/>
              <w:ind w:hanging="360" w:left="447" w:right="0"/>
              <w:jc w:val="both"/>
              <w:rPr/>
            </w:pPr>
            <w:r>
              <w:rPr>
                <w:rFonts w:cs="IBM Plex Sans Condensed ExtraLi" w:ascii="IBM Plex Sans Condensed ExtraLi" w:hAnsi="IBM Plex Sans Condensed ExtraLi"/>
                <w:sz w:val="22"/>
                <w:szCs w:val="22"/>
              </w:rPr>
              <w:t>Maintain stock levels of IT consumables and peripherals (e.g. cables, keyboards, toner), obtaining quotations and raising orders as directed.</w:t>
            </w:r>
          </w:p>
          <w:p>
            <w:pPr>
              <w:pStyle w:val="ListParagraph"/>
              <w:spacing w:lineRule="auto" w:line="240" w:before="0" w:after="0"/>
              <w:contextualSpacing/>
              <w:rPr>
                <w:rFonts w:ascii="IBM Plex Sans Condensed ExtraLi" w:hAnsi="IBM Plex Sans Condensed ExtraLi" w:cs="IBM Plex Sans Condensed ExtraLi"/>
                <w:szCs w:val="24"/>
              </w:rPr>
            </w:pPr>
            <w:r>
              <w:rPr>
                <w:rFonts w:cs="IBM Plex Sans Condensed ExtraLi" w:ascii="IBM Plex Sans Condensed ExtraLi" w:hAnsi="IBM Plex Sans Condensed ExtraLi"/>
                <w:szCs w:val="24"/>
              </w:rPr>
            </w:r>
          </w:p>
          <w:p>
            <w:pPr>
              <w:pStyle w:val="BodyText"/>
              <w:numPr>
                <w:ilvl w:val="0"/>
                <w:numId w:val="3"/>
              </w:numPr>
              <w:spacing w:lineRule="auto" w:line="240" w:before="0" w:after="0"/>
              <w:ind w:hanging="360" w:left="447" w:right="0"/>
              <w:jc w:val="both"/>
              <w:rPr/>
            </w:pPr>
            <w:r>
              <w:rPr>
                <w:rFonts w:cs="IBM Plex Sans Condensed ExtraLi" w:ascii="IBM Plex Sans Condensed ExtraLi" w:hAnsi="IBM Plex Sans Condensed ExtraLi"/>
                <w:sz w:val="22"/>
                <w:szCs w:val="22"/>
              </w:rPr>
              <w:t>Receive and check deliveries and associated invoices, notify the appropriate person of any discrepancies.</w:t>
            </w:r>
          </w:p>
          <w:p>
            <w:pPr>
              <w:pStyle w:val="ListParagraph"/>
              <w:spacing w:lineRule="auto" w:line="240" w:before="0" w:after="0"/>
              <w:contextualSpacing/>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BodyText"/>
              <w:numPr>
                <w:ilvl w:val="0"/>
                <w:numId w:val="3"/>
              </w:numPr>
              <w:spacing w:lineRule="auto" w:line="240" w:before="0" w:after="0"/>
              <w:ind w:hanging="360" w:left="447" w:right="0"/>
              <w:jc w:val="both"/>
              <w:rPr/>
            </w:pPr>
            <w:r>
              <w:rPr>
                <w:rFonts w:cs="IBM Plex Sans Condensed ExtraLi" w:ascii="IBM Plex Sans Condensed ExtraLi" w:hAnsi="IBM Plex Sans Condensed ExtraLi"/>
                <w:sz w:val="22"/>
                <w:szCs w:val="22"/>
              </w:rPr>
              <w:t>Keep accurate asset records, including issuing and recovering equipment and arranging secure disposal in line with data protection and WEEE requirements.</w:t>
            </w:r>
          </w:p>
          <w:p>
            <w:pPr>
              <w:pStyle w:val="ListParagraph"/>
              <w:spacing w:lineRule="auto" w:line="240" w:before="0" w:after="0"/>
              <w:contextualSpacing/>
              <w:rPr>
                <w:rFonts w:ascii="IBM Plex Sans Condensed ExtraLi" w:hAnsi="IBM Plex Sans Condensed ExtraLi" w:cs="IBM Plex Sans Condensed ExtraLi"/>
                <w:szCs w:val="24"/>
              </w:rPr>
            </w:pPr>
            <w:r>
              <w:rPr>
                <w:rFonts w:cs="IBM Plex Sans Condensed ExtraLi" w:ascii="IBM Plex Sans Condensed ExtraLi" w:hAnsi="IBM Plex Sans Condensed ExtraLi"/>
                <w:szCs w:val="24"/>
              </w:rPr>
            </w:r>
          </w:p>
          <w:p>
            <w:pPr>
              <w:pStyle w:val="BodyText"/>
              <w:spacing w:lineRule="auto" w:line="240" w:before="0" w:after="0"/>
              <w:ind w:left="447" w:right="0"/>
              <w:jc w:val="both"/>
              <w:rPr>
                <w:rFonts w:ascii="IBM Plex Sans Condensed ExtraLi" w:hAnsi="IBM Plex Sans Condensed ExtraLi" w:cs="IBM Plex Sans Condensed ExtraLi"/>
                <w:szCs w:val="24"/>
              </w:rPr>
            </w:pPr>
            <w:r>
              <w:rPr>
                <w:rFonts w:cs="IBM Plex Sans Condensed ExtraLi" w:ascii="IBM Plex Sans Condensed ExtraLi" w:hAnsi="IBM Plex Sans Condensed ExtraLi"/>
                <w:szCs w:val="24"/>
              </w:rPr>
            </w:r>
          </w:p>
        </w:tc>
      </w:tr>
    </w:tbl>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bl>
      <w:tblPr>
        <w:tblW w:w="9492" w:type="dxa"/>
        <w:jc w:val="left"/>
        <w:tblInd w:w="108" w:type="dxa"/>
        <w:tblLayout w:type="fixed"/>
        <w:tblCellMar>
          <w:top w:w="0" w:type="dxa"/>
          <w:left w:w="108" w:type="dxa"/>
          <w:bottom w:w="0" w:type="dxa"/>
          <w:right w:w="108" w:type="dxa"/>
        </w:tblCellMar>
      </w:tblPr>
      <w:tblGrid>
        <w:gridCol w:w="2688"/>
        <w:gridCol w:w="6804"/>
      </w:tblGrid>
      <w:tr>
        <w:trPr/>
        <w:tc>
          <w:tcPr>
            <w:tcW w:w="9492"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STANDARD DUTIES</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rHeight w:val="5627" w:hRule="atLeast"/>
        </w:trPr>
        <w:tc>
          <w:tcPr>
            <w:tcW w:w="949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be committed to safeguarding and promoting the welfare of children and young people, and to report any concerns in line with Trust procedures.</w:t>
            </w:r>
          </w:p>
          <w:p>
            <w:pPr>
              <w:pStyle w:val="ListParagraph"/>
              <w:spacing w:lineRule="auto" w:line="240" w:before="0" w:after="0"/>
              <w:ind w:left="447" w:right="0"/>
              <w:contextualSpacing/>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understand the importance of equality and diversity in the workplace and service delivery and promote equal opportunities for all, respecting the rights of other staff and students to be treated with dignity at work.</w:t>
            </w:r>
          </w:p>
          <w:p>
            <w:pPr>
              <w:pStyle w:val="Normal"/>
              <w:spacing w:lineRule="auto" w:line="240" w:before="0" w:after="0"/>
              <w:ind w:hanging="425" w:left="447" w:right="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uphold and promote the Christian ethos and values of the Trust and its schools.</w:t>
            </w:r>
          </w:p>
          <w:p>
            <w:pPr>
              <w:pStyle w:val="Normal"/>
              <w:spacing w:lineRule="auto" w:line="240" w:before="0" w:after="0"/>
              <w:ind w:hanging="425" w:left="447" w:right="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implement and uphold the policies, procedures, and codes of practice of the Trust, including relating to customer care, finance, data protection, ICT, health &amp; safety, anti-bullying, and safeguarding/child protection, ensuring confidentiality as appropriate.</w:t>
            </w:r>
          </w:p>
          <w:p>
            <w:pPr>
              <w:pStyle w:val="Normal"/>
              <w:spacing w:lineRule="auto" w:line="240" w:before="0" w:after="0"/>
              <w:ind w:hanging="425" w:left="447" w:right="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take a pro-active approach to health and safety, working with others in the school to minimise and mitigate potential hazards and risks, and actively contribute to the security of the Trust, e.g., challenging a stranger on the premises.</w:t>
            </w:r>
          </w:p>
          <w:p>
            <w:pPr>
              <w:pStyle w:val="Normal"/>
              <w:spacing w:lineRule="auto" w:line="240" w:before="0" w:after="0"/>
              <w:ind w:hanging="425" w:left="447" w:right="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participate and engage with workplace learning and development opportunities to continually improve own performance and that of the team/school.</w:t>
            </w:r>
          </w:p>
          <w:p>
            <w:pPr>
              <w:pStyle w:val="Normal"/>
              <w:spacing w:lineRule="auto" w:line="240" w:before="0" w:after="0"/>
              <w:ind w:hanging="425" w:left="447" w:right="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To attend and participate in relevant meetings as appropriate.</w:t>
            </w:r>
          </w:p>
          <w:p>
            <w:pPr>
              <w:pStyle w:val="Normal"/>
              <w:spacing w:lineRule="auto" w:line="240" w:before="0" w:after="0"/>
              <w:ind w:hanging="425" w:left="447" w:right="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ListParagraph"/>
              <w:numPr>
                <w:ilvl w:val="0"/>
                <w:numId w:val="1"/>
              </w:numPr>
              <w:spacing w:lineRule="auto" w:line="240" w:before="0" w:after="0"/>
              <w:ind w:hanging="425" w:left="447" w:right="0"/>
              <w:contextualSpacing/>
              <w:jc w:val="both"/>
              <w:rPr/>
            </w:pPr>
            <w:r>
              <w:rPr>
                <w:rFonts w:cs="IBM Plex Sans Condensed ExtraLi" w:ascii="IBM Plex Sans Condensed ExtraLi" w:hAnsi="IBM Plex Sans Condensed ExtraLi"/>
              </w:rPr>
              <w:t xml:space="preserve">To undertake any other additional duties commensurate with the grade of the post. </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c>
          <w:tcPr>
            <w:tcW w:w="268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CONTACTS</w:t>
            </w:r>
          </w:p>
        </w:tc>
        <w:tc>
          <w:tcPr>
            <w:tcW w:w="6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Pupils, staff and leaders across Trust schools; external IT suppliers, contractors and visitors.</w:t>
            </w:r>
            <w:bookmarkStart w:id="0" w:name="_Hlk125112114"/>
            <w:bookmarkEnd w:id="0"/>
          </w:p>
        </w:tc>
      </w:tr>
      <w:tr>
        <w:trPr/>
        <w:tc>
          <w:tcPr>
            <w:tcW w:w="268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RELATIONSHIP TO OTHER POSTS THE DEPARTMENT</w:t>
            </w:r>
          </w:p>
        </w:tc>
        <w:tc>
          <w:tcPr>
            <w:tcW w:w="6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IBM Plex Sans Condensed ExtraLi" w:ascii="IBM Plex Sans Condensed ExtraLi" w:hAnsi="IBM Plex Sans Condensed ExtraLi"/>
                <w:b/>
                <w:bCs/>
              </w:rPr>
              <w:t>Responsible to:</w:t>
            </w:r>
            <w:r>
              <w:rPr>
                <w:rFonts w:cs="IBM Plex Sans Condensed ExtraLi" w:ascii="IBM Plex Sans Condensed ExtraLi" w:hAnsi="IBM Plex Sans Condensed ExtraLi"/>
              </w:rPr>
              <w:t xml:space="preserve"> Trust Technical Support Lead (Line Manager)</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spacing w:lineRule="auto" w:line="240" w:before="0" w:after="0"/>
              <w:jc w:val="both"/>
              <w:rPr/>
            </w:pPr>
            <w:r>
              <w:rPr>
                <w:rFonts w:cs="IBM Plex Sans Condensed ExtraLi" w:ascii="IBM Plex Sans Condensed ExtraLi" w:hAnsi="IBM Plex Sans Condensed ExtraLi"/>
                <w:b/>
                <w:bCs/>
              </w:rPr>
              <w:t xml:space="preserve">Accountable to: </w:t>
            </w:r>
            <w:r>
              <w:rPr>
                <w:rFonts w:cs="IBM Plex Sans Condensed ExtraLi" w:ascii="IBM Plex Sans Condensed ExtraLi" w:hAnsi="IBM Plex Sans Condensed ExtraLi"/>
              </w:rPr>
              <w:t>Trust Head of IT Services</w:t>
            </w:r>
            <w:r>
              <w:rPr>
                <w:rFonts w:cs="IBM Plex Sans Condensed ExtraLi" w:ascii="IBM Plex Sans Condensed ExtraLi" w:hAnsi="IBM Plex Sans Condensed ExtraLi"/>
                <w:szCs w:val="24"/>
              </w:rPr>
              <w:t xml:space="preserve">   </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r>
      <w:tr>
        <w:trPr/>
        <w:tc>
          <w:tcPr>
            <w:tcW w:w="268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ADDITIONAL NOTES</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c>
          <w:tcPr>
            <w:tcW w:w="6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cs="IBM Plex Sans Condensed ExtraLi" w:ascii="IBM Plex Sans Condensed ExtraLi" w:hAnsi="IBM Plex Sans Condensed ExtraLi"/>
              </w:rPr>
              <w:t>An enhanced Disclosure and Barring Service (DBS) check will be requested on successful application to a position in the Trust or Academy. O</w:t>
            </w:r>
            <w:r>
              <w:rPr>
                <w:rFonts w:eastAsia="Arial" w:cs="IBM Plex Sans Condensed ExtraLi" w:ascii="IBM Plex Sans Condensed ExtraLi" w:hAnsi="IBM Plex Sans Condensed ExtraLi"/>
              </w:rPr>
              <w:t>nline searches in line with KCSIE, and mileage paid for travel between sites in line with Trust policy.</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c>
          <w:tcPr>
            <w:tcW w:w="268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REVIEW ARRANGEMENTS</w:t>
            </w:r>
          </w:p>
        </w:tc>
        <w:tc>
          <w:tcPr>
            <w:tcW w:w="6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Trust will expect to revise this job description from time to time and will consult with the postholder at the appropriate time.</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bl>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This job description is a guide to the duties and should be read in conjunction with the accompanying person specification.</w:t>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bl>
      <w:tblPr>
        <w:tblW w:w="9492" w:type="dxa"/>
        <w:jc w:val="left"/>
        <w:tblInd w:w="108" w:type="dxa"/>
        <w:tblLayout w:type="fixed"/>
        <w:tblCellMar>
          <w:top w:w="0" w:type="dxa"/>
          <w:left w:w="108" w:type="dxa"/>
          <w:bottom w:w="0" w:type="dxa"/>
          <w:right w:w="108" w:type="dxa"/>
        </w:tblCellMar>
      </w:tblPr>
      <w:tblGrid>
        <w:gridCol w:w="1412"/>
        <w:gridCol w:w="1701"/>
        <w:gridCol w:w="1559"/>
        <w:gridCol w:w="4820"/>
      </w:tblGrid>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DATE</w:t>
            </w:r>
          </w:p>
        </w:tc>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NAME</w:t>
            </w:r>
          </w:p>
        </w:tc>
        <w:tc>
          <w:tcPr>
            <w:tcW w:w="4820"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POST TITLE</w:t>
            </w:r>
          </w:p>
        </w:tc>
      </w:tr>
      <w:tr>
        <w:trPr>
          <w:trHeight w:val="579" w:hRule="atLeast"/>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Prepared</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pPr>
            <w:r>
              <w:rPr>
                <w:rFonts w:eastAsia="IBM Plex Sans Condensed ExtraLi" w:cs="IBM Plex Sans Condensed ExtraLi" w:ascii="IBM Plex Sans Condensed ExtraLi" w:hAnsi="IBM Plex Sans Condensed ExtraLi"/>
              </w:rPr>
              <w:t xml:space="preserve"> </w:t>
            </w:r>
            <w:r>
              <w:rPr>
                <w:rFonts w:cs="IBM Plex Sans Condensed ExtraLi" w:ascii="IBM Plex Sans Condensed ExtraLi" w:hAnsi="IBM Plex Sans Condensed ExtraLi"/>
              </w:rPr>
              <w:t>May 2013</w:t>
            </w:r>
          </w:p>
        </w:tc>
        <w:tc>
          <w:tcPr>
            <w:tcW w:w="1559"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pPr>
            <w:r>
              <w:rPr>
                <w:rFonts w:eastAsia="IBM Plex Sans Condensed ExtraLi" w:cs="IBM Plex Sans Condensed ExtraLi" w:ascii="IBM Plex Sans Condensed ExtraLi" w:hAnsi="IBM Plex Sans Condensed ExtraLi"/>
              </w:rPr>
              <w:t xml:space="preserve"> </w:t>
            </w:r>
            <w:r>
              <w:rPr>
                <w:rFonts w:cs="IBM Plex Sans Condensed ExtraLi" w:ascii="IBM Plex Sans Condensed ExtraLi" w:hAnsi="IBM Plex Sans Condensed ExtraLi"/>
              </w:rPr>
              <w:t>HB/TB</w:t>
            </w:r>
          </w:p>
        </w:tc>
        <w:tc>
          <w:tcPr>
            <w:tcW w:w="4820"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r>
      <w:tr>
        <w:trPr>
          <w:trHeight w:val="607" w:hRule="atLeast"/>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Reviewed</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pPr>
            <w:r>
              <w:rPr>
                <w:rFonts w:eastAsia="IBM Plex Sans Condensed ExtraLi" w:cs="IBM Plex Sans Condensed ExtraLi" w:ascii="IBM Plex Sans Condensed ExtraLi" w:hAnsi="IBM Plex Sans Condensed ExtraLi"/>
              </w:rPr>
              <w:t xml:space="preserve"> </w:t>
            </w:r>
            <w:r>
              <w:rPr>
                <w:rFonts w:cs="IBM Plex Sans Condensed ExtraLi" w:ascii="IBM Plex Sans Condensed ExtraLi" w:hAnsi="IBM Plex Sans Condensed ExtraLi"/>
              </w:rPr>
              <w:t>June 2021</w:t>
            </w:r>
          </w:p>
        </w:tc>
        <w:tc>
          <w:tcPr>
            <w:tcW w:w="1559"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KN</w:t>
            </w:r>
          </w:p>
        </w:tc>
        <w:tc>
          <w:tcPr>
            <w:tcW w:w="4820"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Headteacher</w:t>
            </w:r>
          </w:p>
        </w:tc>
      </w:tr>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Reviewed</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June 2021</w:t>
            </w:r>
          </w:p>
        </w:tc>
        <w:tc>
          <w:tcPr>
            <w:tcW w:w="1559"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DM</w:t>
            </w:r>
          </w:p>
        </w:tc>
        <w:tc>
          <w:tcPr>
            <w:tcW w:w="4820"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IT Systems manager</w:t>
            </w:r>
          </w:p>
        </w:tc>
      </w:tr>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Reviewed</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November 2023</w:t>
            </w:r>
          </w:p>
        </w:tc>
        <w:tc>
          <w:tcPr>
            <w:tcW w:w="1559"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JM</w:t>
            </w:r>
          </w:p>
        </w:tc>
        <w:tc>
          <w:tcPr>
            <w:tcW w:w="4820"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Trust Head of IT Services</w:t>
            </w:r>
          </w:p>
        </w:tc>
      </w:tr>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16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Reviewed</w:t>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October 2026</w:t>
            </w:r>
          </w:p>
        </w:tc>
        <w:tc>
          <w:tcPr>
            <w:tcW w:w="1559"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JM</w:t>
            </w:r>
          </w:p>
        </w:tc>
        <w:tc>
          <w:tcPr>
            <w:tcW w:w="4820"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Trust Head of IT Services</w:t>
            </w:r>
          </w:p>
        </w:tc>
      </w:tr>
    </w:tbl>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Normal"/>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bl>
      <w:tblPr>
        <w:tblW w:w="10347" w:type="dxa"/>
        <w:jc w:val="left"/>
        <w:tblInd w:w="-464" w:type="dxa"/>
        <w:tblLayout w:type="fixed"/>
        <w:tblCellMar>
          <w:top w:w="0" w:type="dxa"/>
          <w:left w:w="108" w:type="dxa"/>
          <w:bottom w:w="0" w:type="dxa"/>
          <w:right w:w="108" w:type="dxa"/>
        </w:tblCellMar>
      </w:tblPr>
      <w:tblGrid>
        <w:gridCol w:w="6803"/>
        <w:gridCol w:w="1134"/>
        <w:gridCol w:w="1135"/>
        <w:gridCol w:w="1275"/>
      </w:tblGrid>
      <w:tr>
        <w:trPr/>
        <w:tc>
          <w:tcPr>
            <w:tcW w:w="10347" w:type="dxa"/>
            <w:gridSpan w:val="4"/>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spacing w:lineRule="auto" w:line="240" w:before="0" w:after="0"/>
              <w:jc w:val="both"/>
              <w:rPr>
                <w:rFonts w:ascii="IBM Plex Sans Condensed ExtraLi" w:hAnsi="IBM Plex Sans Condensed ExtraLi" w:cs="IBM Plex Sans Condensed ExtraLi"/>
                <w:b/>
                <w:bCs/>
                <w:sz w:val="28"/>
                <w:szCs w:val="28"/>
              </w:rPr>
            </w:pPr>
            <w:r>
              <w:rPr>
                <w:rFonts w:cs="IBM Plex Sans Condensed ExtraLi" w:ascii="IBM Plex Sans Condensed ExtraLi" w:hAnsi="IBM Plex Sans Condensed ExtraLi"/>
                <w:b/>
                <w:bCs/>
                <w:sz w:val="28"/>
                <w:szCs w:val="28"/>
              </w:rPr>
            </w:r>
          </w:p>
          <w:p>
            <w:pPr>
              <w:pStyle w:val="Normal"/>
              <w:spacing w:lineRule="auto" w:line="240" w:before="0" w:after="0"/>
              <w:jc w:val="center"/>
              <w:rPr>
                <w:rFonts w:ascii="IBM Plex Sans Condensed ExtraLi" w:hAnsi="IBM Plex Sans Condensed ExtraLi" w:cs="IBM Plex Sans Condensed ExtraLi"/>
                <w:b/>
                <w:bCs/>
                <w:sz w:val="28"/>
                <w:szCs w:val="28"/>
              </w:rPr>
            </w:pPr>
            <w:r>
              <w:rPr>
                <w:rFonts w:cs="IBM Plex Sans Condensed ExtraLi" w:ascii="IBM Plex Sans Condensed ExtraLi" w:hAnsi="IBM Plex Sans Condensed ExtraLi"/>
                <w:b/>
                <w:bCs/>
                <w:sz w:val="28"/>
                <w:szCs w:val="28"/>
              </w:rPr>
              <w:t>Person Specification</w:t>
            </w:r>
          </w:p>
          <w:p>
            <w:pPr>
              <w:pStyle w:val="Normal"/>
              <w:spacing w:lineRule="auto" w:line="240" w:before="0" w:after="0"/>
              <w:jc w:val="both"/>
              <w:rPr>
                <w:rFonts w:ascii="IBM Plex Sans Condensed ExtraLi" w:hAnsi="IBM Plex Sans Condensed ExtraLi" w:cs="IBM Plex Sans Condensed ExtraLi"/>
                <w:b/>
                <w:bCs/>
                <w:sz w:val="28"/>
                <w:szCs w:val="28"/>
              </w:rPr>
            </w:pPr>
            <w:r>
              <w:rPr>
                <w:rFonts w:cs="IBM Plex Sans Condensed ExtraLi" w:ascii="IBM Plex Sans Condensed ExtraLi" w:hAnsi="IBM Plex Sans Condensed ExtraLi"/>
                <w:b/>
                <w:bCs/>
                <w:sz w:val="28"/>
                <w:szCs w:val="28"/>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Selection criteria</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Essential</w:t>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Desirable</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 xml:space="preserve">How </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Assessed</w:t>
            </w:r>
          </w:p>
        </w:tc>
      </w:tr>
      <w:tr>
        <w:trPr/>
        <w:tc>
          <w:tcPr>
            <w:tcW w:w="10347" w:type="dxa"/>
            <w:gridSpan w:val="4"/>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Education &amp; Qualifications</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GCSE English and Maths at grade 4/C or equivalent; willingness to undertake relevant training.</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color w:val="000000"/>
              </w:rPr>
            </w:pPr>
            <w:r>
              <w:rPr>
                <w:rFonts w:eastAsia="Wingdings" w:cs="Wingdings" w:ascii="Wingdings" w:hAnsi="Wingdings"/>
                <w:color w:val="000000"/>
              </w:rPr>
              <w:sym w:font="Wingdings" w:char="f0fc"/>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A/D</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Level 2/3 IT qualification (e.g. CompTIA A+, Microsoft 365 Fundamentals) or equivalent experience</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IBM Plex Sans Condensed ExtraLi" w:hAnsi="IBM Plex Sans Condensed ExtraLi" w:cs="IBM Plex Sans Condensed ExtraLi"/>
                <w:color w:val="000000"/>
              </w:rPr>
            </w:pPr>
            <w:r>
              <w:rPr>
                <w:rFonts w:cs="IBM Plex Sans Condensed ExtraLi" w:ascii="IBM Plex Sans Condensed ExtraLi" w:hAnsi="IBM Plex Sans Condensed ExtraLi"/>
                <w:color w:val="000000"/>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Wingdings" w:hAnsi="Wingdings" w:eastAsia="Wingdings" w:cs="Wingdings"/>
                <w:color w:val="000000"/>
              </w:rPr>
            </w:pPr>
            <w:r>
              <w:rPr>
                <w:rFonts w:eastAsia="Wingdings" w:cs="Wingdings" w:ascii="Wingdings" w:hAnsi="Wingdings"/>
                <w:color w:val="000000"/>
              </w:rPr>
              <w:sym w:font="Wingdings" w:char="f0fc"/>
            </w:r>
          </w:p>
        </w:tc>
        <w:tc>
          <w:tcPr>
            <w:tcW w:w="12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rHeight w:val="259" w:hRule="atLeast"/>
        </w:trPr>
        <w:tc>
          <w:tcPr>
            <w:tcW w:w="10347" w:type="dxa"/>
            <w:gridSpan w:val="4"/>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t>Experience</w:t>
            </w:r>
          </w:p>
          <w:p>
            <w:pPr>
              <w:pStyle w:val="Normal"/>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providing first-line IT support to users (paid, voluntary, apprenticeship or placement)</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diagnosing and resolving straightforward hardware and software faults on Windows devices</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A/I/T</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supporting Microsoft 365 applications and user accounts</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A/I/T</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working in a team and completing tasks to deadlines</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keeping accurate records (e.g. helpdesk tickets, asset records)</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Times New Roman" w:cs="Segoe UI Symbol"/>
              </w:rPr>
            </w:pPr>
            <w:r>
              <w:rPr>
                <w:rFonts w:eastAsia="Times New Roman"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working in an education setting</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rHeight w:val="371" w:hRule="atLeast"/>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Microsoft Intune/Entra ID or similar device management tools</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rHeight w:val="371" w:hRule="atLeast"/>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supporting macOS, iPads or Chromebooks</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supporting classroom AV equipment</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Experience of using a helpdesk/ticketing system</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Times New Roman" w:cs="Segoe UI Symbol"/>
              </w:rPr>
            </w:pPr>
            <w:r>
              <w:rPr>
                <w:rFonts w:eastAsia="Times New Roman" w:cs="Segoe UI Symbol" w:ascii="Segoe UI Symbol" w:hAnsi="Segoe UI Symbol"/>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t>A/I</w:t>
            </w:r>
          </w:p>
        </w:tc>
      </w:tr>
      <w:tr>
        <w:trPr/>
        <w:tc>
          <w:tcPr>
            <w:tcW w:w="10347" w:type="dxa"/>
            <w:gridSpan w:val="4"/>
            <w:tcBorders>
              <w:top w:val="single" w:sz="4" w:space="0" w:color="000000"/>
              <w:left w:val="single" w:sz="4" w:space="0" w:color="000000"/>
              <w:bottom w:val="single" w:sz="4" w:space="0" w:color="000000"/>
              <w:right w:val="single" w:sz="4" w:space="0" w:color="000000"/>
            </w:tcBorders>
            <w:shd w:fill="A6A6A6" w:val="clear"/>
          </w:tcPr>
          <w:p>
            <w:pPr>
              <w:pStyle w:val="Normal"/>
              <w:spacing w:lineRule="auto" w:line="240" w:before="0" w:after="0"/>
              <w:jc w:val="both"/>
              <w:rPr>
                <w:rFonts w:ascii="IBM Plex Sans Condensed ExtraLi" w:hAnsi="IBM Plex Sans Condensed ExtraLi" w:eastAsia="Arial" w:cs="IBM Plex Sans Condensed ExtraLi"/>
                <w:b/>
                <w:bCs/>
              </w:rPr>
            </w:pPr>
            <w:r>
              <w:rPr>
                <w:rFonts w:eastAsia="Arial" w:cs="IBM Plex Sans Condensed ExtraLi" w:ascii="IBM Plex Sans Condensed ExtraLi" w:hAnsi="IBM Plex Sans Condensed ExtraLi"/>
                <w:b/>
                <w:bCs/>
              </w:rPr>
              <w:t>Skills and abilities</w:t>
            </w:r>
          </w:p>
          <w:p>
            <w:pPr>
              <w:pStyle w:val="Normal"/>
              <w:spacing w:lineRule="auto" w:line="240" w:before="0" w:after="0"/>
              <w:jc w:val="both"/>
              <w:rPr>
                <w:rFonts w:ascii="IBM Plex Sans Condensed ExtraLi" w:hAnsi="IBM Plex Sans Condensed ExtraLi" w:eastAsia="Times New Roman" w:cs="IBM Plex Sans Condensed ExtraLi"/>
              </w:rPr>
            </w:pPr>
            <w:r>
              <w:rPr>
                <w:rFonts w:eastAsia="Times New Roman" w:cs="IBM Plex Sans Condensed ExtraLi" w:ascii="IBM Plex Sans Condensed ExtraLi" w:hAnsi="IBM Plex Sans Condensed ExtraLi"/>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Good customer service and communication skills, able to explain technical information clearly to pupils and staff of all abilities</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color w:val="000000"/>
              </w:rPr>
            </w:pPr>
            <w:r>
              <w:rPr>
                <w:rFonts w:cs="IBM Plex Sans Condensed ExtraLi" w:ascii="IBM Plex Sans Condensed ExtraLi" w:hAnsi="IBM Plex Sans Condensed ExtraLi"/>
                <w:color w:val="000000"/>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Able to use judgement to solve straightforward problems and to recognise when to escalate</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color w:val="000000"/>
              </w:rPr>
            </w:pPr>
            <w:r>
              <w:rPr>
                <w:rFonts w:cs="IBM Plex Sans Condensed ExtraLi" w:ascii="IBM Plex Sans Condensed ExtraLi" w:hAnsi="IBM Plex Sans Condensed ExtraLi"/>
                <w:color w:val="000000"/>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I/T</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Able to organise and prioritise a varied workload and work without close supervision</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color w:val="000000"/>
              </w:rPr>
            </w:pPr>
            <w:r>
              <w:rPr>
                <w:rFonts w:cs="IBM Plex Sans Condensed ExtraLi" w:ascii="IBM Plex Sans Condensed ExtraLi" w:hAnsi="IBM Plex Sans Condensed ExtraLi"/>
                <w:color w:val="000000"/>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A/I</w:t>
            </w:r>
          </w:p>
        </w:tc>
      </w:tr>
      <w:tr>
        <w:trPr/>
        <w:tc>
          <w:tcPr>
            <w:tcW w:w="10347" w:type="dxa"/>
            <w:gridSpan w:val="4"/>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both"/>
              <w:rPr>
                <w:rFonts w:ascii="IBM Plex Sans Condensed ExtraLi" w:hAnsi="IBM Plex Sans Condensed ExtraLi" w:eastAsia="Arial" w:cs="IBM Plex Sans Condensed ExtraLi"/>
                <w:b/>
                <w:bCs/>
              </w:rPr>
            </w:pPr>
            <w:r>
              <w:rPr>
                <w:rFonts w:eastAsia="Arial" w:cs="IBM Plex Sans Condensed ExtraLi" w:ascii="IBM Plex Sans Condensed ExtraLi" w:hAnsi="IBM Plex Sans Condensed ExtraLi"/>
                <w:b/>
                <w:bCs/>
              </w:rPr>
              <w:t>Safeguarding, values and work circumstances</w:t>
            </w:r>
          </w:p>
          <w:p>
            <w:pPr>
              <w:pStyle w:val="Normal"/>
              <w:spacing w:lineRule="auto" w:line="240" w:before="0" w:after="0"/>
              <w:jc w:val="both"/>
              <w:rPr>
                <w:rFonts w:ascii="IBM Plex Sans Condensed ExtraLi" w:hAnsi="IBM Plex Sans Condensed ExtraLi" w:cs="IBM Plex Sans Condensed ExtraLi"/>
                <w:b/>
                <w:bCs/>
              </w:rPr>
            </w:pPr>
            <w:r>
              <w:rPr>
                <w:rFonts w:cs="IBM Plex Sans Condensed ExtraLi" w:ascii="IBM Plex Sans Condensed ExtraLi" w:hAnsi="IBM Plex Sans Condensed ExtraLi"/>
                <w:b/>
                <w:bCs/>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jc w:val="both"/>
              <w:rPr>
                <w:rFonts w:ascii="IBM Plex Sans Condensed ExtraLi" w:hAnsi="IBM Plex Sans Condensed ExtraLi" w:eastAsia="Arial" w:cs="IBM Plex Sans Condensed ExtraLi"/>
                <w:sz w:val="22"/>
                <w:szCs w:val="22"/>
              </w:rPr>
            </w:pPr>
            <w:r>
              <w:rPr>
                <w:rFonts w:eastAsia="Arial" w:cs="IBM Plex Sans Condensed ExtraLi" w:ascii="IBM Plex Sans Condensed ExtraLi" w:hAnsi="IBM Plex Sans Condensed ExtraLi"/>
                <w:sz w:val="22"/>
                <w:szCs w:val="22"/>
              </w:rPr>
              <w:t>Commitment to safeguarding and promoting the welfare of children and young people</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jc w:val="both"/>
              <w:rPr>
                <w:rFonts w:ascii="IBM Plex Sans Condensed ExtraLi" w:hAnsi="IBM Plex Sans Condensed ExtraLi" w:eastAsia="Arial" w:cs="IBM Plex Sans Condensed ExtraLi"/>
                <w:sz w:val="22"/>
                <w:szCs w:val="22"/>
              </w:rPr>
            </w:pPr>
            <w:r>
              <w:rPr>
                <w:rFonts w:eastAsia="Arial" w:cs="IBM Plex Sans Condensed ExtraLi" w:ascii="IBM Plex Sans Condensed ExtraLi" w:hAnsi="IBM Plex Sans Condensed ExtraLi"/>
                <w:sz w:val="22"/>
                <w:szCs w:val="22"/>
              </w:rPr>
              <w:t>Willingness to support the Christian ethos and values of the Trust</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jc w:val="both"/>
              <w:rPr>
                <w:rFonts w:ascii="IBM Plex Sans Condensed ExtraLi" w:hAnsi="IBM Plex Sans Condensed ExtraLi" w:eastAsia="Arial" w:cs="IBM Plex Sans Condensed ExtraLi"/>
                <w:sz w:val="22"/>
                <w:szCs w:val="22"/>
              </w:rPr>
            </w:pPr>
            <w:r>
              <w:rPr>
                <w:rFonts w:eastAsia="Arial" w:cs="IBM Plex Sans Condensed ExtraLi" w:ascii="IBM Plex Sans Condensed ExtraLi" w:hAnsi="IBM Plex Sans Condensed ExtraLi"/>
                <w:sz w:val="22"/>
                <w:szCs w:val="22"/>
              </w:rPr>
              <w:t>Ability to travel between Trust sites in a timely manner</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A/I</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jc w:val="both"/>
              <w:rPr>
                <w:rFonts w:ascii="IBM Plex Sans Condensed ExtraLi" w:hAnsi="IBM Plex Sans Condensed ExtraLi" w:eastAsia="Arial" w:cs="IBM Plex Sans Condensed ExtraLi"/>
                <w:sz w:val="22"/>
                <w:szCs w:val="22"/>
              </w:rPr>
            </w:pPr>
            <w:r>
              <w:rPr>
                <w:rFonts w:eastAsia="Arial" w:cs="IBM Plex Sans Condensed ExtraLi" w:ascii="IBM Plex Sans Condensed ExtraLi" w:hAnsi="IBM Plex Sans Condensed ExtraLi"/>
                <w:sz w:val="22"/>
                <w:szCs w:val="22"/>
              </w:rPr>
              <w:t>Full UK driving license and access to a vehicle insured for business use</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Segoe UI Symbol" w:hAnsi="Segoe UI Symbol" w:eastAsia="Arial" w:cs="Segoe UI Symbol"/>
              </w:rPr>
            </w:pPr>
            <w:r>
              <w:rPr>
                <w:rFonts w:eastAsia="Arial" w:cs="Segoe UI Symbol" w:ascii="Segoe UI Symbol" w:hAnsi="Segoe UI Symbol"/>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A/D</w:t>
            </w:r>
          </w:p>
        </w:tc>
      </w:tr>
      <w:tr>
        <w:trPr/>
        <w:tc>
          <w:tcPr>
            <w:tcW w:w="6803" w:type="dxa"/>
            <w:tcBorders>
              <w:top w:val="single" w:sz="4" w:space="0" w:color="000000"/>
              <w:left w:val="single" w:sz="4" w:space="0" w:color="000000"/>
              <w:bottom w:val="single" w:sz="4" w:space="0" w:color="000000"/>
              <w:right w:val="single" w:sz="4" w:space="0" w:color="000000"/>
            </w:tcBorders>
          </w:tcPr>
          <w:p>
            <w:pPr>
              <w:pStyle w:val="BodyText"/>
              <w:spacing w:lineRule="auto" w:line="240" w:before="0" w:after="0"/>
              <w:jc w:val="both"/>
              <w:rPr>
                <w:rFonts w:ascii="IBM Plex Sans Condensed ExtraLi" w:hAnsi="IBM Plex Sans Condensed ExtraLi" w:eastAsia="Arial" w:cs="IBM Plex Sans Condensed ExtraLi"/>
                <w:sz w:val="22"/>
                <w:szCs w:val="22"/>
              </w:rPr>
            </w:pPr>
            <w:r>
              <w:rPr>
                <w:rFonts w:eastAsia="Arial" w:cs="IBM Plex Sans Condensed ExtraLi" w:ascii="IBM Plex Sans Condensed ExtraLi" w:hAnsi="IBM Plex Sans Condensed ExtraLi"/>
                <w:sz w:val="22"/>
                <w:szCs w:val="22"/>
              </w:rPr>
              <w:t>Flexible approach, including occasional work outside normal hours (e.g. school events, maintenance windows)</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Segoe UI Symbol" w:hAnsi="Segoe UI Symbol" w:eastAsia="Arial" w:cs="Segoe UI Symbol"/>
              </w:rPr>
            </w:pPr>
            <w:r>
              <w:rPr>
                <w:rFonts w:eastAsia="Arial" w:cs="Segoe UI Symbol" w:ascii="Segoe UI Symbol" w:hAnsi="Segoe UI Symbol"/>
              </w:rPr>
              <w:t>✓</w:t>
            </w:r>
          </w:p>
        </w:tc>
        <w:tc>
          <w:tcPr>
            <w:tcW w:w="113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IBM Plex Sans Condensed ExtraLi" w:hAnsi="IBM Plex Sans Condensed ExtraLi" w:eastAsia="Arial" w:cs="IBM Plex Sans Condensed ExtraLi"/>
              </w:rPr>
            </w:pPr>
            <w:r>
              <w:rPr>
                <w:rFonts w:eastAsia="Arial" w:cs="IBM Plex Sans Condensed ExtraLi" w:ascii="IBM Plex Sans Condensed ExtraLi" w:hAnsi="IBM Plex Sans Condensed ExtraLi"/>
              </w:rPr>
              <w:t>I</w:t>
            </w:r>
            <w:bookmarkStart w:id="1" w:name="_Hlk125108856"/>
            <w:bookmarkEnd w:id="1"/>
          </w:p>
        </w:tc>
      </w:tr>
    </w:tbl>
    <w:p>
      <w:pPr>
        <w:pStyle w:val="Footer"/>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r>
    </w:p>
    <w:p>
      <w:pPr>
        <w:pStyle w:val="Footer"/>
        <w:jc w:val="both"/>
        <w:rPr>
          <w:rFonts w:ascii="IBM Plex Sans Condensed ExtraLi" w:hAnsi="IBM Plex Sans Condensed ExtraLi" w:cs="IBM Plex Sans Condensed ExtraLi"/>
        </w:rPr>
      </w:pPr>
      <w:r>
        <w:rPr>
          <w:rFonts w:cs="IBM Plex Sans Condensed ExtraLi" w:ascii="IBM Plex Sans Condensed ExtraLi" w:hAnsi="IBM Plex Sans Condensed ExtraLi"/>
        </w:rPr>
        <w:t xml:space="preserve">Key:     I = Interview      R = References </w:t>
        <w:tab/>
        <w:t xml:space="preserve">    A = Application     D = Documentation    T = Test</w:t>
      </w:r>
    </w:p>
    <w:sectPr>
      <w:headerReference w:type="default" r:id="rId2"/>
      <w:footerReference w:type="default" r:id="rId3"/>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IBM Plex Sans Condensed ExtraLi">
    <w:charset w:val="00"/>
    <w:family w:val="roman"/>
    <w:pitch w:val="variable"/>
  </w:font>
  <w:font w:name="Wingdings">
    <w:charset w:val="02"/>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6</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shape_0" adj="10800" fillcolor="silver" stroked="f" o:allowincell="f" style="position:absolute;margin-left:19.5pt;margin-top:272.2pt;width:412.35pt;height:159.9pt;mso-wrap-style:none;v-text-anchor:middle;rotation:315;mso-position-horizontal:center;mso-position-vertical:center;mso-position-vertical-relative:margin" type="_x0000_t136">
          <v:path textpathok="t"/>
          <v:textpath on="t" fitshape="t" string="DRAFT" style="font-family:&quot;Calibri&quot;;font-size:1pt" trim="t"/>
          <v:fill o:detectmouseclick="t" type="solid" color2="#3f3f3f" opacity="0.5"/>
          <v:stroke color="#3465a4" joinstyle="round" endcap="flat"/>
          <w10:wrap type="none"/>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BodyTextChar">
    <w:name w:val="Body Text Char"/>
    <w:basedOn w:val="DefaultParagraphFont"/>
    <w:qFormat/>
    <w:rPr>
      <w:rFonts w:ascii="Times New Roman" w:hAnsi="Times New Roman" w:eastAsia="Times New Roman" w:cs="Times New Roman"/>
      <w:sz w:val="24"/>
      <w:szCs w:val="20"/>
      <w:lang w:val="en-US" w:eastAsia="en-GB"/>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IndentChar">
    <w:name w:val="Body Text Indent Char"/>
    <w:basedOn w:val="DefaultParagraphFont"/>
    <w:qFormat/>
    <w:rPr>
      <w:rFonts w:ascii="Arial" w:hAnsi="Arial" w:eastAsia="Times New Roman" w:cs="Times New Roman"/>
      <w:sz w:val="24"/>
      <w:szCs w:val="24"/>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overflowPunct w:val="true"/>
      <w:spacing w:lineRule="auto" w:line="240" w:before="0" w:after="0"/>
      <w:textAlignment w:val="baseline"/>
    </w:pPr>
    <w:rPr>
      <w:rFonts w:ascii="Times New Roman" w:hAnsi="Times New Roman" w:eastAsia="Times New Roman" w:cs="Times New Roman"/>
      <w:sz w:val="24"/>
      <w:szCs w:val="20"/>
      <w:lang w:val="en-US" w:eastAsia="en-G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odyTextIndent">
    <w:name w:val="Body Text Indent"/>
    <w:basedOn w:val="Normal"/>
    <w:pPr>
      <w:spacing w:lineRule="auto" w:line="240" w:before="0" w:after="120"/>
      <w:ind w:hanging="0" w:left="283" w:right="0"/>
    </w:pPr>
    <w:rPr>
      <w:rFonts w:ascii="Arial" w:hAnsi="Arial" w:eastAsia="Times New Roman" w:cs="Times New Roman"/>
      <w:sz w:val="24"/>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1726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