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-120650</wp:posOffset>
            </wp:positionH>
            <wp:positionV relativeFrom="margin">
              <wp:posOffset>692150</wp:posOffset>
            </wp:positionV>
            <wp:extent cx="5814060"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 xml:space="preserve">English Teacher </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b w:val="false"/>
                          <w:b w:val="false"/>
                          <w:color w:val="000000"/>
                          <w:sz w:val="48"/>
                          <w:szCs w:val="48"/>
                        </w:rPr>
                      </w:pPr>
                      <w:r>
                        <w:rPr>
                          <w:rFonts w:cs="Arial" w:ascii="Arial" w:hAnsi="Arial"/>
                          <w:b w:val="false"/>
                          <w:color w:val="000000"/>
                          <w:sz w:val="48"/>
                          <w:szCs w:val="48"/>
                        </w:rPr>
                        <w:t xml:space="preserve">English Teacher </w:t>
                      </w:r>
                    </w:p>
                    <w:p>
                      <w:pPr>
                        <w:pStyle w:val="FrameContents"/>
                        <w:jc w:val="right"/>
                        <w:rPr>
                          <w:color w:val="000000"/>
                        </w:rPr>
                      </w:pPr>
                      <w:r>
                        <w:rPr>
                          <w:color w:val="000000"/>
                        </w:rPr>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070"/>
        <w:gridCol w:w="6145"/>
        <w:gridCol w:w="20"/>
      </w:tblGrid>
      <w:tr>
        <w:trPr>
          <w:trHeight w:val="781" w:hRule="atLeast"/>
        </w:trPr>
        <w:tc>
          <w:tcPr>
            <w:tcW w:w="9215" w:type="dxa"/>
            <w:gridSpan w:val="2"/>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Job Description</w:t>
            </w:r>
          </w:p>
        </w:tc>
      </w:tr>
      <w:tr>
        <w:trPr>
          <w:trHeight w:val="659" w:hRule="atLeast"/>
        </w:trPr>
        <w:tc>
          <w:tcPr>
            <w:tcW w:w="3070" w:type="dxa"/>
            <w:tcBorders>
              <w:top w:val="single" w:sz="12" w:space="0" w:color="A6A6A6"/>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Job Title:</w:t>
            </w:r>
          </w:p>
        </w:tc>
        <w:tc>
          <w:tcPr>
            <w:tcW w:w="6165" w:type="dxa"/>
            <w:tcBorders>
              <w:top w:val="single" w:sz="12" w:space="0" w:color="A6A6A6"/>
              <w:left w:val="single" w:sz="4" w:space="0" w:color="808080"/>
              <w:bottom w:val="single" w:sz="2" w:space="0" w:color="808080"/>
              <w:right w:val="single" w:sz="12" w:space="0" w:color="A6A6A6"/>
            </w:tcBorders>
            <w:shd w:fill="auto" w:val="clear"/>
            <w:vAlign w:val="center"/>
          </w:tcPr>
          <w:p>
            <w:pPr>
              <w:pStyle w:val="Normal"/>
              <w:jc w:val="both"/>
              <w:rPr>
                <w:b w:val="false"/>
                <w:b w:val="false"/>
                <w:bCs/>
                <w:sz w:val="22"/>
                <w:szCs w:val="22"/>
              </w:rPr>
            </w:pPr>
            <w:r>
              <w:rPr>
                <w:b w:val="false"/>
                <w:bCs/>
                <w:sz w:val="22"/>
                <w:szCs w:val="22"/>
              </w:rPr>
              <w:t xml:space="preserve">English Teacher </w:t>
            </w:r>
          </w:p>
        </w:tc>
      </w:tr>
      <w:tr>
        <w:trPr>
          <w:trHeight w:val="1051"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Pay Grade / Scale / Range:</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Teacher’s Pay Range (The New Bridge Group recognises the portability of Teachers’ salaries). Plus, SEN allowance</w:t>
            </w:r>
          </w:p>
        </w:tc>
      </w:tr>
      <w:tr>
        <w:trPr>
          <w:trHeight w:val="569"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Benefits and Perks: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snapToGrid w:val="false"/>
              <w:jc w:val="both"/>
              <w:rPr>
                <w:b w:val="false"/>
                <w:b w:val="false"/>
                <w:bCs/>
                <w:sz w:val="22"/>
                <w:szCs w:val="22"/>
              </w:rPr>
            </w:pPr>
            <w:r>
              <w:rPr>
                <w:b w:val="false"/>
                <w:bCs/>
                <w:sz w:val="22"/>
                <w:szCs w:val="22"/>
              </w:rPr>
            </w:r>
          </w:p>
          <w:p>
            <w:pPr>
              <w:pStyle w:val="Normal"/>
              <w:jc w:val="both"/>
              <w:rPr>
                <w:rFonts w:cs="Arial"/>
                <w:b w:val="false"/>
                <w:b w:val="false"/>
                <w:color w:val="000000"/>
                <w:sz w:val="22"/>
                <w:szCs w:val="22"/>
              </w:rPr>
            </w:pPr>
            <w:r>
              <w:rPr>
                <w:rFonts w:cs="Arial"/>
                <w:b w:val="false"/>
                <w:color w:val="000000"/>
                <w:sz w:val="22"/>
                <w:szCs w:val="22"/>
              </w:rPr>
              <w:t>Occupational sickness scheme, Teachers’ Pension Scheme, Health Benefit Scheme, up to 5 days TOIL during term time</w:t>
            </w:r>
          </w:p>
          <w:p>
            <w:pPr>
              <w:pStyle w:val="Normal"/>
              <w:jc w:val="both"/>
              <w:rPr>
                <w:b w:val="false"/>
                <w:b w:val="false"/>
                <w:bCs/>
                <w:sz w:val="22"/>
                <w:szCs w:val="22"/>
              </w:rPr>
            </w:pPr>
            <w:r>
              <w:rPr>
                <w:b w:val="false"/>
                <w:bCs/>
                <w:sz w:val="22"/>
                <w:szCs w:val="22"/>
              </w:rPr>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Working hours: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Heading1"/>
              <w:spacing w:before="240" w:after="60"/>
              <w:jc w:val="both"/>
              <w:rPr>
                <w:rFonts w:ascii="Helvetica;Arial" w:hAnsi="Helvetica;Arial" w:cs="Helvetica;Arial"/>
                <w:b w:val="false"/>
                <w:b w:val="false"/>
                <w:color w:val="000000"/>
                <w:sz w:val="22"/>
                <w:szCs w:val="22"/>
              </w:rPr>
            </w:pPr>
            <w:r>
              <w:rPr>
                <w:rFonts w:cs="Helvetica;Arial" w:ascii="Helvetica;Arial" w:hAnsi="Helvetica;Arial"/>
                <w:b w:val="false"/>
                <w:color w:val="000000"/>
                <w:sz w:val="22"/>
                <w:szCs w:val="22"/>
              </w:rPr>
              <w:t>Standard teachers’ terms and conditions</w:t>
            </w:r>
          </w:p>
          <w:p>
            <w:pPr>
              <w:pStyle w:val="Normal"/>
              <w:jc w:val="both"/>
              <w:rPr>
                <w:b w:val="false"/>
                <w:b w:val="false"/>
                <w:sz w:val="22"/>
                <w:szCs w:val="22"/>
              </w:rPr>
            </w:pPr>
            <w:r>
              <w:rPr>
                <w:b w:val="false"/>
                <w:sz w:val="22"/>
                <w:szCs w:val="22"/>
              </w:rPr>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bCs/>
                <w:sz w:val="22"/>
                <w:szCs w:val="22"/>
              </w:rPr>
            </w:pPr>
            <w:r>
              <w:rPr>
                <w:bCs/>
                <w:sz w:val="22"/>
                <w:szCs w:val="22"/>
              </w:rPr>
              <w:t>Location:</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bCs/>
                <w:sz w:val="22"/>
                <w:szCs w:val="22"/>
              </w:rPr>
            </w:pPr>
            <w:r>
              <w:rPr>
                <w:b w:val="false"/>
                <w:bCs/>
                <w:sz w:val="22"/>
                <w:szCs w:val="22"/>
              </w:rPr>
              <w:t>Based at New Bridge College. However, may be required to deliver at other sites across New Bridge School.</w:t>
            </w:r>
            <w:bookmarkStart w:id="0" w:name="_GoBack"/>
            <w:bookmarkEnd w:id="0"/>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Special circumstances: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Some out-of-hours working required at busy times</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Staff responsible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Head of College</w:t>
            </w:r>
          </w:p>
        </w:tc>
      </w:tr>
      <w:tr>
        <w:trPr>
          <w:trHeight w:val="547"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Staff responsible for:</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Support staff</w:t>
            </w:r>
          </w:p>
        </w:tc>
      </w:tr>
      <w:tr>
        <w:trPr>
          <w:trHeight w:val="544"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jc w:val="both"/>
              <w:rPr>
                <w:sz w:val="22"/>
                <w:szCs w:val="22"/>
              </w:rPr>
            </w:pPr>
            <w:r>
              <w:rPr>
                <w:sz w:val="22"/>
                <w:szCs w:val="22"/>
              </w:rPr>
              <w:t>Accountable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jc w:val="both"/>
              <w:rPr>
                <w:b w:val="false"/>
                <w:b w:val="false"/>
                <w:sz w:val="22"/>
                <w:szCs w:val="22"/>
              </w:rPr>
            </w:pPr>
            <w:r>
              <w:rPr>
                <w:b w:val="false"/>
                <w:sz w:val="22"/>
                <w:szCs w:val="22"/>
              </w:rPr>
              <w:t>Chief Executive Officer</w:t>
            </w:r>
          </w:p>
        </w:tc>
      </w:tr>
      <w:tr>
        <w:trPr>
          <w:trHeight w:val="706" w:hRule="atLeast"/>
        </w:trPr>
        <w:tc>
          <w:tcPr>
            <w:tcW w:w="3070" w:type="dxa"/>
            <w:tcBorders>
              <w:top w:val="single" w:sz="2" w:space="0" w:color="808080"/>
              <w:left w:val="single" w:sz="12" w:space="0" w:color="A6A6A6"/>
              <w:bottom w:val="single" w:sz="12" w:space="0" w:color="A6A6A6"/>
            </w:tcBorders>
            <w:shd w:fill="EAEAEA" w:val="clear"/>
            <w:vAlign w:val="center"/>
          </w:tcPr>
          <w:p>
            <w:pPr>
              <w:pStyle w:val="Normal"/>
              <w:jc w:val="both"/>
              <w:rPr>
                <w:sz w:val="22"/>
                <w:szCs w:val="22"/>
              </w:rPr>
            </w:pPr>
            <w:r>
              <w:rPr>
                <w:sz w:val="22"/>
                <w:szCs w:val="22"/>
              </w:rPr>
              <w:t>Probationary period:</w:t>
            </w:r>
          </w:p>
        </w:tc>
        <w:tc>
          <w:tcPr>
            <w:tcW w:w="6165" w:type="dxa"/>
            <w:tcBorders>
              <w:top w:val="single" w:sz="2" w:space="0" w:color="808080"/>
              <w:left w:val="single" w:sz="4" w:space="0" w:color="808080"/>
              <w:bottom w:val="single" w:sz="12" w:space="0" w:color="A6A6A6"/>
              <w:right w:val="single" w:sz="12" w:space="0" w:color="A6A6A6"/>
            </w:tcBorders>
            <w:shd w:fill="auto" w:val="clear"/>
            <w:vAlign w:val="center"/>
          </w:tcPr>
          <w:p>
            <w:pPr>
              <w:pStyle w:val="Normal"/>
              <w:jc w:val="both"/>
              <w:rPr>
                <w:b w:val="false"/>
                <w:b w:val="false"/>
                <w:sz w:val="22"/>
                <w:szCs w:val="22"/>
              </w:rPr>
            </w:pPr>
            <w:r>
              <w:rPr>
                <w:b w:val="false"/>
                <w:sz w:val="22"/>
                <w:szCs w:val="22"/>
              </w:rPr>
              <w:t>Statutory induction if applicable</w:t>
            </w:r>
          </w:p>
        </w:tc>
      </w:tr>
    </w:tbl>
    <w:p>
      <w:pPr>
        <w:pStyle w:val="Normal"/>
        <w:rPr>
          <w:b w:val="false"/>
          <w:b w:val="false"/>
          <w:sz w:val="22"/>
          <w:szCs w:val="22"/>
        </w:rPr>
      </w:pPr>
      <w:r>
        <w:rPr>
          <w:b w:val="false"/>
          <w:sz w:val="22"/>
          <w:szCs w:val="22"/>
        </w:rPr>
      </w:r>
    </w:p>
    <w:p>
      <w:pPr>
        <w:pStyle w:val="Normal"/>
        <w:rPr>
          <w:rFonts w:cs="Arial"/>
          <w:b w:val="false"/>
          <w:b w:val="false"/>
          <w:bCs/>
          <w:color w:val="00469B"/>
          <w:sz w:val="22"/>
          <w:szCs w:val="22"/>
        </w:rPr>
      </w:pPr>
      <w:r>
        <w:rPr>
          <w:rFonts w:cs="Arial"/>
          <w:b w:val="false"/>
          <w:bCs/>
          <w:color w:val="00469B"/>
          <w:sz w:val="22"/>
          <w:szCs w:val="22"/>
        </w:rPr>
      </w:r>
      <w:r>
        <w:br w:type="page"/>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rPr>
                <w:rFonts w:ascii="Calibri" w:hAnsi="Calibri" w:eastAsia="Calibri" w:cs="Calibri"/>
                <w:b w:val="false"/>
                <w:b w:val="false"/>
                <w:sz w:val="22"/>
                <w:szCs w:val="22"/>
                <w:u w:val="single"/>
                <w:lang w:val="en-GB" w:eastAsia="en-GB"/>
              </w:rPr>
            </w:pPr>
            <w:r>
              <w:rPr>
                <w:rFonts w:eastAsia="Calibri" w:cs="Calibri" w:ascii="Calibri" w:hAnsi="Calibri"/>
                <w:b w:val="false"/>
                <w:sz w:val="22"/>
                <w:szCs w:val="22"/>
                <w:u w:val="single"/>
                <w:lang w:val="en-GB" w:eastAsia="en-GB"/>
              </w:rPr>
            </w:r>
          </w:p>
          <w:p>
            <w:pPr>
              <w:pStyle w:val="Normal"/>
              <w:jc w:val="both"/>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Job Purpose:</w:t>
            </w:r>
          </w:p>
          <w:p>
            <w:pPr>
              <w:pStyle w:val="Normal"/>
              <w:jc w:val="both"/>
              <w:rPr>
                <w:rFonts w:ascii="Arial" w:hAnsi="Arial" w:eastAsia="Calibri" w:cs="Arial"/>
                <w:b w:val="false"/>
                <w:b w:val="false"/>
                <w:sz w:val="22"/>
                <w:szCs w:val="22"/>
                <w:u w:val="single"/>
                <w:lang w:val="en-GB" w:eastAsia="en-GB"/>
              </w:rPr>
            </w:pPr>
            <w:r>
              <w:rPr>
                <w:rFonts w:eastAsia="Calibri" w:cs="Arial" w:ascii="Arial" w:hAnsi="Arial"/>
                <w:b w:val="false"/>
                <w:sz w:val="22"/>
                <w:szCs w:val="22"/>
                <w:u w:val="single"/>
                <w:lang w:val="en-GB" w:eastAsia="en-GB"/>
              </w:rPr>
            </w:r>
          </w:p>
          <w:p>
            <w:pPr>
              <w:pStyle w:val="Normal"/>
              <w:jc w:val="both"/>
              <w:rPr>
                <w:rFonts w:ascii="Arial" w:hAnsi="Arial" w:eastAsia="Calibri" w:cs="Arial"/>
                <w:sz w:val="22"/>
                <w:szCs w:val="22"/>
                <w:lang w:val="en-GB" w:eastAsia="en-GB"/>
              </w:rPr>
            </w:pPr>
            <w:r>
              <w:rPr>
                <w:rFonts w:eastAsia="Calibri" w:cs="Arial" w:ascii="Arial" w:hAnsi="Arial"/>
                <w:sz w:val="22"/>
                <w:szCs w:val="22"/>
                <w:lang w:val="en-GB" w:eastAsia="en-GB"/>
              </w:rPr>
              <w:t>To ensure all students achieve high standards of learning and well-being and to provide high quality education and care in any area of the College which meets the requirements of the below statutory documents:</w:t>
            </w:r>
          </w:p>
          <w:p>
            <w:pPr>
              <w:pStyle w:val="Normal"/>
              <w:jc w:val="both"/>
              <w:rPr>
                <w:rFonts w:ascii="Arial" w:hAnsi="Arial" w:eastAsia="Calibri" w:cs="Arial"/>
                <w:sz w:val="22"/>
                <w:szCs w:val="22"/>
                <w:lang w:val="en-GB" w:eastAsia="en-GB"/>
              </w:rPr>
            </w:pPr>
            <w:r>
              <w:rPr>
                <w:rFonts w:eastAsia="Calibri" w:cs="Arial" w:ascii="Arial" w:hAnsi="Arial"/>
                <w:sz w:val="22"/>
                <w:szCs w:val="22"/>
                <w:lang w:val="en-GB" w:eastAsia="en-GB"/>
              </w:rPr>
            </w:r>
          </w:p>
          <w:p>
            <w:pPr>
              <w:pStyle w:val="ListParagraph"/>
              <w:numPr>
                <w:ilvl w:val="0"/>
                <w:numId w:val="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Professional Standards for Teachers (as set out below)</w:t>
            </w:r>
          </w:p>
          <w:p>
            <w:pPr>
              <w:pStyle w:val="ListParagraph"/>
              <w:numPr>
                <w:ilvl w:val="0"/>
                <w:numId w:val="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The Conditions of Employment for Teachers as defined in the current School Teachers Pay and Conditions Document</w:t>
            </w:r>
          </w:p>
          <w:p>
            <w:pPr>
              <w:pStyle w:val="Normal"/>
              <w:spacing w:before="0" w:after="0"/>
              <w:ind w:left="360" w:right="0" w:hanging="0"/>
              <w:contextualSpacing/>
              <w:jc w:val="both"/>
              <w:rPr>
                <w:rFonts w:ascii="Arial" w:hAnsi="Arial" w:eastAsia="Calibri" w:cs="Arial"/>
                <w:b w:val="false"/>
                <w:b w:val="false"/>
                <w:sz w:val="22"/>
                <w:szCs w:val="22"/>
                <w:lang w:val="en-GB" w:eastAsia="en-GB"/>
              </w:rPr>
            </w:pPr>
            <w:r>
              <w:rPr>
                <w:rFonts w:eastAsia="Calibri" w:cs="Arial" w:ascii="Arial" w:hAnsi="Arial"/>
                <w:b w:val="false"/>
                <w:sz w:val="22"/>
                <w:szCs w:val="22"/>
                <w:lang w:val="en-GB" w:eastAsia="en-GB"/>
              </w:rPr>
            </w:r>
          </w:p>
          <w:p>
            <w:pPr>
              <w:pStyle w:val="Normal"/>
              <w:jc w:val="both"/>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Teachers’ Standards</w:t>
            </w:r>
          </w:p>
          <w:p>
            <w:pPr>
              <w:pStyle w:val="Normal"/>
              <w:jc w:val="both"/>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r>
          </w:p>
          <w:p>
            <w:pPr>
              <w:pStyle w:val="Normal"/>
              <w:jc w:val="both"/>
              <w:rPr>
                <w:rFonts w:ascii="Arial" w:hAnsi="Arial" w:eastAsia="Calibri" w:cs="Arial"/>
                <w:sz w:val="22"/>
                <w:szCs w:val="22"/>
                <w:lang w:val="en-GB" w:eastAsia="en-GB"/>
              </w:rPr>
            </w:pPr>
            <w:r>
              <w:rPr>
                <w:rFonts w:eastAsia="Calibri" w:cs="Arial" w:ascii="Arial" w:hAnsi="Arial"/>
                <w:sz w:val="22"/>
                <w:szCs w:val="22"/>
                <w:lang w:val="en-GB" w:eastAsia="en-GB"/>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pPr>
              <w:pStyle w:val="Normal"/>
              <w:jc w:val="both"/>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r>
          </w:p>
          <w:p>
            <w:pPr>
              <w:pStyle w:val="Normal"/>
              <w:jc w:val="both"/>
              <w:rPr>
                <w:rFonts w:ascii="Calibri" w:hAnsi="Calibri" w:eastAsia="Calibri" w:cs="Calibri"/>
                <w:sz w:val="22"/>
                <w:szCs w:val="22"/>
                <w:u w:val="single"/>
                <w:lang w:val="en-GB" w:eastAsia="en-GB"/>
              </w:rPr>
            </w:pPr>
            <w:r>
              <w:rPr>
                <w:rFonts w:eastAsia="Calibri" w:cs="Calibri" w:ascii="Calibri" w:hAnsi="Calibri"/>
                <w:sz w:val="22"/>
                <w:szCs w:val="22"/>
                <w:u w:val="single"/>
                <w:lang w:val="en-GB" w:eastAsia="en-GB"/>
              </w:rPr>
              <w:t>Part One: Teaching</w:t>
            </w:r>
          </w:p>
          <w:p>
            <w:pPr>
              <w:pStyle w:val="Normal"/>
              <w:jc w:val="both"/>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Normal"/>
              <w:jc w:val="both"/>
              <w:rPr>
                <w:rFonts w:ascii="Calibri" w:hAnsi="Calibri" w:eastAsia="Calibri" w:cs="Calibri"/>
                <w:sz w:val="22"/>
                <w:szCs w:val="22"/>
                <w:lang w:val="en-GB" w:eastAsia="en-GB"/>
              </w:rPr>
            </w:pPr>
            <w:r>
              <w:rPr>
                <w:rFonts w:eastAsia="Calibri" w:cs="Calibri" w:ascii="Calibri" w:hAnsi="Calibri"/>
                <w:sz w:val="22"/>
                <w:szCs w:val="22"/>
                <w:lang w:val="en-GB" w:eastAsia="en-GB"/>
              </w:rPr>
              <w:t>A teacher must:</w:t>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Set high expectations which inspire, motivate and challenge students</w:t>
            </w:r>
          </w:p>
          <w:p>
            <w:pPr>
              <w:pStyle w:val="ListParagraph"/>
              <w:numPr>
                <w:ilvl w:val="0"/>
                <w:numId w:val="4"/>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Establish a safe and stimulating environment for pupils, rooted in mutual respect</w:t>
            </w:r>
          </w:p>
          <w:p>
            <w:pPr>
              <w:pStyle w:val="ListParagraph"/>
              <w:numPr>
                <w:ilvl w:val="0"/>
                <w:numId w:val="4"/>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Set goals that stretch and challenge students of all backgrounds, abilities and dispositions</w:t>
            </w:r>
          </w:p>
          <w:p>
            <w:pPr>
              <w:pStyle w:val="ListParagraph"/>
              <w:numPr>
                <w:ilvl w:val="0"/>
                <w:numId w:val="4"/>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consistently the positive attitudes, values and behaviour which are expected of students</w:t>
            </w:r>
          </w:p>
          <w:p>
            <w:pPr>
              <w:pStyle w:val="Normal"/>
              <w:jc w:val="both"/>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jc w:val="both"/>
              <w:rPr>
                <w:rFonts w:ascii="Calibri" w:hAnsi="Calibri" w:eastAsia="Calibri" w:cs="Calibri"/>
                <w:sz w:val="22"/>
                <w:szCs w:val="22"/>
                <w:lang w:val="en-GB" w:eastAsia="en-GB"/>
              </w:rPr>
            </w:pPr>
            <w:r>
              <w:rPr>
                <w:rFonts w:eastAsia="Calibri" w:cs="Calibri" w:ascii="Calibri" w:hAnsi="Calibri"/>
                <w:sz w:val="22"/>
                <w:szCs w:val="22"/>
                <w:lang w:val="en-GB" w:eastAsia="en-GB"/>
              </w:rPr>
              <w:t>Promote good progress and outcomes by pupils</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Be accountable for students’ attainment, progress and outcomes</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Be aware of pupils’ capabilities and their prior knowledge, and plan teaching to build on these</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Guide students to reflect on progress they have made and their emerging needs</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knowledge and understanding of how students learn and how these impact on teaching</w:t>
            </w:r>
          </w:p>
          <w:p>
            <w:pPr>
              <w:pStyle w:val="ListParagraph"/>
              <w:numPr>
                <w:ilvl w:val="0"/>
                <w:numId w:val="5"/>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Encourage students to take a responsible and conscientious attitude to their own work and study</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good subject and curriculum knowledge</w:t>
            </w:r>
          </w:p>
          <w:p>
            <w:pPr>
              <w:pStyle w:val="ListParagraph"/>
              <w:numPr>
                <w:ilvl w:val="0"/>
                <w:numId w:val="6"/>
              </w:numPr>
              <w:spacing w:before="0" w:after="0"/>
              <w:contextualSpacing/>
              <w:jc w:val="both"/>
              <w:rPr/>
            </w:pPr>
            <w:r>
              <w:rPr>
                <w:rFonts w:eastAsia="Calibri" w:cs="Calibri" w:ascii="Calibri" w:hAnsi="Calibri"/>
                <w:sz w:val="22"/>
                <w:szCs w:val="22"/>
                <w:lang w:val="en-GB" w:eastAsia="en-GB"/>
              </w:rPr>
              <w:t>Have a secure knowledge of relevant English and curriculum areas, foster and maintain students’ interest in the subject and address misunderstandings</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a critical understanding of developments in the subject and curriculum areas, and promote the value of scholarship</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understanding of and take responsibility for promoting high standards of literacy, articulacy and the correct use of standard English</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reading, demonstrate a clear understanding of systematic synthetic phonics</w:t>
            </w:r>
          </w:p>
          <w:p>
            <w:pPr>
              <w:pStyle w:val="ListParagraph"/>
              <w:numPr>
                <w:ilvl w:val="0"/>
                <w:numId w:val="6"/>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mathematics, demonstrate a clear understanding of appropriate teaching strategies</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jc w:val="both"/>
              <w:rPr>
                <w:rFonts w:ascii="Calibri" w:hAnsi="Calibri" w:eastAsia="Calibri" w:cs="Calibri"/>
                <w:sz w:val="22"/>
                <w:szCs w:val="22"/>
                <w:lang w:val="en-GB" w:eastAsia="en-GB"/>
              </w:rPr>
            </w:pPr>
            <w:r>
              <w:rPr>
                <w:rFonts w:eastAsia="Calibri" w:cs="Calibri" w:ascii="Calibri" w:hAnsi="Calibri"/>
                <w:sz w:val="22"/>
                <w:szCs w:val="22"/>
                <w:lang w:val="en-GB" w:eastAsia="en-GB"/>
              </w:rPr>
              <w:t>Plan and teach well-structured lessons</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Impart knowledge and develop understanding through effective use of lesson time</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Promote a love of learning and student’s intellectual curiosity</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Set assignment work and plan out-of-class activities to consolidate and extend the knowledge and understanding students have acquired</w:t>
            </w:r>
          </w:p>
          <w:p>
            <w:pPr>
              <w:pStyle w:val="ListParagraph"/>
              <w:numPr>
                <w:ilvl w:val="0"/>
                <w:numId w:val="7"/>
              </w:numPr>
              <w:jc w:val="both"/>
              <w:rPr>
                <w:rFonts w:ascii="Calibri" w:hAnsi="Calibri" w:eastAsia="Calibri" w:cs="Calibri"/>
                <w:sz w:val="22"/>
                <w:szCs w:val="22"/>
                <w:lang w:val="en-GB" w:eastAsia="en-GB"/>
              </w:rPr>
            </w:pPr>
            <w:r>
              <w:rPr>
                <w:rFonts w:eastAsia="Calibri" w:cs="Calibri" w:ascii="Calibri" w:hAnsi="Calibri"/>
                <w:sz w:val="22"/>
                <w:szCs w:val="22"/>
                <w:lang w:val="en-GB" w:eastAsia="en-GB"/>
              </w:rPr>
              <w:t>Reflect systematically on the effectiveness of lessons and approaches to teaching</w:t>
            </w:r>
          </w:p>
          <w:p>
            <w:pPr>
              <w:pStyle w:val="ListParagraph"/>
              <w:numPr>
                <w:ilvl w:val="0"/>
                <w:numId w:val="7"/>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Contribute to the design and provision of an engaging curriculum within the relevant subject area(s)</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Adapt teaching to respond to the strengths and needs of all students</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Know when and how to differentiate appropriately, using approaches which enable students to be taught effectively</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a secure understanding of how a range of factors can inhibit students’ ability to learn, and how best to overcome these</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awareness of the physical, social and intellectual development of children, and how to adapt teaching to support pupils’ education at different stages of development</w:t>
            </w:r>
          </w:p>
          <w:p>
            <w:pPr>
              <w:pStyle w:val="ListParagraph"/>
              <w:numPr>
                <w:ilvl w:val="0"/>
                <w:numId w:val="8"/>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a clear understanding of the needs of all students, including those with special educational needs; those with disabilities; and be able to use and evaluate distinctive teaching approached to engage and support them</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Make accurate and productive use of assessment</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Know and understand how to assess the relevant subject and curriculum areas, including statutory assessment requirements</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Make use of formative and summative assessment to secure students’ progress</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Use relevant data to monitor progress, set targets and plan subsequent lessons</w:t>
            </w:r>
          </w:p>
          <w:p>
            <w:pPr>
              <w:pStyle w:val="ListParagraph"/>
              <w:numPr>
                <w:ilvl w:val="0"/>
                <w:numId w:val="11"/>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Give students regular feedback, both orally and through accurate marking, and encourage students to respond to the feedback</w:t>
            </w:r>
          </w:p>
          <w:p>
            <w:pPr>
              <w:pStyle w:val="ListParagraph"/>
              <w:spacing w:before="0" w:after="0"/>
              <w:ind w:left="1080" w:right="0" w:hanging="0"/>
              <w:contextualSpacing/>
              <w:jc w:val="both"/>
              <w:rPr>
                <w:rFonts w:ascii="Calibri" w:hAnsi="Calibri" w:eastAsia="Calibri" w:cs="Calibri"/>
                <w:b/>
                <w:b/>
                <w:sz w:val="22"/>
                <w:szCs w:val="22"/>
                <w:lang w:val="en-GB" w:eastAsia="en-GB"/>
              </w:rPr>
            </w:pPr>
            <w:r>
              <w:rPr>
                <w:rFonts w:eastAsia="Calibri" w:cs="Calibri" w:ascii="Calibri" w:hAnsi="Calibri"/>
                <w:b/>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Manage behaviour effectively to ensure a good and safe learning environment</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clear rules and routines for behaviour in classrooms, and take responsibility for promoting good and courteous behaviour both in classrooms and around the College, in accordance with the New Bridge Behaviour Policy</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Have high expectations of behaviour, and establish a framework for discipline with a range of strategies, using praise, sanctions and rewards consistently and fairly</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Manage classes effectively, using approaches which are appropriate to students’ needs in order to involve and motivate them</w:t>
            </w:r>
          </w:p>
          <w:p>
            <w:pPr>
              <w:pStyle w:val="ListParagraph"/>
              <w:numPr>
                <w:ilvl w:val="0"/>
                <w:numId w:val="12"/>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Maintain good relationships with students, exercise appropriate authority, and act decisively when necessary</w:t>
            </w:r>
          </w:p>
          <w:p>
            <w:pPr>
              <w:pStyle w:val="Normal"/>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r>
          </w:p>
          <w:p>
            <w:pPr>
              <w:pStyle w:val="ListParagraph"/>
              <w:numPr>
                <w:ilvl w:val="0"/>
                <w:numId w:val="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Fulfil wider professional responsibilities</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Make a positive contribution to the wider life and ethos of the College</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Develop effective professional relationships with colleagues, knowing how and when to draw on advice and specialist support</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Deploy staff effectively</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Take responsibility for improving teaching through appropriate professional development, responding to advice and feedback from colleagues</w:t>
            </w:r>
          </w:p>
          <w:p>
            <w:pPr>
              <w:pStyle w:val="ListParagraph"/>
              <w:numPr>
                <w:ilvl w:val="0"/>
                <w:numId w:val="13"/>
              </w:numPr>
              <w:spacing w:before="0" w:after="0"/>
              <w:contextualSpacing/>
              <w:jc w:val="both"/>
              <w:rPr>
                <w:rFonts w:ascii="Calibri" w:hAnsi="Calibri" w:eastAsia="Calibri" w:cs="Calibri"/>
                <w:sz w:val="22"/>
                <w:szCs w:val="22"/>
                <w:lang w:val="en-GB" w:eastAsia="en-GB"/>
              </w:rPr>
            </w:pPr>
            <w:r>
              <w:rPr>
                <w:rFonts w:eastAsia="Calibri" w:cs="Calibri" w:ascii="Calibri" w:hAnsi="Calibri"/>
                <w:sz w:val="22"/>
                <w:szCs w:val="22"/>
                <w:lang w:val="en-GB" w:eastAsia="en-GB"/>
              </w:rPr>
              <w:t>Communicate effectively with parents/carers with regard to students’ achievements and well being</w:t>
            </w:r>
          </w:p>
        </w:tc>
      </w:tr>
    </w:tbl>
    <w:p>
      <w:pPr>
        <w:pStyle w:val="Normal"/>
        <w:rPr>
          <w:rFonts w:cs="Arial"/>
        </w:rPr>
      </w:pPr>
      <w:r>
        <w:rPr>
          <w:rFonts w:cs="Arial"/>
        </w:rPr>
      </w:r>
    </w:p>
    <w:tbl>
      <w:tblPr>
        <w:tblW w:w="9224" w:type="dxa"/>
        <w:jc w:val="center"/>
        <w:tblInd w:w="0" w:type="dxa"/>
        <w:tblCellMar>
          <w:top w:w="0" w:type="dxa"/>
          <w:left w:w="108" w:type="dxa"/>
          <w:bottom w:w="0" w:type="dxa"/>
          <w:right w:w="108" w:type="dxa"/>
        </w:tblCellMar>
      </w:tblPr>
      <w:tblGrid>
        <w:gridCol w:w="9224"/>
      </w:tblGrid>
      <w:tr>
        <w:trPr>
          <w:trHeight w:val="1975" w:hRule="atLeast"/>
        </w:trPr>
        <w:tc>
          <w:tcPr>
            <w:tcW w:w="92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u w:val="single"/>
              </w:rPr>
            </w:pPr>
            <w:r>
              <w:rPr>
                <w:rFonts w:cs="Arial"/>
                <w:sz w:val="22"/>
                <w:szCs w:val="22"/>
                <w:u w:val="single"/>
              </w:rPr>
              <w:t>Part Two: Personal and Professional Conduct</w:t>
            </w:r>
          </w:p>
          <w:p>
            <w:pPr>
              <w:pStyle w:val="Normal"/>
              <w:rPr>
                <w:rFonts w:cs="Arial"/>
                <w:sz w:val="22"/>
                <w:szCs w:val="22"/>
                <w:u w:val="single"/>
              </w:rPr>
            </w:pPr>
            <w:r>
              <w:rPr>
                <w:rFonts w:cs="Arial"/>
                <w:sz w:val="22"/>
                <w:szCs w:val="22"/>
                <w:u w:val="single"/>
              </w:rPr>
            </w:r>
          </w:p>
          <w:p>
            <w:pPr>
              <w:pStyle w:val="Normal"/>
              <w:rPr>
                <w:rFonts w:cs="Arial"/>
                <w:sz w:val="22"/>
                <w:szCs w:val="22"/>
              </w:rPr>
            </w:pPr>
            <w:r>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pPr>
              <w:pStyle w:val="Normal"/>
              <w:rPr>
                <w:rFonts w:cs="Arial"/>
              </w:rPr>
            </w:pPr>
            <w:r>
              <w:rPr>
                <w:rFonts w:cs="Arial"/>
              </w:rPr>
            </w:r>
          </w:p>
          <w:p>
            <w:pPr>
              <w:pStyle w:val="ListParagraph"/>
              <w:numPr>
                <w:ilvl w:val="0"/>
                <w:numId w:val="9"/>
              </w:numPr>
              <w:spacing w:before="0" w:after="0"/>
              <w:contextualSpacing/>
              <w:rPr>
                <w:rFonts w:cs="Arial"/>
                <w:sz w:val="22"/>
                <w:szCs w:val="22"/>
              </w:rPr>
            </w:pPr>
            <w:r>
              <w:rPr>
                <w:rFonts w:cs="Arial"/>
                <w:sz w:val="22"/>
                <w:szCs w:val="22"/>
              </w:rPr>
              <w:t>Teachers uphold public trust in the profession and maintain high standards of ethics and behaviour, within and outside College, by:</w:t>
            </w:r>
          </w:p>
          <w:p>
            <w:pPr>
              <w:pStyle w:val="ListParagraph"/>
              <w:numPr>
                <w:ilvl w:val="0"/>
                <w:numId w:val="10"/>
              </w:numPr>
              <w:spacing w:before="0" w:after="0"/>
              <w:contextualSpacing/>
              <w:rPr>
                <w:rFonts w:cs="Arial"/>
                <w:sz w:val="22"/>
                <w:szCs w:val="22"/>
              </w:rPr>
            </w:pPr>
            <w:r>
              <w:rPr>
                <w:rFonts w:cs="Arial"/>
                <w:sz w:val="22"/>
                <w:szCs w:val="22"/>
              </w:rPr>
              <w:t>treating students with dignity, building relationships rooted in mutual respect, and at all times observing proper boundaries appropriate to a teacher’s profession</w:t>
            </w:r>
          </w:p>
          <w:p>
            <w:pPr>
              <w:pStyle w:val="ListParagraph"/>
              <w:numPr>
                <w:ilvl w:val="0"/>
                <w:numId w:val="10"/>
              </w:numPr>
              <w:spacing w:before="0" w:after="0"/>
              <w:contextualSpacing/>
              <w:rPr>
                <w:rFonts w:cs="Arial"/>
                <w:sz w:val="22"/>
                <w:szCs w:val="22"/>
              </w:rPr>
            </w:pPr>
            <w:r>
              <w:rPr>
                <w:rFonts w:cs="Arial"/>
                <w:sz w:val="22"/>
                <w:szCs w:val="22"/>
              </w:rPr>
              <w:t>Having regard to the need to safeguard students’ well-being, in accordance with statutory provisions</w:t>
            </w:r>
          </w:p>
          <w:p>
            <w:pPr>
              <w:pStyle w:val="ListParagraph"/>
              <w:numPr>
                <w:ilvl w:val="0"/>
                <w:numId w:val="10"/>
              </w:numPr>
              <w:spacing w:before="0" w:after="0"/>
              <w:contextualSpacing/>
              <w:rPr>
                <w:rFonts w:cs="Arial"/>
                <w:sz w:val="22"/>
                <w:szCs w:val="22"/>
              </w:rPr>
            </w:pPr>
            <w:r>
              <w:rPr>
                <w:rFonts w:cs="Arial"/>
                <w:sz w:val="22"/>
                <w:szCs w:val="22"/>
              </w:rPr>
              <w:t>Showing tolerance of and respect for the rights of others</w:t>
            </w:r>
          </w:p>
          <w:p>
            <w:pPr>
              <w:pStyle w:val="ListParagraph"/>
              <w:numPr>
                <w:ilvl w:val="0"/>
                <w:numId w:val="10"/>
              </w:numPr>
              <w:spacing w:before="0" w:after="0"/>
              <w:contextualSpacing/>
              <w:rPr>
                <w:rFonts w:cs="Arial"/>
                <w:sz w:val="22"/>
                <w:szCs w:val="22"/>
              </w:rPr>
            </w:pPr>
            <w:r>
              <w:rPr>
                <w:rFonts w:cs="Arial"/>
                <w:sz w:val="22"/>
                <w:szCs w:val="22"/>
              </w:rPr>
              <w:t>Not undermining fundamental British values, including democracy, the rule of law, individual liberty and mutual respect, and tolerance of those with different faiths and beliefs</w:t>
            </w:r>
          </w:p>
          <w:p>
            <w:pPr>
              <w:pStyle w:val="ListParagraph"/>
              <w:numPr>
                <w:ilvl w:val="0"/>
                <w:numId w:val="10"/>
              </w:numPr>
              <w:spacing w:before="0" w:after="0"/>
              <w:contextualSpacing/>
              <w:rPr>
                <w:rFonts w:cs="Arial"/>
                <w:sz w:val="22"/>
                <w:szCs w:val="22"/>
              </w:rPr>
            </w:pPr>
            <w:r>
              <w:rPr>
                <w:rFonts w:cs="Arial"/>
                <w:sz w:val="22"/>
                <w:szCs w:val="22"/>
              </w:rPr>
              <w:t>Ensuring that personal beliefs are not expressed in ways which exploit students’ vulnerability or might lead them to break the law</w:t>
            </w:r>
          </w:p>
          <w:p>
            <w:pPr>
              <w:pStyle w:val="ListParagraph"/>
              <w:numPr>
                <w:ilvl w:val="0"/>
                <w:numId w:val="9"/>
              </w:numPr>
              <w:spacing w:before="0" w:after="0"/>
              <w:contextualSpacing/>
              <w:rPr>
                <w:rFonts w:cs="Arial"/>
                <w:sz w:val="22"/>
                <w:szCs w:val="22"/>
              </w:rPr>
            </w:pPr>
            <w:r>
              <w:rPr>
                <w:rFonts w:cs="Arial"/>
                <w:sz w:val="22"/>
                <w:szCs w:val="22"/>
              </w:rPr>
              <w:t>Teachers must have proper and professional regard for the ethos, policies and practices of the school in which they teach, and maintain high standards in their own attendance and punctuality</w:t>
            </w:r>
          </w:p>
          <w:p>
            <w:pPr>
              <w:pStyle w:val="ListParagraph"/>
              <w:numPr>
                <w:ilvl w:val="0"/>
                <w:numId w:val="9"/>
              </w:numPr>
              <w:spacing w:before="0" w:after="0"/>
              <w:contextualSpacing/>
              <w:rPr>
                <w:rFonts w:cs="Arial"/>
                <w:sz w:val="22"/>
                <w:szCs w:val="22"/>
              </w:rPr>
            </w:pPr>
            <w:r>
              <w:rPr>
                <w:rFonts w:cs="Arial"/>
                <w:sz w:val="22"/>
                <w:szCs w:val="22"/>
              </w:rPr>
              <w:t>Teachers must understand, and always act within, the statutory frameworks which set out their professional duties and responsibilities.</w:t>
            </w:r>
          </w:p>
          <w:p>
            <w:pPr>
              <w:pStyle w:val="ListParagraph"/>
              <w:ind w:left="0" w:right="0" w:hanging="0"/>
              <w:rPr>
                <w:rFonts w:cs="Arial"/>
                <w:sz w:val="10"/>
                <w:szCs w:val="10"/>
              </w:rPr>
            </w:pPr>
            <w:r>
              <w:rPr>
                <w:rFonts w:cs="Arial"/>
                <w:sz w:val="10"/>
                <w:szCs w:val="10"/>
              </w:rPr>
            </w:r>
          </w:p>
        </w:tc>
      </w:tr>
    </w:tbl>
    <w:p>
      <w:pPr>
        <w:pStyle w:val="Normal"/>
        <w:rPr>
          <w:rFonts w:cs="Arial"/>
        </w:rPr>
      </w:pPr>
      <w:r>
        <w:rPr>
          <w:rFonts w:cs="Arial"/>
        </w:rPr>
      </w:r>
    </w:p>
    <w:tbl>
      <w:tblPr>
        <w:tblW w:w="9202" w:type="dxa"/>
        <w:jc w:val="center"/>
        <w:tblInd w:w="0" w:type="dxa"/>
        <w:tblCellMar>
          <w:top w:w="0" w:type="dxa"/>
          <w:left w:w="108" w:type="dxa"/>
          <w:bottom w:w="0" w:type="dxa"/>
          <w:right w:w="108" w:type="dxa"/>
        </w:tblCellMar>
      </w:tblPr>
      <w:tblGrid>
        <w:gridCol w:w="9202"/>
      </w:tblGrid>
      <w:tr>
        <w:trPr>
          <w:trHeight w:val="1508" w:hRule="atLeast"/>
        </w:trPr>
        <w:tc>
          <w:tcPr>
            <w:tcW w:w="92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both"/>
              <w:rPr>
                <w:rFonts w:cs="Arial"/>
                <w:sz w:val="22"/>
                <w:szCs w:val="22"/>
              </w:rPr>
            </w:pPr>
            <w:r>
              <w:rPr>
                <w:rFonts w:cs="Arial"/>
                <w:sz w:val="22"/>
                <w:szCs w:val="22"/>
              </w:rPr>
              <w:t>Standard Duties:</w:t>
            </w:r>
          </w:p>
          <w:p>
            <w:pPr>
              <w:pStyle w:val="ListParagraph"/>
              <w:numPr>
                <w:ilvl w:val="0"/>
                <w:numId w:val="14"/>
              </w:numPr>
              <w:spacing w:before="0" w:after="0"/>
              <w:contextualSpacing/>
              <w:jc w:val="both"/>
              <w:rPr>
                <w:rFonts w:cs="Arial"/>
                <w:sz w:val="22"/>
                <w:szCs w:val="22"/>
              </w:rPr>
            </w:pPr>
            <w:r>
              <w:rPr>
                <w:rFonts w:cs="Arial"/>
                <w:sz w:val="22"/>
                <w:szCs w:val="22"/>
              </w:rPr>
              <w:t>To actively promote the equalities and diversity agenda in the workplace and in-service delivery</w:t>
            </w:r>
          </w:p>
          <w:p>
            <w:pPr>
              <w:pStyle w:val="ListParagraph"/>
              <w:numPr>
                <w:ilvl w:val="0"/>
                <w:numId w:val="14"/>
              </w:numPr>
              <w:spacing w:before="0" w:after="0"/>
              <w:contextualSpacing/>
              <w:jc w:val="both"/>
              <w:rPr>
                <w:rFonts w:cs="Arial"/>
                <w:sz w:val="22"/>
                <w:szCs w:val="22"/>
              </w:rPr>
            </w:pPr>
            <w:r>
              <w:rPr>
                <w:rFonts w:cs="Arial"/>
                <w:sz w:val="22"/>
                <w:szCs w:val="22"/>
              </w:rPr>
              <w:t>To be familiar with customer care and health and safety policies of the Council/Directorate</w:t>
            </w:r>
          </w:p>
          <w:p>
            <w:pPr>
              <w:pStyle w:val="ListParagraph"/>
              <w:numPr>
                <w:ilvl w:val="0"/>
                <w:numId w:val="14"/>
              </w:numPr>
              <w:spacing w:before="0" w:after="0"/>
              <w:contextualSpacing/>
              <w:jc w:val="both"/>
              <w:rPr>
                <w:rFonts w:cs="Arial"/>
                <w:sz w:val="22"/>
                <w:szCs w:val="22"/>
              </w:rPr>
            </w:pPr>
            <w:r>
              <w:rPr>
                <w:rFonts w:cs="Arial"/>
                <w:sz w:val="22"/>
                <w:szCs w:val="22"/>
              </w:rPr>
              <w:t>To participate in self-improvement in performance through workplace development</w:t>
            </w:r>
          </w:p>
          <w:p>
            <w:pPr>
              <w:pStyle w:val="ListParagraph"/>
              <w:numPr>
                <w:ilvl w:val="0"/>
                <w:numId w:val="14"/>
              </w:numPr>
              <w:spacing w:before="0" w:after="0"/>
              <w:contextualSpacing/>
              <w:jc w:val="both"/>
              <w:rPr>
                <w:rFonts w:cs="Arial"/>
                <w:sz w:val="22"/>
                <w:szCs w:val="22"/>
              </w:rPr>
            </w:pPr>
            <w:r>
              <w:rPr>
                <w:rFonts w:cs="Arial"/>
                <w:sz w:val="22"/>
                <w:szCs w:val="22"/>
              </w:rPr>
              <w:t>To undertake any additional duties commensurate with the grade of the post</w:t>
            </w:r>
          </w:p>
          <w:p>
            <w:pPr>
              <w:pStyle w:val="ListParagraph"/>
              <w:spacing w:before="0" w:after="0"/>
              <w:contextualSpacing/>
              <w:rPr>
                <w:rFonts w:cs="Arial"/>
                <w:b/>
                <w:b/>
                <w:sz w:val="22"/>
                <w:szCs w:val="22"/>
              </w:rPr>
            </w:pPr>
            <w:r>
              <w:rPr>
                <w:rFonts w:cs="Arial"/>
                <w:b/>
                <w:sz w:val="22"/>
                <w:szCs w:val="22"/>
              </w:rPr>
            </w:r>
          </w:p>
        </w:tc>
      </w:tr>
    </w:tbl>
    <w:p>
      <w:pPr>
        <w:pStyle w:val="Normal"/>
        <w:rPr>
          <w:rFonts w:cs="Arial"/>
        </w:rPr>
      </w:pPr>
      <w:r>
        <w:rPr>
          <w:rFonts w:cs="Arial"/>
        </w:rPr>
      </w:r>
    </w:p>
    <w:tbl>
      <w:tblPr>
        <w:tblW w:w="9214" w:type="dxa"/>
        <w:jc w:val="center"/>
        <w:tblInd w:w="0" w:type="dxa"/>
        <w:tblCellMar>
          <w:top w:w="0" w:type="dxa"/>
          <w:left w:w="108" w:type="dxa"/>
          <w:bottom w:w="0" w:type="dxa"/>
          <w:right w:w="108" w:type="dxa"/>
        </w:tblCellMar>
      </w:tblPr>
      <w:tblGrid>
        <w:gridCol w:w="9214"/>
      </w:tblGrid>
      <w:tr>
        <w:trPr>
          <w:trHeight w:val="1110" w:hRule="atLeast"/>
        </w:trPr>
        <w:tc>
          <w:tcPr>
            <w:tcW w:w="92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Contacts:</w:t>
            </w:r>
          </w:p>
          <w:p>
            <w:pPr>
              <w:pStyle w:val="ListParagraph"/>
              <w:numPr>
                <w:ilvl w:val="0"/>
                <w:numId w:val="15"/>
              </w:numPr>
              <w:rPr>
                <w:rFonts w:cs="Arial"/>
                <w:sz w:val="22"/>
                <w:szCs w:val="22"/>
              </w:rPr>
            </w:pPr>
            <w:r>
              <w:rPr>
                <w:rFonts w:cs="Arial"/>
                <w:sz w:val="22"/>
                <w:szCs w:val="22"/>
              </w:rPr>
              <w:t>Students, parents/carers, staff, governors, visitors to the College, professionals from outside agencies, teachers from other colleges/schools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9254" w:type="dxa"/>
        <w:jc w:val="center"/>
        <w:tblInd w:w="0" w:type="dxa"/>
        <w:tblCellMar>
          <w:top w:w="0" w:type="dxa"/>
          <w:left w:w="108" w:type="dxa"/>
          <w:bottom w:w="0" w:type="dxa"/>
          <w:right w:w="108" w:type="dxa"/>
        </w:tblCellMar>
      </w:tblPr>
      <w:tblGrid>
        <w:gridCol w:w="9254"/>
      </w:tblGrid>
      <w:tr>
        <w:trPr>
          <w:trHeight w:val="930" w:hRule="atLeast"/>
        </w:trPr>
        <w:tc>
          <w:tcPr>
            <w:tcW w:w="92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Special Conditions:</w:t>
            </w:r>
          </w:p>
          <w:p>
            <w:pPr>
              <w:pStyle w:val="ListParagraph"/>
              <w:numPr>
                <w:ilvl w:val="0"/>
                <w:numId w:val="16"/>
              </w:numPr>
              <w:rPr>
                <w:rFonts w:cs="Arial"/>
                <w:sz w:val="22"/>
                <w:szCs w:val="22"/>
                <w:u w:val="single"/>
              </w:rPr>
            </w:pPr>
            <w:r>
              <w:rPr>
                <w:rFonts w:cs="Arial"/>
                <w:sz w:val="22"/>
                <w:szCs w:val="22"/>
                <w:u w:val="single"/>
              </w:rPr>
              <w:t>An Enhanced Disclosure and Barring Service (DBS) check is required for this post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rPr>
      </w:pPr>
      <w:r>
        <w:rPr>
          <w:rFonts w:cs="Arial"/>
        </w:rPr>
      </w:r>
      <w:r>
        <w:br w:type="page"/>
      </w:r>
    </w:p>
    <w:tbl>
      <w:tblPr>
        <w:tblW w:w="9634" w:type="dxa"/>
        <w:jc w:val="center"/>
        <w:tblInd w:w="0" w:type="dxa"/>
        <w:tblCellMar>
          <w:top w:w="0" w:type="dxa"/>
          <w:left w:w="108" w:type="dxa"/>
          <w:bottom w:w="0" w:type="dxa"/>
          <w:right w:w="108" w:type="dxa"/>
        </w:tblCellMar>
      </w:tblPr>
      <w:tblGrid>
        <w:gridCol w:w="9634"/>
      </w:tblGrid>
      <w:tr>
        <w:trPr>
          <w:trHeight w:val="781" w:hRule="atLeast"/>
        </w:trPr>
        <w:tc>
          <w:tcPr>
            <w:tcW w:w="9634" w:type="dxa"/>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bCs/>
                <w:sz w:val="32"/>
                <w:szCs w:val="32"/>
              </w:rPr>
            </w:pPr>
            <w:r>
              <w:rPr>
                <w:bCs/>
                <w:sz w:val="32"/>
                <w:szCs w:val="32"/>
              </w:rPr>
              <w:t>Person Specification</w:t>
            </w:r>
          </w:p>
        </w:tc>
      </w:tr>
      <w:tr>
        <w:trPr>
          <w:trHeight w:val="1990" w:hRule="atLeast"/>
        </w:trPr>
        <w:tc>
          <w:tcPr>
            <w:tcW w:w="9634" w:type="dxa"/>
            <w:tcBorders>
              <w:top w:val="single" w:sz="12" w:space="0" w:color="A6A6A6"/>
              <w:left w:val="single" w:sz="12" w:space="0" w:color="A6A6A6"/>
              <w:bottom w:val="single" w:sz="2" w:space="0" w:color="808080"/>
              <w:right w:val="single" w:sz="4" w:space="0" w:color="808080"/>
            </w:tcBorders>
            <w:shd w:fill="EAEAEA" w:val="clear"/>
            <w:vAlign w:val="center"/>
          </w:tcPr>
          <w:p>
            <w:pPr>
              <w:pStyle w:val="Normal"/>
              <w:snapToGrid w:val="false"/>
              <w:jc w:val="both"/>
              <w:rPr>
                <w:rFonts w:ascii="Arial" w:hAnsi="Arial" w:cs="Arial"/>
                <w:bCs/>
                <w:sz w:val="22"/>
                <w:szCs w:val="22"/>
              </w:rPr>
            </w:pPr>
            <w:r>
              <w:rPr>
                <w:rFonts w:cs="Arial" w:ascii="Arial" w:hAnsi="Arial"/>
                <w:bCs/>
                <w:sz w:val="22"/>
                <w:szCs w:val="22"/>
              </w:rPr>
            </w:r>
          </w:p>
          <w:p>
            <w:pPr>
              <w:pStyle w:val="Normal"/>
              <w:jc w:val="both"/>
              <w:rPr>
                <w:rFonts w:cs="Arial"/>
                <w:bCs/>
                <w:sz w:val="22"/>
                <w:szCs w:val="22"/>
              </w:rPr>
            </w:pPr>
            <w:r>
              <w:rPr>
                <w:rFonts w:cs="Arial"/>
                <w:bCs/>
                <w:sz w:val="22"/>
                <w:szCs w:val="22"/>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Any candidate with a disability who meets the essential criteria will be guaranteed an interview.</w:t>
            </w:r>
          </w:p>
          <w:p>
            <w:pPr>
              <w:pStyle w:val="Normal"/>
              <w:rPr>
                <w:rFonts w:ascii="Arial" w:hAnsi="Arial" w:cs="Arial"/>
                <w:b w:val="false"/>
                <w:b w:val="false"/>
                <w:bCs/>
                <w:sz w:val="22"/>
                <w:szCs w:val="22"/>
              </w:rPr>
            </w:pPr>
            <w:r>
              <w:rPr>
                <w:rFonts w:cs="Arial" w:ascii="Arial" w:hAnsi="Arial"/>
                <w:b w:val="false"/>
                <w:bCs/>
                <w:sz w:val="22"/>
                <w:szCs w:val="22"/>
              </w:rPr>
            </w:r>
          </w:p>
        </w:tc>
      </w:tr>
    </w:tbl>
    <w:p>
      <w:pPr>
        <w:pStyle w:val="Normal"/>
        <w:rPr>
          <w:rFonts w:ascii="Arial" w:hAnsi="Arial" w:cs="Arial"/>
        </w:rPr>
      </w:pPr>
      <w:r>
        <w:rPr>
          <w:rFonts w:cs="Arial" w:ascii="Arial" w:hAnsi="Arial"/>
        </w:rPr>
      </w:r>
    </w:p>
    <w:tbl>
      <w:tblPr>
        <w:tblW w:w="9597" w:type="dxa"/>
        <w:jc w:val="center"/>
        <w:tblInd w:w="0" w:type="dxa"/>
        <w:tblCellMar>
          <w:top w:w="0" w:type="dxa"/>
          <w:left w:w="108" w:type="dxa"/>
          <w:bottom w:w="0" w:type="dxa"/>
          <w:right w:w="108" w:type="dxa"/>
        </w:tblCellMar>
      </w:tblPr>
      <w:tblGrid>
        <w:gridCol w:w="1793"/>
        <w:gridCol w:w="5999"/>
        <w:gridCol w:w="1805"/>
      </w:tblGrid>
      <w:tr>
        <w:trPr/>
        <w:tc>
          <w:tcPr>
            <w:tcW w:w="1793" w:type="dxa"/>
            <w:tcBorders>
              <w:top w:val="single" w:sz="4" w:space="0" w:color="000000"/>
              <w:left w:val="single" w:sz="4" w:space="0" w:color="000000"/>
              <w:bottom w:val="single" w:sz="4" w:space="0" w:color="000000"/>
            </w:tcBorders>
            <w:shd w:fill="D9D9D9" w:val="clear"/>
          </w:tcPr>
          <w:p>
            <w:pPr>
              <w:pStyle w:val="Normal"/>
              <w:snapToGrid w:val="false"/>
              <w:rPr>
                <w:rFonts w:ascii="Arial" w:hAnsi="Arial" w:cs="Arial"/>
              </w:rPr>
            </w:pPr>
            <w:r>
              <w:rPr>
                <w:rFonts w:cs="Arial" w:ascii="Arial" w:hAnsi="Arial"/>
              </w:rPr>
            </w:r>
          </w:p>
        </w:tc>
        <w:tc>
          <w:tcPr>
            <w:tcW w:w="5999" w:type="dxa"/>
            <w:tcBorders>
              <w:top w:val="single" w:sz="4" w:space="0" w:color="000000"/>
              <w:left w:val="single" w:sz="4" w:space="0" w:color="000000"/>
              <w:bottom w:val="single" w:sz="4" w:space="0" w:color="000000"/>
            </w:tcBorders>
            <w:shd w:fill="D9D9D9" w:val="clear"/>
          </w:tcPr>
          <w:p>
            <w:pPr>
              <w:pStyle w:val="TextBody"/>
              <w:rPr>
                <w:rFonts w:cs="Arial"/>
              </w:rPr>
            </w:pPr>
            <w:r>
              <w:rPr>
                <w:rFonts w:cs="Arial"/>
              </w:rPr>
              <w:t>Selection Criteria</w:t>
            </w:r>
          </w:p>
          <w:p>
            <w:pPr>
              <w:pStyle w:val="TextBody"/>
              <w:rPr>
                <w:rFonts w:cs="Arial"/>
              </w:rPr>
            </w:pPr>
            <w:r>
              <w:rPr>
                <w:rFonts w:cs="Arial"/>
              </w:rPr>
            </w:r>
          </w:p>
        </w:tc>
        <w:tc>
          <w:tcPr>
            <w:tcW w:w="1805"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rPr>
            </w:pPr>
            <w:r>
              <w:rPr>
                <w:rFonts w:cs="Arial"/>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Education and Qualifications</w:t>
            </w:r>
          </w:p>
        </w:tc>
        <w:tc>
          <w:tcPr>
            <w:tcW w:w="5999" w:type="dxa"/>
            <w:tcBorders>
              <w:top w:val="single" w:sz="4" w:space="0" w:color="000000"/>
              <w:left w:val="single" w:sz="4" w:space="0" w:color="000000"/>
              <w:bottom w:val="single" w:sz="4" w:space="0" w:color="000000"/>
            </w:tcBorders>
            <w:shd w:fill="auto" w:val="clear"/>
          </w:tcPr>
          <w:p>
            <w:pPr>
              <w:pStyle w:val="TextBody"/>
              <w:snapToGrid w:val="false"/>
              <w:rPr>
                <w:rFonts w:cs="Arial"/>
                <w:color w:val="202124"/>
                <w:sz w:val="21"/>
                <w:szCs w:val="21"/>
                <w:highlight w:val="white"/>
              </w:rPr>
            </w:pPr>
            <w:r>
              <w:rPr>
                <w:rFonts w:cs="Arial"/>
                <w:color w:val="202124"/>
                <w:sz w:val="21"/>
                <w:szCs w:val="21"/>
                <w:shd w:fill="FFFFFF" w:val="clear"/>
              </w:rPr>
            </w:r>
          </w:p>
          <w:p>
            <w:pPr>
              <w:pStyle w:val="TextBody"/>
              <w:rPr/>
            </w:pPr>
            <w:r>
              <w:rPr>
                <w:rFonts w:cs="Arial"/>
                <w:color w:val="202124"/>
                <w:sz w:val="21"/>
                <w:szCs w:val="21"/>
                <w:shd w:fill="FFFFFF" w:val="clear"/>
              </w:rPr>
              <w:t>Hold a full teaching qualification or professional</w:t>
            </w:r>
            <w:r>
              <w:rPr>
                <w:rStyle w:val="Wbzude"/>
                <w:rFonts w:cs="Arial"/>
                <w:color w:val="202124"/>
                <w:sz w:val="21"/>
                <w:szCs w:val="21"/>
                <w:shd w:fill="FFFFFF" w:val="clear"/>
              </w:rPr>
              <w:t xml:space="preserve"> recognition in learning and skills, or be currently working towards this</w:t>
            </w:r>
          </w:p>
          <w:p>
            <w:pPr>
              <w:pStyle w:val="TextBody"/>
              <w:rPr>
                <w:rFonts w:cs="Arial"/>
                <w:bCs/>
              </w:rPr>
            </w:pPr>
            <w:r>
              <w:rPr>
                <w:rFonts w:cs="Arial"/>
                <w:bCs/>
              </w:rPr>
            </w:r>
          </w:p>
          <w:p>
            <w:pPr>
              <w:pStyle w:val="TextBody"/>
              <w:rPr>
                <w:rFonts w:cs="Arial"/>
                <w:szCs w:val="22"/>
              </w:rPr>
            </w:pPr>
            <w:r>
              <w:rPr>
                <w:rFonts w:cs="Arial"/>
                <w:szCs w:val="22"/>
              </w:rPr>
              <w:t>Evidence of continuing professional development</w:t>
            </w:r>
          </w:p>
          <w:p>
            <w:pPr>
              <w:pStyle w:val="TextBody"/>
              <w:ind w:left="360" w:right="0" w:hanging="0"/>
              <w:rPr>
                <w:rFonts w:cs="Arial"/>
                <w:szCs w:val="22"/>
              </w:rPr>
            </w:pPr>
            <w:r>
              <w:rPr>
                <w:rFonts w:cs="Arial"/>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cs="Arial"/>
                <w:b w:val="false"/>
                <w:b w:val="false"/>
                <w:szCs w:val="22"/>
              </w:rPr>
            </w:pPr>
            <w:r>
              <w:rPr>
                <w:rFonts w:cs="Arial"/>
                <w:b w:val="false"/>
                <w:szCs w:val="22"/>
              </w:rPr>
            </w:r>
          </w:p>
          <w:p>
            <w:pPr>
              <w:pStyle w:val="TextBody"/>
              <w:rPr>
                <w:rFonts w:cs="Arial"/>
                <w:b w:val="false"/>
                <w:b w:val="false"/>
                <w:szCs w:val="22"/>
              </w:rPr>
            </w:pPr>
            <w:r>
              <w:rPr>
                <w:rFonts w:cs="Arial"/>
                <w:b w:val="false"/>
                <w:szCs w:val="22"/>
              </w:rPr>
              <w:t>Application form and Certificates</w:t>
            </w:r>
          </w:p>
        </w:tc>
      </w:tr>
      <w:tr>
        <w:trPr/>
        <w:tc>
          <w:tcPr>
            <w:tcW w:w="179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Knowledge and Experience</w:t>
            </w:r>
          </w:p>
        </w:tc>
        <w:tc>
          <w:tcPr>
            <w:tcW w:w="5999" w:type="dxa"/>
            <w:tcBorders>
              <w:top w:val="single" w:sz="4" w:space="0" w:color="000000"/>
              <w:left w:val="single" w:sz="4" w:space="0" w:color="000000"/>
              <w:bottom w:val="single" w:sz="4" w:space="0" w:color="000000"/>
            </w:tcBorders>
            <w:shd w:fill="auto" w:val="clear"/>
          </w:tcPr>
          <w:p>
            <w:pPr>
              <w:pStyle w:val="Normal"/>
              <w:snapToGrid w:val="false"/>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 xml:space="preserve">Experience of planning and delivering learning activities across English or a related subject, including lower level learners </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Experience of enhancement of student progress gains and raising the attainment and achievement levels of all students</w:t>
            </w:r>
          </w:p>
          <w:p>
            <w:pPr>
              <w:pStyle w:val="Normal"/>
              <w:rPr>
                <w:rFonts w:cs="Helvetica;Arial"/>
                <w:b w:val="false"/>
                <w:b w:val="false"/>
                <w:sz w:val="22"/>
                <w:szCs w:val="22"/>
              </w:rPr>
            </w:pPr>
            <w:r>
              <w:rPr>
                <w:rFonts w:cs="Helvetica;Arial"/>
                <w:b w:val="false"/>
                <w:sz w:val="22"/>
                <w:szCs w:val="22"/>
              </w:rPr>
            </w:r>
          </w:p>
          <w:p>
            <w:pPr>
              <w:pStyle w:val="Normal"/>
              <w:rPr>
                <w:sz w:val="22"/>
                <w:szCs w:val="22"/>
              </w:rPr>
            </w:pPr>
            <w:r>
              <w:rPr>
                <w:sz w:val="22"/>
                <w:szCs w:val="22"/>
              </w:rPr>
              <w:t xml:space="preserve">Knowledge and understanding of students with complex learning and mental health difficulties </w:t>
            </w:r>
          </w:p>
          <w:p>
            <w:pPr>
              <w:pStyle w:val="Normal"/>
              <w:rPr>
                <w:rFonts w:ascii="Arial" w:hAnsi="Arial" w:cs="Arial"/>
                <w:b w:val="false"/>
                <w:b w:val="false"/>
                <w:sz w:val="22"/>
                <w:szCs w:val="22"/>
              </w:rPr>
            </w:pPr>
            <w:r>
              <w:rPr>
                <w:rFonts w:cs="Arial" w:ascii="Arial" w:hAnsi="Arial"/>
                <w:b w:val="false"/>
                <w:sz w:val="22"/>
                <w:szCs w:val="22"/>
              </w:rPr>
            </w:r>
          </w:p>
          <w:p>
            <w:pPr>
              <w:pStyle w:val="Normal"/>
              <w:rPr>
                <w:sz w:val="22"/>
                <w:szCs w:val="22"/>
              </w:rPr>
            </w:pPr>
            <w:r>
              <w:rPr>
                <w:sz w:val="22"/>
                <w:szCs w:val="22"/>
              </w:rPr>
              <w:t xml:space="preserve">Experience of managing challenging behaviour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 xml:space="preserve">Knowledge of current national educational issues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current assessment practice and the use of data and pupil progress tracking to ensure that all groups of students achieve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implementing strategies used to establish consistently high aspirations in standards of learning engagement and positive student behaviour</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Knowledge and/or experience of how College improvement actions impact on the quality of teaching and learning within the classroom</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Application form/</w:t>
            </w:r>
          </w:p>
          <w:p>
            <w:pPr>
              <w:pStyle w:val="TextBody"/>
              <w:rPr/>
            </w:pPr>
            <w:r>
              <w:rPr>
                <w:rFonts w:cs="Arial"/>
                <w:b w:val="false"/>
                <w:szCs w:val="22"/>
              </w:rPr>
              <w:t>Interview</w:t>
            </w:r>
            <w:r>
              <w:rPr>
                <w:rFonts w:cs="Arial"/>
                <w:szCs w:val="22"/>
              </w:rPr>
              <w:t xml:space="preserve"> </w:t>
            </w:r>
            <w:r>
              <w:rPr>
                <w:rFonts w:cs="Arial"/>
                <w:b w:val="false"/>
                <w:szCs w:val="22"/>
              </w:rPr>
              <w:t xml:space="preserve">/ observation </w:t>
            </w:r>
          </w:p>
        </w:tc>
      </w:tr>
      <w:tr>
        <w:trPr/>
        <w:tc>
          <w:tcPr>
            <w:tcW w:w="1793" w:type="dxa"/>
            <w:tcBorders>
              <w:top w:val="single" w:sz="4" w:space="0" w:color="000000"/>
              <w:left w:val="single" w:sz="4" w:space="0" w:color="000000"/>
              <w:bottom w:val="single" w:sz="4" w:space="0" w:color="000000"/>
            </w:tcBorders>
            <w:shd w:fill="D9D9D9" w:val="clear"/>
          </w:tcPr>
          <w:p>
            <w:pPr>
              <w:pStyle w:val="Normal"/>
              <w:rPr/>
            </w:pPr>
            <w:r>
              <w:rPr>
                <w:rFonts w:eastAsia="Arial" w:cs="Arial" w:ascii="Arial" w:hAnsi="Arial"/>
                <w:sz w:val="22"/>
                <w:szCs w:val="22"/>
              </w:rPr>
              <w:t xml:space="preserve">   </w:t>
            </w:r>
            <w:r>
              <w:rPr>
                <w:rFonts w:eastAsia="Arial" w:cs="Arial" w:ascii="Arial" w:hAnsi="Arial"/>
                <w:bCs/>
                <w:sz w:val="22"/>
                <w:szCs w:val="22"/>
              </w:rPr>
              <w:t xml:space="preserve">   </w:t>
            </w:r>
          </w:p>
        </w:tc>
        <w:tc>
          <w:tcPr>
            <w:tcW w:w="5999"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szCs w:val="22"/>
              </w:rPr>
            </w:pPr>
            <w:r>
              <w:rPr>
                <w:rFonts w:cs="Arial"/>
                <w:szCs w:val="22"/>
              </w:rPr>
            </w:r>
          </w:p>
        </w:tc>
        <w:tc>
          <w:tcPr>
            <w:tcW w:w="1805"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Skills and Abilities                                                        </w:t>
            </w:r>
          </w:p>
        </w:tc>
        <w:tc>
          <w:tcPr>
            <w:tcW w:w="5999" w:type="dxa"/>
            <w:tcBorders>
              <w:top w:val="single" w:sz="4" w:space="0" w:color="000000"/>
              <w:left w:val="single" w:sz="4" w:space="0" w:color="000000"/>
              <w:bottom w:val="single" w:sz="4" w:space="0" w:color="000000"/>
            </w:tcBorders>
            <w:shd w:fill="auto" w:val="clear"/>
          </w:tcPr>
          <w:p>
            <w:pPr>
              <w:pStyle w:val="Normal"/>
              <w:snapToGrid w:val="false"/>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Able to provide evidence of good or outstanding teaching</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The emotional and physical resilience necessary when working with young people with a range of complex needs</w:t>
            </w:r>
          </w:p>
          <w:p>
            <w:pPr>
              <w:pStyle w:val="Normal"/>
              <w:rPr>
                <w:rFonts w:cs="Helvetica;Arial"/>
                <w:b w:val="false"/>
                <w:b w:val="false"/>
                <w:sz w:val="22"/>
                <w:szCs w:val="22"/>
              </w:rPr>
            </w:pPr>
            <w:r>
              <w:rPr>
                <w:rFonts w:cs="Helvetica;Arial"/>
                <w:b w:val="false"/>
                <w:sz w:val="22"/>
                <w:szCs w:val="22"/>
              </w:rPr>
            </w:r>
          </w:p>
          <w:p>
            <w:pPr>
              <w:pStyle w:val="Normal"/>
              <w:tabs>
                <w:tab w:val="clear" w:pos="720"/>
                <w:tab w:val="left" w:pos="429" w:leader="none"/>
              </w:tabs>
              <w:rPr>
                <w:rFonts w:cs="Helvetica;Arial"/>
                <w:sz w:val="22"/>
                <w:szCs w:val="22"/>
              </w:rPr>
            </w:pPr>
            <w:r>
              <w:rPr>
                <w:rFonts w:cs="Helvetica;Arial"/>
                <w:sz w:val="22"/>
                <w:szCs w:val="22"/>
              </w:rPr>
              <w:t>To have high expectations of young people, and a commitment to raising standards of attainment to ensure that they can achieve their full educational potential</w:t>
            </w:r>
          </w:p>
          <w:p>
            <w:pPr>
              <w:pStyle w:val="Normal"/>
              <w:tabs>
                <w:tab w:val="clear" w:pos="720"/>
                <w:tab w:val="left" w:pos="429" w:leader="none"/>
              </w:tabs>
              <w:rPr>
                <w:rFonts w:cs="Helvetica;Arial"/>
                <w:sz w:val="22"/>
                <w:szCs w:val="22"/>
              </w:rPr>
            </w:pPr>
            <w:r>
              <w:rPr>
                <w:rFonts w:cs="Helvetica;Arial"/>
                <w:sz w:val="22"/>
                <w:szCs w:val="22"/>
              </w:rPr>
            </w:r>
          </w:p>
          <w:p>
            <w:pPr>
              <w:pStyle w:val="Normal"/>
              <w:tabs>
                <w:tab w:val="clear" w:pos="720"/>
                <w:tab w:val="left" w:pos="429" w:leader="none"/>
              </w:tabs>
              <w:rPr>
                <w:rFonts w:cs="Helvetica;Arial"/>
                <w:sz w:val="22"/>
                <w:szCs w:val="22"/>
              </w:rPr>
            </w:pPr>
            <w:r>
              <w:rPr>
                <w:rFonts w:cs="Helvetica;Arial"/>
                <w:sz w:val="22"/>
                <w:szCs w:val="22"/>
              </w:rPr>
              <w:t>To be able to build positive relationships with the class group, ensuring consistency and continuity on a daily basis</w:t>
            </w:r>
          </w:p>
          <w:p>
            <w:pPr>
              <w:pStyle w:val="Normal"/>
              <w:tabs>
                <w:tab w:val="clear" w:pos="720"/>
                <w:tab w:val="left" w:pos="429" w:leader="none"/>
              </w:tabs>
              <w:rPr>
                <w:rFonts w:cs="Helvetica;Arial"/>
                <w:sz w:val="22"/>
                <w:szCs w:val="22"/>
              </w:rPr>
            </w:pPr>
            <w:r>
              <w:rPr>
                <w:rFonts w:cs="Helvetica;Arial"/>
                <w:sz w:val="22"/>
                <w:szCs w:val="22"/>
              </w:rPr>
            </w:r>
          </w:p>
          <w:p>
            <w:pPr>
              <w:pStyle w:val="Normal"/>
              <w:rPr>
                <w:rFonts w:cs="Helvetica;Arial"/>
                <w:sz w:val="22"/>
                <w:szCs w:val="22"/>
              </w:rPr>
            </w:pPr>
            <w:r>
              <w:rPr>
                <w:rFonts w:cs="Helvetica;Arial"/>
                <w:sz w:val="22"/>
                <w:szCs w:val="22"/>
              </w:rPr>
              <w:t>Able to demonstrate high quality, creative and innovative classroom practice to engage, motivate and inspire students</w:t>
            </w:r>
          </w:p>
          <w:p>
            <w:pPr>
              <w:pStyle w:val="Normal"/>
              <w:rPr>
                <w:rFonts w:cs="Helvetica;Arial"/>
                <w:b w:val="false"/>
                <w:b w:val="false"/>
                <w:sz w:val="22"/>
                <w:szCs w:val="22"/>
              </w:rPr>
            </w:pPr>
            <w:r>
              <w:rPr>
                <w:rFonts w:cs="Helvetica;Arial"/>
                <w:b w:val="false"/>
                <w:sz w:val="22"/>
                <w:szCs w:val="22"/>
              </w:rPr>
            </w:r>
          </w:p>
          <w:p>
            <w:pPr>
              <w:pStyle w:val="Normal"/>
              <w:rPr>
                <w:rFonts w:cs="Helvetica;Arial"/>
                <w:sz w:val="22"/>
                <w:szCs w:val="22"/>
              </w:rPr>
            </w:pPr>
            <w:r>
              <w:rPr>
                <w:rFonts w:cs="Helvetica;Arial"/>
                <w:sz w:val="22"/>
                <w:szCs w:val="22"/>
              </w:rPr>
              <w:t>Able to promote learning and enhance skills beyond the curriculum and the classroom</w:t>
            </w:r>
          </w:p>
          <w:p>
            <w:pPr>
              <w:pStyle w:val="Normal"/>
              <w:rPr>
                <w:rFonts w:cs="Helvetica;Arial"/>
                <w:sz w:val="22"/>
                <w:szCs w:val="22"/>
              </w:rPr>
            </w:pPr>
            <w:r>
              <w:rPr>
                <w:rFonts w:cs="Helvetica;Arial"/>
                <w:sz w:val="22"/>
                <w:szCs w:val="22"/>
              </w:rPr>
            </w:r>
          </w:p>
          <w:p>
            <w:pPr>
              <w:pStyle w:val="Normal"/>
              <w:rPr>
                <w:rFonts w:ascii="Arial" w:hAnsi="Arial" w:cs="Arial"/>
                <w:sz w:val="22"/>
                <w:szCs w:val="22"/>
              </w:rPr>
            </w:pPr>
            <w:r>
              <w:rPr>
                <w:rFonts w:cs="Arial" w:ascii="Arial" w:hAnsi="Arial"/>
                <w:sz w:val="22"/>
                <w:szCs w:val="22"/>
              </w:rPr>
              <w:t>Able to use effectively a variety of teaching and learning styles to enhance teaching, including a wide range of ICT resources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communicate clearly, accurately and effectively both orally and in writing with children, parents, colleagues, external agencies and Trustees as appropriate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Able to demonstrate knowledge and experience to carry out the responsibilities of a teacher in relation to planning, delivering and assessing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assess students’ learning needs and to teach mixed ability pupils within the same class/cohort/group and provide differentiated work to accelerate their progress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Have appropriate planning and organisational skills to support teaching, learning, assessment and recording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work cooperatively as a team member and to direct the work of Teaching Assistants to effectively support student learning</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 xml:space="preserve">Interview / lesson observation </w:t>
            </w:r>
          </w:p>
        </w:tc>
      </w:tr>
      <w:tr>
        <w:trPr>
          <w:trHeight w:val="342" w:hRule="atLeast"/>
        </w:trPr>
        <w:tc>
          <w:tcPr>
            <w:tcW w:w="1793" w:type="dxa"/>
            <w:tcBorders>
              <w:top w:val="single" w:sz="4" w:space="0" w:color="000000"/>
              <w:left w:val="single" w:sz="4" w:space="0" w:color="000000"/>
              <w:bottom w:val="single" w:sz="4" w:space="0" w:color="000000"/>
            </w:tcBorders>
            <w:shd w:fill="D9D9D9" w:val="clear"/>
          </w:tcPr>
          <w:p>
            <w:pPr>
              <w:pStyle w:val="Normal"/>
              <w:rPr>
                <w:rFonts w:ascii="Arial" w:hAnsi="Arial" w:eastAsia="Arial" w:cs="Arial"/>
                <w:sz w:val="22"/>
                <w:szCs w:val="22"/>
              </w:rPr>
            </w:pPr>
            <w:r>
              <w:rPr>
                <w:rFonts w:eastAsia="Arial" w:cs="Arial" w:ascii="Arial" w:hAnsi="Arial"/>
                <w:sz w:val="22"/>
                <w:szCs w:val="22"/>
              </w:rPr>
              <w:t xml:space="preserve">   </w:t>
            </w:r>
          </w:p>
        </w:tc>
        <w:tc>
          <w:tcPr>
            <w:tcW w:w="5999"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b w:val="false"/>
                <w:b w:val="false"/>
                <w:szCs w:val="22"/>
              </w:rPr>
            </w:pPr>
            <w:r>
              <w:rPr>
                <w:rFonts w:cs="Arial"/>
                <w:b w:val="false"/>
                <w:szCs w:val="22"/>
              </w:rPr>
            </w:r>
          </w:p>
        </w:tc>
        <w:tc>
          <w:tcPr>
            <w:tcW w:w="1805"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Safeguarding</w:t>
            </w:r>
          </w:p>
        </w:tc>
        <w:tc>
          <w:tcPr>
            <w:tcW w:w="5999"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Knowledge of Safeguarding and Child Protection expectations</w:t>
            </w:r>
          </w:p>
          <w:p>
            <w:pPr>
              <w:pStyle w:val="Normal"/>
              <w:rPr>
                <w:rFonts w:ascii="Arial" w:hAnsi="Arial" w:cs="Arial"/>
                <w:sz w:val="22"/>
                <w:szCs w:val="22"/>
              </w:rPr>
            </w:pPr>
            <w:r>
              <w:rPr>
                <w:rFonts w:cs="Arial" w:ascii="Arial" w:hAnsi="Arial"/>
                <w:sz w:val="22"/>
                <w:szCs w:val="22"/>
              </w:rPr>
            </w:r>
          </w:p>
          <w:p>
            <w:pPr>
              <w:pStyle w:val="Normal"/>
              <w:ind w:left="47" w:right="0" w:hanging="0"/>
              <w:rPr>
                <w:rFonts w:ascii="Arial" w:hAnsi="Arial" w:cs="Arial"/>
                <w:sz w:val="22"/>
                <w:szCs w:val="22"/>
              </w:rPr>
            </w:pPr>
            <w:r>
              <w:rPr>
                <w:rFonts w:cs="Arial" w:ascii="Arial" w:hAnsi="Arial"/>
                <w:sz w:val="22"/>
                <w:szCs w:val="22"/>
              </w:rPr>
              <w:t>Knowledge and understanding of strategies for inclusion and equal opportunities</w:t>
            </w:r>
          </w:p>
          <w:p>
            <w:pPr>
              <w:pStyle w:val="Normal"/>
              <w:ind w:left="47" w:right="0" w:hanging="0"/>
              <w:rPr>
                <w:rFonts w:ascii="Arial" w:hAnsi="Arial" w:cs="Arial"/>
                <w:sz w:val="22"/>
                <w:szCs w:val="22"/>
              </w:rPr>
            </w:pPr>
            <w:r>
              <w:rPr>
                <w:rFonts w:cs="Arial" w:ascii="Arial" w:hAnsi="Arial"/>
                <w:sz w:val="22"/>
                <w:szCs w:val="22"/>
              </w:rPr>
            </w:r>
          </w:p>
          <w:p>
            <w:pPr>
              <w:pStyle w:val="Normal"/>
              <w:ind w:left="47" w:right="0" w:hanging="0"/>
              <w:rPr>
                <w:rFonts w:ascii="Arial" w:hAnsi="Arial" w:cs="Arial"/>
                <w:sz w:val="22"/>
                <w:szCs w:val="22"/>
              </w:rPr>
            </w:pPr>
            <w:r>
              <w:rPr>
                <w:rFonts w:cs="Arial" w:ascii="Arial" w:hAnsi="Arial"/>
                <w:sz w:val="22"/>
                <w:szCs w:val="22"/>
              </w:rPr>
              <w:t>Knowledge of Health and Safety expectations affecting young people and adults across the College</w:t>
            </w:r>
          </w:p>
          <w:p>
            <w:pPr>
              <w:pStyle w:val="Normal"/>
              <w:ind w:left="47" w:right="0" w:hanging="0"/>
              <w:rPr>
                <w:rFonts w:ascii="Arial" w:hAnsi="Arial" w:cs="Arial"/>
                <w:b w:val="false"/>
                <w:b w:val="false"/>
                <w:sz w:val="22"/>
                <w:szCs w:val="22"/>
              </w:rPr>
            </w:pPr>
            <w:r>
              <w:rPr>
                <w:rFonts w:cs="Arial" w:ascii="Arial" w:hAnsi="Arial"/>
                <w:b w:val="false"/>
                <w:sz w:val="22"/>
                <w:szCs w:val="22"/>
              </w:rPr>
            </w:r>
          </w:p>
        </w:tc>
        <w:tc>
          <w:tcPr>
            <w:tcW w:w="1805" w:type="dxa"/>
            <w:tcBorders>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Interview</w:t>
            </w:r>
          </w:p>
        </w:tc>
      </w:tr>
      <w:tr>
        <w:trPr/>
        <w:tc>
          <w:tcPr>
            <w:tcW w:w="1793" w:type="dxa"/>
            <w:tcBorders>
              <w:top w:val="single" w:sz="4" w:space="0" w:color="000000"/>
              <w:left w:val="single" w:sz="4" w:space="0" w:color="000000"/>
              <w:bottom w:val="single" w:sz="4" w:space="0" w:color="000000"/>
            </w:tcBorders>
            <w:shd w:fill="auto" w:val="clear"/>
          </w:tcPr>
          <w:p>
            <w:pPr>
              <w:pStyle w:val="Heading1"/>
              <w:snapToGrid w:val="false"/>
              <w:spacing w:before="0" w:after="60"/>
              <w:rPr>
                <w:rFonts w:ascii="Arial" w:hAnsi="Arial" w:cs="Arial"/>
                <w:sz w:val="22"/>
                <w:szCs w:val="22"/>
              </w:rPr>
            </w:pPr>
            <w:r>
              <w:rPr>
                <w:rFonts w:cs="Arial" w:ascii="Arial" w:hAnsi="Arial"/>
                <w:sz w:val="22"/>
                <w:szCs w:val="22"/>
              </w:rPr>
            </w:r>
          </w:p>
          <w:p>
            <w:pPr>
              <w:pStyle w:val="Heading1"/>
              <w:spacing w:before="0" w:after="60"/>
              <w:rPr>
                <w:rFonts w:ascii="Arial" w:hAnsi="Arial" w:cs="Arial"/>
                <w:sz w:val="22"/>
                <w:szCs w:val="22"/>
              </w:rPr>
            </w:pPr>
            <w:r>
              <w:rPr>
                <w:rFonts w:cs="Arial" w:ascii="Arial" w:hAnsi="Arial"/>
                <w:sz w:val="22"/>
                <w:szCs w:val="22"/>
              </w:rPr>
              <w:t xml:space="preserve">Work Circumstances  </w:t>
            </w:r>
          </w:p>
        </w:tc>
        <w:tc>
          <w:tcPr>
            <w:tcW w:w="59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ability to secure an effective work/life balance but with an expectation that aspects of this role will involve occasional working in the evening and at weekends</w:t>
            </w:r>
          </w:p>
          <w:p>
            <w:pPr>
              <w:pStyle w:val="Normal"/>
              <w:rPr>
                <w:rFonts w:ascii="Arial" w:hAnsi="Arial" w:cs="Arial"/>
                <w:sz w:val="22"/>
                <w:szCs w:val="22"/>
              </w:rPr>
            </w:pPr>
            <w:r>
              <w:rPr>
                <w:rFonts w:cs="Arial" w:ascii="Arial" w:hAnsi="Arial"/>
                <w:sz w:val="22"/>
                <w:szCs w:val="22"/>
              </w:rPr>
            </w:r>
          </w:p>
        </w:tc>
        <w:tc>
          <w:tcPr>
            <w:tcW w:w="1805"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Interview</w:t>
            </w:r>
          </w:p>
        </w:tc>
      </w:tr>
    </w:tbl>
    <w:p>
      <w:pPr>
        <w:pStyle w:val="Normal"/>
        <w:rPr/>
      </w:pPr>
      <w:r>
        <w:rPr/>
      </w:r>
    </w:p>
    <w:sectPr>
      <w:footerReference w:type="default" r:id="rId3"/>
      <w:footerReference w:type="first" r:id="rId4"/>
      <w:type w:val="nextPage"/>
      <w:pgSz w:w="11906" w:h="16838"/>
      <w:pgMar w:left="1440" w:right="1440" w:header="0" w:top="1440" w:footer="709"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drawing>
        <wp:anchor behindDoc="0" distT="0" distB="0" distL="114300" distR="114300" simplePos="0" locked="0" layoutInCell="1" allowOverlap="1" relativeHeight="8">
          <wp:simplePos x="0" y="0"/>
          <wp:positionH relativeFrom="margin">
            <wp:posOffset>-7555865</wp:posOffset>
          </wp:positionH>
          <wp:positionV relativeFrom="paragraph">
            <wp:posOffset>373380</wp:posOffset>
          </wp:positionV>
          <wp:extent cx="7555865" cy="596265"/>
          <wp:effectExtent l="0" t="0" r="0" b="0"/>
          <wp:wrapTight wrapText="bothSides">
            <wp:wrapPolygon edited="0">
              <wp:start x="-8" y="0"/>
              <wp:lineTo x="-8" y="20489"/>
              <wp:lineTo x="21546" y="20489"/>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sz w:val="22"/>
        <w:szCs w:val="22"/>
        <w:rFonts w:cs="Symbol"/>
        <w:lang w:val="en-GB" w:eastAsia="en-GB"/>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sz w:val="22"/>
        <w:szCs w:val="22"/>
        <w:rFonts w:cs="Symbol"/>
        <w:lang w:val="en-GB" w:eastAsia="en-GB"/>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sz w:val="22"/>
        <w:szCs w:val="22"/>
        <w:rFonts w:cs="Symbol"/>
        <w:lang w:val="en-GB" w:eastAsia="en-GB"/>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w:hAnsi="Calibri" w:eastAsia="ＭＳ ゴシック" w:cs=""/>
      <w:bCs/>
      <w:kern w:val="2"/>
      <w:sz w:val="32"/>
      <w:szCs w:val="32"/>
    </w:rPr>
  </w:style>
  <w:style w:type="character" w:styleId="WW8Num1z0">
    <w:name w:val="WW8Num1z0"/>
    <w:qFormat/>
    <w:rPr>
      <w:rFonts w:cs="Times New Roman"/>
      <w:b/>
      <w:sz w:val="22"/>
    </w:rPr>
  </w:style>
  <w:style w:type="character" w:styleId="WW8Num1z1">
    <w:name w:val="WW8Num1z1"/>
    <w:qFormat/>
    <w:rPr>
      <w:rFonts w:cs="Times New Roman"/>
    </w:rPr>
  </w:style>
  <w:style w:type="character" w:styleId="WW8Num2z0">
    <w:name w:val="WW8Num2z0"/>
    <w:qFormat/>
    <w:rPr>
      <w:rFonts w:cs="Times New Roman"/>
      <w:b/>
      <w:sz w:val="22"/>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Calibri" w:cs="Symbol"/>
      <w:sz w:val="22"/>
      <w:szCs w:val="22"/>
      <w:lang w:val="en-GB" w:eastAsia="en-G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bCs/>
      <w:kern w:val="2"/>
      <w:sz w:val="32"/>
      <w:szCs w:val="32"/>
      <w:lang w:val="en-GB" w:eastAsia="en-US"/>
    </w:rPr>
  </w:style>
  <w:style w:type="character" w:styleId="BodyTextChar">
    <w:name w:val="Body Text Char"/>
    <w:basedOn w:val="DefaultParagraphFont"/>
    <w:qFormat/>
    <w:rPr>
      <w:rFonts w:ascii="Arial" w:hAnsi="Arial" w:eastAsia="Times New Roman" w:cs="Arial"/>
      <w:b/>
      <w:sz w:val="22"/>
      <w:lang w:val="en-GB" w:eastAsia="en-US"/>
    </w:rPr>
  </w:style>
  <w:style w:type="character" w:styleId="Wbzude">
    <w:name w:val="wbzude"/>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eastAsia="Times New Roman"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left="720" w:right="0" w:hanging="0"/>
    </w:pPr>
    <w:rPr>
      <w:rFonts w:ascii="Arial" w:hAnsi="Arial" w:eastAsia="Times New Roman" w:cs="Arial"/>
      <w:b w:val="false"/>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2022-04-09T04:04:00Z</dcterms:created>
  <dc:creator>Ric Dennis</dc:creator>
  <dc:description/>
  <dc:language>en-US</dc:language>
  <cp:lastModifiedBy>Scott McKeown</cp:lastModifiedBy>
  <cp:lastPrinted>1995-11-21T17:41:00Z</cp:lastPrinted>
  <dcterms:modified xsi:type="dcterms:W3CDTF">2025-06-13T17:00:00Z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0x0101001B08A9D12D5DAD4A8318E938665B6A85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