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-120650</wp:posOffset>
            </wp:positionH>
            <wp:positionV relativeFrom="margin">
              <wp:posOffset>692150</wp:posOffset>
            </wp:positionV>
            <wp:extent cx="5814060"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Class Teacher – Food Technology</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Class Teacher – Food Technology</w:t>
                      </w:r>
                    </w:p>
                    <w:p>
                      <w:pPr>
                        <w:pStyle w:val="FrameContents"/>
                        <w:jc w:val="right"/>
                        <w:rPr>
                          <w:color w:val="000000"/>
                        </w:rPr>
                      </w:pPr>
                      <w:r>
                        <w:rPr>
                          <w:color w:val="000000"/>
                        </w:rPr>
                      </w:r>
                    </w:p>
                  </w:txbxContent>
                </v:textbox>
              </v:rect>
            </w:pict>
          </mc:Fallback>
        </mc:AlternateContent>
      </w:r>
    </w:p>
    <w:tbl>
      <w:tblPr>
        <w:tblW w:w="9235" w:type="dxa"/>
        <w:jc w:val="center"/>
        <w:tblInd w:w="0" w:type="dxa"/>
        <w:tblCellMar>
          <w:top w:w="0" w:type="dxa"/>
          <w:left w:w="108" w:type="dxa"/>
          <w:bottom w:w="0" w:type="dxa"/>
          <w:right w:w="108" w:type="dxa"/>
        </w:tblCellMar>
      </w:tblPr>
      <w:tblGrid>
        <w:gridCol w:w="3070"/>
        <w:gridCol w:w="6145"/>
        <w:gridCol w:w="20"/>
      </w:tblGrid>
      <w:tr>
        <w:trPr>
          <w:trHeight w:val="781" w:hRule="atLeast"/>
        </w:trPr>
        <w:tc>
          <w:tcPr>
            <w:tcW w:w="9215" w:type="dxa"/>
            <w:gridSpan w:val="2"/>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Job Description</w:t>
            </w:r>
          </w:p>
        </w:tc>
      </w:tr>
      <w:tr>
        <w:trPr>
          <w:trHeight w:val="659" w:hRule="atLeast"/>
        </w:trPr>
        <w:tc>
          <w:tcPr>
            <w:tcW w:w="3070" w:type="dxa"/>
            <w:tcBorders>
              <w:top w:val="single" w:sz="12" w:space="0" w:color="A6A6A6"/>
              <w:left w:val="single" w:sz="12" w:space="0" w:color="A6A6A6"/>
              <w:bottom w:val="single" w:sz="2" w:space="0" w:color="808080"/>
            </w:tcBorders>
            <w:shd w:fill="EAEAEA" w:val="clear"/>
            <w:vAlign w:val="center"/>
          </w:tcPr>
          <w:p>
            <w:pPr>
              <w:pStyle w:val="Normal"/>
              <w:rPr>
                <w:bCs/>
                <w:sz w:val="22"/>
                <w:szCs w:val="22"/>
              </w:rPr>
            </w:pPr>
            <w:r>
              <w:rPr>
                <w:bCs/>
                <w:sz w:val="22"/>
                <w:szCs w:val="22"/>
              </w:rPr>
              <w:t>Job Title:</w:t>
            </w:r>
          </w:p>
        </w:tc>
        <w:tc>
          <w:tcPr>
            <w:tcW w:w="6165" w:type="dxa"/>
            <w:tcBorders>
              <w:top w:val="single" w:sz="12" w:space="0" w:color="A6A6A6"/>
              <w:left w:val="single" w:sz="4" w:space="0" w:color="808080"/>
              <w:bottom w:val="single" w:sz="2" w:space="0" w:color="808080"/>
              <w:right w:val="single" w:sz="12" w:space="0" w:color="A6A6A6"/>
            </w:tcBorders>
            <w:shd w:fill="auto" w:val="clear"/>
            <w:vAlign w:val="center"/>
          </w:tcPr>
          <w:p>
            <w:pPr>
              <w:pStyle w:val="Normal"/>
              <w:rPr>
                <w:b w:val="false"/>
                <w:b w:val="false"/>
                <w:bCs/>
                <w:sz w:val="22"/>
                <w:szCs w:val="22"/>
              </w:rPr>
            </w:pPr>
            <w:r>
              <w:rPr>
                <w:b w:val="false"/>
                <w:bCs/>
                <w:sz w:val="22"/>
                <w:szCs w:val="22"/>
              </w:rPr>
              <w:t>Class Teacher – Secondary Food Technology</w:t>
            </w:r>
          </w:p>
        </w:tc>
      </w:tr>
      <w:tr>
        <w:trPr>
          <w:trHeight w:val="1051"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Pay Grade / Scale / Range:</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Teacher’s Pay Range</w:t>
            </w:r>
          </w:p>
          <w:p>
            <w:pPr>
              <w:pStyle w:val="Normal"/>
              <w:rPr>
                <w:rFonts w:ascii="Arial" w:hAnsi="Arial" w:cs="Arial"/>
                <w:b w:val="false"/>
                <w:b w:val="false"/>
                <w:sz w:val="22"/>
                <w:szCs w:val="22"/>
              </w:rPr>
            </w:pPr>
            <w:r>
              <w:rPr>
                <w:rFonts w:cs="Arial" w:ascii="Arial" w:hAnsi="Arial"/>
                <w:b w:val="false"/>
                <w:sz w:val="22"/>
                <w:szCs w:val="22"/>
              </w:rPr>
              <w:t>(The New Bridge Group recognises the portability of Teachers’ salaries)</w:t>
            </w:r>
          </w:p>
          <w:p>
            <w:pPr>
              <w:pStyle w:val="Normal"/>
              <w:rPr>
                <w:rFonts w:ascii="Arial" w:hAnsi="Arial" w:cs="Arial"/>
                <w:b w:val="false"/>
                <w:b w:val="false"/>
                <w:sz w:val="22"/>
                <w:szCs w:val="22"/>
              </w:rPr>
            </w:pPr>
            <w:r>
              <w:rPr>
                <w:rFonts w:cs="Arial" w:ascii="Arial" w:hAnsi="Arial"/>
                <w:b w:val="false"/>
                <w:sz w:val="22"/>
                <w:szCs w:val="22"/>
              </w:rPr>
              <w:t>Plus, SEN allowance</w:t>
            </w:r>
          </w:p>
          <w:p>
            <w:pPr>
              <w:pStyle w:val="Normal"/>
              <w:rPr>
                <w:b w:val="false"/>
                <w:b w:val="false"/>
                <w:bCs/>
                <w:sz w:val="22"/>
                <w:szCs w:val="22"/>
              </w:rPr>
            </w:pPr>
            <w:r>
              <w:rPr>
                <w:b w:val="false"/>
                <w:bCs/>
                <w:sz w:val="22"/>
                <w:szCs w:val="22"/>
              </w:rPr>
            </w:r>
          </w:p>
        </w:tc>
      </w:tr>
      <w:tr>
        <w:trPr>
          <w:trHeight w:val="569"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Benefits and Perks: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pPr>
            <w:r>
              <w:rPr>
                <w:rFonts w:cs="Arial" w:ascii="Arial" w:hAnsi="Arial"/>
                <w:b w:val="false"/>
                <w:color w:val="000000"/>
                <w:sz w:val="22"/>
                <w:szCs w:val="22"/>
              </w:rPr>
              <w:t>Occupational sickness scheme, Teachers’ Pension Scheme, Health Benefit Scheme, up to 5 days TOIL during term time</w:t>
            </w:r>
            <w:r>
              <w:rPr>
                <w:rFonts w:cs="Arial" w:ascii="Arial" w:hAnsi="Arial"/>
                <w:b w:val="false"/>
                <w:bCs/>
                <w:sz w:val="22"/>
                <w:szCs w:val="22"/>
              </w:rPr>
              <w:t xml:space="preserve"> </w:t>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Working hours: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1265 working hours as directed during the school year</w:t>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bCs/>
                <w:sz w:val="22"/>
                <w:szCs w:val="22"/>
              </w:rPr>
            </w:pPr>
            <w:r>
              <w:rPr>
                <w:bCs/>
                <w:sz w:val="22"/>
                <w:szCs w:val="22"/>
              </w:rPr>
              <w:t>Location:</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bCs/>
                <w:sz w:val="22"/>
                <w:szCs w:val="22"/>
              </w:rPr>
            </w:pPr>
            <w:r>
              <w:rPr>
                <w:b w:val="false"/>
                <w:bCs/>
                <w:sz w:val="22"/>
                <w:szCs w:val="22"/>
              </w:rPr>
              <w:t xml:space="preserve">Based at a site within the New Bridge Group – initially at Hollinwood Academy </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Special circumstances: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Some out-of-hours working required at busy times.</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Staff responsible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Head of Site</w:t>
            </w:r>
          </w:p>
        </w:tc>
      </w:tr>
      <w:tr>
        <w:trPr>
          <w:trHeight w:val="547"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Staff responsible for:</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Support staff</w:t>
            </w:r>
          </w:p>
        </w:tc>
      </w:tr>
      <w:tr>
        <w:trPr>
          <w:trHeight w:val="544"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sz w:val="22"/>
                <w:szCs w:val="22"/>
              </w:rPr>
            </w:pPr>
            <w:r>
              <w:rPr>
                <w:sz w:val="22"/>
                <w:szCs w:val="22"/>
              </w:rPr>
              <w:t>Accountable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b w:val="false"/>
                <w:b w:val="false"/>
                <w:sz w:val="22"/>
                <w:szCs w:val="22"/>
              </w:rPr>
            </w:pPr>
            <w:r>
              <w:rPr>
                <w:b w:val="false"/>
                <w:sz w:val="22"/>
                <w:szCs w:val="22"/>
              </w:rPr>
              <w:t>Chief Executive Officer</w:t>
            </w:r>
          </w:p>
        </w:tc>
      </w:tr>
      <w:tr>
        <w:trPr>
          <w:trHeight w:val="706" w:hRule="atLeast"/>
        </w:trPr>
        <w:tc>
          <w:tcPr>
            <w:tcW w:w="3070" w:type="dxa"/>
            <w:tcBorders>
              <w:top w:val="single" w:sz="2" w:space="0" w:color="808080"/>
              <w:left w:val="single" w:sz="12" w:space="0" w:color="A6A6A6"/>
              <w:bottom w:val="single" w:sz="12" w:space="0" w:color="A6A6A6"/>
            </w:tcBorders>
            <w:shd w:fill="EAEAEA" w:val="clear"/>
            <w:vAlign w:val="center"/>
          </w:tcPr>
          <w:p>
            <w:pPr>
              <w:pStyle w:val="Normal"/>
              <w:rPr>
                <w:sz w:val="22"/>
                <w:szCs w:val="22"/>
              </w:rPr>
            </w:pPr>
            <w:r>
              <w:rPr>
                <w:sz w:val="22"/>
                <w:szCs w:val="22"/>
              </w:rPr>
              <w:t>Probationary period:</w:t>
            </w:r>
          </w:p>
        </w:tc>
        <w:tc>
          <w:tcPr>
            <w:tcW w:w="6165" w:type="dxa"/>
            <w:tcBorders>
              <w:top w:val="single" w:sz="2" w:space="0" w:color="808080"/>
              <w:left w:val="single" w:sz="4" w:space="0" w:color="808080"/>
              <w:bottom w:val="single" w:sz="12" w:space="0" w:color="A6A6A6"/>
              <w:right w:val="single" w:sz="12" w:space="0" w:color="A6A6A6"/>
            </w:tcBorders>
            <w:shd w:fill="auto" w:val="clear"/>
            <w:vAlign w:val="center"/>
          </w:tcPr>
          <w:p>
            <w:pPr>
              <w:pStyle w:val="Normal"/>
              <w:rPr>
                <w:b w:val="false"/>
                <w:b w:val="false"/>
                <w:sz w:val="22"/>
                <w:szCs w:val="22"/>
              </w:rPr>
            </w:pPr>
            <w:r>
              <w:rPr>
                <w:b w:val="false"/>
                <w:sz w:val="22"/>
                <w:szCs w:val="22"/>
              </w:rPr>
              <w:t>Statutory induction if applicable</w:t>
            </w:r>
          </w:p>
        </w:tc>
      </w:tr>
    </w:tbl>
    <w:p>
      <w:pPr>
        <w:pStyle w:val="Normal"/>
        <w:rPr>
          <w:b w:val="false"/>
          <w:b w:val="false"/>
          <w:sz w:val="22"/>
          <w:szCs w:val="22"/>
        </w:rPr>
      </w:pPr>
      <w:r>
        <w:rPr>
          <w:b w:val="false"/>
          <w:sz w:val="22"/>
          <w:szCs w:val="22"/>
        </w:rPr>
      </w:r>
    </w:p>
    <w:p>
      <w:pPr>
        <w:pStyle w:val="Normal"/>
        <w:rPr>
          <w:rFonts w:cs="Arial"/>
          <w:b w:val="false"/>
          <w:b w:val="false"/>
          <w:bCs/>
          <w:color w:val="00469B"/>
          <w:sz w:val="22"/>
          <w:szCs w:val="22"/>
        </w:rPr>
      </w:pPr>
      <w:r>
        <w:rPr>
          <w:rFonts w:cs="Arial"/>
          <w:b w:val="false"/>
          <w:bCs/>
          <w:color w:val="00469B"/>
          <w:sz w:val="22"/>
          <w:szCs w:val="22"/>
        </w:rPr>
      </w:r>
      <w:r>
        <w:br w:type="page"/>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pageBreakBefore/>
              <w:snapToGrid w:val="false"/>
              <w:rPr>
                <w:rFonts w:ascii="Calibri" w:hAnsi="Calibri" w:eastAsia="Calibri" w:cs="Calibri"/>
                <w:b w:val="false"/>
                <w:b w:val="false"/>
                <w:sz w:val="22"/>
                <w:szCs w:val="22"/>
                <w:u w:val="single"/>
                <w:lang w:val="en-GB" w:eastAsia="en-GB"/>
              </w:rPr>
            </w:pPr>
            <w:r>
              <w:rPr>
                <w:rFonts w:eastAsia="Calibri" w:cs="Calibri" w:ascii="Calibri" w:hAnsi="Calibri"/>
                <w:b w:val="false"/>
                <w:sz w:val="22"/>
                <w:szCs w:val="22"/>
                <w:u w:val="single"/>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Job Purpose:</w:t>
            </w:r>
          </w:p>
          <w:p>
            <w:pPr>
              <w:pStyle w:val="Normal"/>
              <w:rPr>
                <w:rFonts w:ascii="Arial" w:hAnsi="Arial" w:eastAsia="Calibri" w:cs="Arial"/>
                <w:b w:val="false"/>
                <w:b w:val="false"/>
                <w:sz w:val="22"/>
                <w:szCs w:val="22"/>
                <w:u w:val="single"/>
                <w:lang w:val="en-GB" w:eastAsia="en-GB"/>
              </w:rPr>
            </w:pPr>
            <w:r>
              <w:rPr>
                <w:rFonts w:eastAsia="Calibri" w:cs="Arial" w:ascii="Arial" w:hAnsi="Arial"/>
                <w:b w:val="false"/>
                <w:sz w:val="22"/>
                <w:szCs w:val="22"/>
                <w:u w:val="single"/>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To ensure all pupils achieve high standards of learning and well-being and to provide high quality education and care in any area of the school which meets the requirements of the below statutory documents:</w:t>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r>
          </w:p>
          <w:p>
            <w:pPr>
              <w:pStyle w:val="ListParagraph"/>
              <w:numPr>
                <w:ilvl w:val="0"/>
                <w:numId w:val="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Professional Standards for Teachers (as set out below)</w:t>
            </w:r>
          </w:p>
          <w:p>
            <w:pPr>
              <w:pStyle w:val="ListParagraph"/>
              <w:numPr>
                <w:ilvl w:val="0"/>
                <w:numId w:val="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The Conditions of Employment for Teachers as defined in the current School Teachers Pay and Conditions Document</w:t>
            </w:r>
          </w:p>
          <w:p>
            <w:pPr>
              <w:pStyle w:val="Normal"/>
              <w:spacing w:before="0" w:after="0"/>
              <w:ind w:left="360" w:right="0" w:hanging="0"/>
              <w:contextualSpacing/>
              <w:rPr>
                <w:rFonts w:ascii="Arial" w:hAnsi="Arial" w:eastAsia="Calibri" w:cs="Arial"/>
                <w:b w:val="false"/>
                <w:b w:val="false"/>
                <w:sz w:val="22"/>
                <w:szCs w:val="22"/>
                <w:lang w:val="en-GB" w:eastAsia="en-GB"/>
              </w:rPr>
            </w:pPr>
            <w:r>
              <w:rPr>
                <w:rFonts w:eastAsia="Calibri" w:cs="Arial" w:ascii="Arial" w:hAnsi="Arial"/>
                <w:b w:val="false"/>
                <w:sz w:val="22"/>
                <w:szCs w:val="22"/>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Teachers’ Standards</w:t>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pPr>
              <w:pStyle w:val="Normal"/>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r>
          </w:p>
          <w:p>
            <w:pPr>
              <w:pStyle w:val="Normal"/>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t>Part One: Teaching</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t>A teacher must:</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high expectations which inspire, motivate and challenge pupils</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Establish a safe and stimulating environment for pupils, rooted in mutual respect</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goals that stretch and challenge pupils of all backgrounds, abilities and dispositions</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consistently the positive attitudes, values and behaviour which are expected of pupils</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rPr>
                <w:rFonts w:ascii="Calibri" w:hAnsi="Calibri" w:eastAsia="Calibri" w:cs="Calibri"/>
                <w:sz w:val="22"/>
                <w:szCs w:val="22"/>
                <w:lang w:val="en-GB" w:eastAsia="en-GB"/>
              </w:rPr>
            </w:pPr>
            <w:r>
              <w:rPr>
                <w:rFonts w:eastAsia="Calibri" w:cs="Calibri" w:ascii="Calibri" w:hAnsi="Calibri"/>
                <w:sz w:val="22"/>
                <w:szCs w:val="22"/>
                <w:lang w:val="en-GB" w:eastAsia="en-GB"/>
              </w:rPr>
              <w:t>Promote good progress and outcomes by pupils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Be accountable for pupils’ attainment, progress and outcomes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Be aware of pupils’ capabilities and their prior knowledge, and plan teaching to build on these</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Guide pupils to reflect on progress they have made and their emerging needs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knowledge and understanding of how pupils learn and how this impacts on teaching</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Encourage pupils to take a responsible and conscientious attitude to their own work and study</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good subject and curriculum knowledge</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secure knowledge of the relevant subjects(s) and curriculum areas, foster and maintain pupils’ interest in the subject and address misunderstandings</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 critical understanding of developments in the subject and curriculum areas, and promote the value of scholarship</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understanding of and take responsibility for promoting high standards of literacy, articulacy and the correct use of standard English, whatever the teacher’s specialist subject</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reading, demonstrate a clear understanding of systematic synthetic phonics</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mathematics, demonstrate a clear understanding of appropriate teaching strategies</w:t>
            </w:r>
          </w:p>
          <w:p>
            <w:pPr>
              <w:pStyle w:val="Normal"/>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rPr>
                <w:rFonts w:ascii="Calibri" w:hAnsi="Calibri" w:eastAsia="Calibri" w:cs="Calibri"/>
                <w:sz w:val="22"/>
                <w:szCs w:val="22"/>
                <w:lang w:val="en-GB" w:eastAsia="en-GB"/>
              </w:rPr>
            </w:pPr>
            <w:r>
              <w:rPr>
                <w:rFonts w:eastAsia="Calibri" w:cs="Calibri" w:ascii="Calibri" w:hAnsi="Calibri"/>
                <w:sz w:val="22"/>
                <w:szCs w:val="22"/>
                <w:lang w:val="en-GB" w:eastAsia="en-GB"/>
              </w:rPr>
              <w:t>Plan and teach well-structured lessons</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Impart knowledge and develop understanding through effective use of lesson time</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Promote a love of learning and children’s intellectual curiosity</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homework and plan out-of-class activities to consolidate and extend the knowledge and understanding pupils have acquired</w:t>
            </w:r>
          </w:p>
          <w:p>
            <w:pPr>
              <w:pStyle w:val="ListParagraph"/>
              <w:numPr>
                <w:ilvl w:val="0"/>
                <w:numId w:val="7"/>
              </w:numPr>
              <w:rPr>
                <w:rFonts w:ascii="Calibri" w:hAnsi="Calibri" w:eastAsia="Calibri" w:cs="Calibri"/>
                <w:sz w:val="22"/>
                <w:szCs w:val="22"/>
                <w:lang w:val="en-GB" w:eastAsia="en-GB"/>
              </w:rPr>
            </w:pPr>
            <w:r>
              <w:rPr>
                <w:rFonts w:eastAsia="Calibri" w:cs="Calibri" w:ascii="Calibri" w:hAnsi="Calibri"/>
                <w:sz w:val="22"/>
                <w:szCs w:val="22"/>
                <w:lang w:val="en-GB" w:eastAsia="en-GB"/>
              </w:rPr>
              <w:t>Reflect systematically on the effectiveness of lessons and approaches to teaching</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Contribute to the design and provision of an engaging curriculum within the relevant subject area(s)</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Adapt teaching to respond to the strengths and needs of all pupils</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Know when and how to differentiate appropriately, using approaches which enable pupils to be taught effectively</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secure understanding of how a range of factors can inhibit pupils’ ability to learn, and how best to overcome these</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awareness of the physical, social and intellectual development of children, and how to adapt teaching to support pupils’ education at different stages of development</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clear understanding of the needs of all pupils, including those with  special educational needs; those with disabilities; and be able to use and evaluate distinctive teaching approached to engage and support them</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accurate and productive use of assessment</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Know and understand how to assess the relevant subject and curriculum areas, including statutory assessment requirements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use of formative and summative assessment to secure pupils’ progress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Use relevant data to monitor progress, set targets and plan subsequent lessons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Give pupils regular feedback, both orally and through accurate marking, and encourage pupils to respond to the feedback</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Manage behaviour effectively to ensure a good and safe learning environment</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clear rules and routines for behaviour in classrooms, and take responsibility for promoting good and courteous behaviour both in classrooms and around the school, in accordance with the school’s behaviour policy</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high expectations of behaviour, and establish a framework for discipline with a range of strategies, using praise, sanctions and rewards consistently and fairly</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Manage classes effectively, using approaches which are appropriate to pupils’ needs in order to involve and motivate them</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Maintain good relationships with pupils, exercise appropriate authority, and act decisively when necessary</w:t>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spacing w:before="0" w:after="0"/>
              <w:ind w:left="1080" w:right="0" w:hanging="0"/>
              <w:contextualSpacing/>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Fulfil wider professional responsibilities</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a positive contribution to the wider life and ethos of the school</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Develop effective professional relationships with colleagues, knowing how and when to draw on advice and specialist support</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Deploy staff effectively</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Take responsibility for improving teaching through appropriate professional development, responding to advice and feedback from colleagues</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Communicate effectively with parents with regard to pupils’ achievements and well being</w:t>
            </w:r>
          </w:p>
          <w:p>
            <w:pPr>
              <w:pStyle w:val="Normal"/>
              <w:rPr>
                <w:rFonts w:ascii="Calibri" w:hAnsi="Calibri" w:eastAsia="Calibri" w:cs="Calibri"/>
                <w:lang w:val="en-GB" w:eastAsia="en-GB"/>
              </w:rPr>
            </w:pPr>
            <w:r>
              <w:rPr>
                <w:rFonts w:eastAsia="Calibri" w:cs="Calibri" w:ascii="Calibri" w:hAnsi="Calibri"/>
                <w:lang w:val="en-GB" w:eastAsia="en-GB"/>
              </w:rPr>
            </w:r>
          </w:p>
        </w:tc>
      </w:tr>
    </w:tbl>
    <w:p>
      <w:pPr>
        <w:pStyle w:val="Normal"/>
        <w:rPr>
          <w:rFonts w:cs="Arial"/>
        </w:rPr>
      </w:pPr>
      <w:r>
        <w:rPr>
          <w:rFonts w:cs="Arial"/>
        </w:rPr>
      </w:r>
    </w:p>
    <w:tbl>
      <w:tblPr>
        <w:tblW w:w="9224" w:type="dxa"/>
        <w:jc w:val="center"/>
        <w:tblInd w:w="0" w:type="dxa"/>
        <w:tblCellMar>
          <w:top w:w="0" w:type="dxa"/>
          <w:left w:w="108" w:type="dxa"/>
          <w:bottom w:w="0" w:type="dxa"/>
          <w:right w:w="108" w:type="dxa"/>
        </w:tblCellMar>
      </w:tblPr>
      <w:tblGrid>
        <w:gridCol w:w="9224"/>
      </w:tblGrid>
      <w:tr>
        <w:trPr>
          <w:trHeight w:val="1975" w:hRule="atLeast"/>
        </w:trPr>
        <w:tc>
          <w:tcPr>
            <w:tcW w:w="92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u w:val="single"/>
              </w:rPr>
            </w:pPr>
            <w:r>
              <w:rPr>
                <w:rFonts w:cs="Arial"/>
                <w:sz w:val="22"/>
                <w:szCs w:val="22"/>
                <w:u w:val="single"/>
              </w:rPr>
              <w:t>Part Two: Personal and Professional Conduct</w:t>
            </w:r>
          </w:p>
          <w:p>
            <w:pPr>
              <w:pStyle w:val="Normal"/>
              <w:rPr>
                <w:rFonts w:cs="Arial"/>
                <w:sz w:val="22"/>
                <w:szCs w:val="22"/>
                <w:u w:val="single"/>
              </w:rPr>
            </w:pPr>
            <w:r>
              <w:rPr>
                <w:rFonts w:cs="Arial"/>
                <w:sz w:val="22"/>
                <w:szCs w:val="22"/>
                <w:u w:val="single"/>
              </w:rPr>
            </w:r>
          </w:p>
          <w:p>
            <w:pPr>
              <w:pStyle w:val="Normal"/>
              <w:rPr>
                <w:rFonts w:cs="Arial"/>
                <w:sz w:val="22"/>
                <w:szCs w:val="22"/>
              </w:rPr>
            </w:pPr>
            <w:r>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pPr>
              <w:pStyle w:val="Normal"/>
              <w:rPr>
                <w:rFonts w:cs="Arial"/>
              </w:rPr>
            </w:pPr>
            <w:r>
              <w:rPr>
                <w:rFonts w:cs="Arial"/>
              </w:rPr>
            </w:r>
          </w:p>
          <w:p>
            <w:pPr>
              <w:pStyle w:val="ListParagraph"/>
              <w:numPr>
                <w:ilvl w:val="0"/>
                <w:numId w:val="9"/>
              </w:numPr>
              <w:spacing w:before="0" w:after="0"/>
              <w:contextualSpacing/>
              <w:rPr>
                <w:rFonts w:cs="Arial"/>
                <w:sz w:val="22"/>
                <w:szCs w:val="22"/>
              </w:rPr>
            </w:pPr>
            <w:r>
              <w:rPr>
                <w:rFonts w:cs="Arial"/>
                <w:sz w:val="22"/>
                <w:szCs w:val="22"/>
              </w:rPr>
              <w:t>Teachers uphold public trust in the profession and maintain high standards of ethics and behaviour, within and outside school, by:</w:t>
            </w:r>
          </w:p>
          <w:p>
            <w:pPr>
              <w:pStyle w:val="ListParagraph"/>
              <w:numPr>
                <w:ilvl w:val="0"/>
                <w:numId w:val="10"/>
              </w:numPr>
              <w:spacing w:before="0" w:after="0"/>
              <w:contextualSpacing/>
              <w:rPr>
                <w:rFonts w:cs="Arial"/>
                <w:sz w:val="22"/>
                <w:szCs w:val="22"/>
              </w:rPr>
            </w:pPr>
            <w:r>
              <w:rPr>
                <w:rFonts w:cs="Arial"/>
                <w:sz w:val="22"/>
                <w:szCs w:val="22"/>
              </w:rPr>
              <w:t>treating pupils with dignity, building relationships rooted in mutual respect, and at all times observing proper boundaries appropriate to a teacher’s profession</w:t>
            </w:r>
          </w:p>
          <w:p>
            <w:pPr>
              <w:pStyle w:val="ListParagraph"/>
              <w:numPr>
                <w:ilvl w:val="0"/>
                <w:numId w:val="10"/>
              </w:numPr>
              <w:spacing w:before="0" w:after="0"/>
              <w:contextualSpacing/>
              <w:rPr>
                <w:rFonts w:cs="Arial"/>
                <w:sz w:val="22"/>
                <w:szCs w:val="22"/>
              </w:rPr>
            </w:pPr>
            <w:r>
              <w:rPr>
                <w:rFonts w:cs="Arial"/>
                <w:sz w:val="22"/>
                <w:szCs w:val="22"/>
              </w:rPr>
              <w:t>Having regard to the need to safeguard pupils’ well-being, in accordance with statutory provisions</w:t>
            </w:r>
          </w:p>
          <w:p>
            <w:pPr>
              <w:pStyle w:val="ListParagraph"/>
              <w:numPr>
                <w:ilvl w:val="0"/>
                <w:numId w:val="10"/>
              </w:numPr>
              <w:spacing w:before="0" w:after="0"/>
              <w:contextualSpacing/>
              <w:rPr>
                <w:rFonts w:cs="Arial"/>
                <w:sz w:val="22"/>
                <w:szCs w:val="22"/>
              </w:rPr>
            </w:pPr>
            <w:r>
              <w:rPr>
                <w:rFonts w:cs="Arial"/>
                <w:sz w:val="22"/>
                <w:szCs w:val="22"/>
              </w:rPr>
              <w:t>Showing tolerance of and respect for the rights of others</w:t>
            </w:r>
          </w:p>
          <w:p>
            <w:pPr>
              <w:pStyle w:val="ListParagraph"/>
              <w:numPr>
                <w:ilvl w:val="0"/>
                <w:numId w:val="10"/>
              </w:numPr>
              <w:spacing w:before="0" w:after="0"/>
              <w:contextualSpacing/>
              <w:rPr>
                <w:rFonts w:cs="Arial"/>
                <w:sz w:val="22"/>
                <w:szCs w:val="22"/>
              </w:rPr>
            </w:pPr>
            <w:r>
              <w:rPr>
                <w:rFonts w:cs="Arial"/>
                <w:sz w:val="22"/>
                <w:szCs w:val="22"/>
              </w:rPr>
              <w:t>Not undermining fundamental British values, including democracy, the rule of law, individual liberty and mutual respect, and tolerance of those with different faiths and beliefs</w:t>
            </w:r>
          </w:p>
          <w:p>
            <w:pPr>
              <w:pStyle w:val="ListParagraph"/>
              <w:numPr>
                <w:ilvl w:val="0"/>
                <w:numId w:val="10"/>
              </w:numPr>
              <w:spacing w:before="0" w:after="0"/>
              <w:contextualSpacing/>
              <w:rPr>
                <w:rFonts w:cs="Arial"/>
                <w:sz w:val="22"/>
                <w:szCs w:val="22"/>
              </w:rPr>
            </w:pPr>
            <w:r>
              <w:rPr>
                <w:rFonts w:cs="Arial"/>
                <w:sz w:val="22"/>
                <w:szCs w:val="22"/>
              </w:rPr>
              <w:t>Ensuring that personal beliefs are not expressed in ways which exploit pupils’ vulnerability or might lead them to break the law</w:t>
            </w:r>
          </w:p>
          <w:p>
            <w:pPr>
              <w:pStyle w:val="ListParagraph"/>
              <w:numPr>
                <w:ilvl w:val="0"/>
                <w:numId w:val="9"/>
              </w:numPr>
              <w:spacing w:before="0" w:after="0"/>
              <w:contextualSpacing/>
              <w:rPr>
                <w:rFonts w:cs="Arial"/>
                <w:sz w:val="22"/>
                <w:szCs w:val="22"/>
              </w:rPr>
            </w:pPr>
            <w:r>
              <w:rPr>
                <w:rFonts w:cs="Arial"/>
                <w:sz w:val="22"/>
                <w:szCs w:val="22"/>
              </w:rPr>
              <w:t>Teachers must have proper and professional regard for the ethos, policies and practices of the school in which they teach, and maintain high standards in their own attendance and punctuality</w:t>
            </w:r>
          </w:p>
          <w:p>
            <w:pPr>
              <w:pStyle w:val="ListParagraph"/>
              <w:numPr>
                <w:ilvl w:val="0"/>
                <w:numId w:val="9"/>
              </w:numPr>
              <w:spacing w:before="0" w:after="0"/>
              <w:contextualSpacing/>
              <w:rPr>
                <w:rFonts w:cs="Arial"/>
                <w:sz w:val="22"/>
                <w:szCs w:val="22"/>
              </w:rPr>
            </w:pPr>
            <w:r>
              <w:rPr>
                <w:rFonts w:cs="Arial"/>
                <w:sz w:val="22"/>
                <w:szCs w:val="22"/>
              </w:rPr>
              <w:t>Teachers must have an understanding of, and always act within, the statutory frameworks which set out their professional duties and responsibilities.</w:t>
            </w:r>
          </w:p>
          <w:p>
            <w:pPr>
              <w:pStyle w:val="ListParagraph"/>
              <w:ind w:left="0" w:right="0" w:hanging="0"/>
              <w:rPr>
                <w:rFonts w:cs="Arial"/>
                <w:sz w:val="10"/>
                <w:szCs w:val="10"/>
              </w:rPr>
            </w:pPr>
            <w:r>
              <w:rPr>
                <w:rFonts w:cs="Arial"/>
                <w:sz w:val="10"/>
                <w:szCs w:val="10"/>
              </w:rPr>
            </w:r>
          </w:p>
        </w:tc>
      </w:tr>
    </w:tbl>
    <w:p>
      <w:pPr>
        <w:pStyle w:val="Normal"/>
        <w:rPr>
          <w:rFonts w:cs="Arial"/>
        </w:rPr>
      </w:pPr>
      <w:r>
        <w:rPr>
          <w:rFonts w:cs="Arial"/>
        </w:rPr>
      </w:r>
    </w:p>
    <w:tbl>
      <w:tblPr>
        <w:tblW w:w="9202" w:type="dxa"/>
        <w:jc w:val="center"/>
        <w:tblInd w:w="0" w:type="dxa"/>
        <w:tblCellMar>
          <w:top w:w="0" w:type="dxa"/>
          <w:left w:w="108" w:type="dxa"/>
          <w:bottom w:w="0" w:type="dxa"/>
          <w:right w:w="108" w:type="dxa"/>
        </w:tblCellMar>
      </w:tblPr>
      <w:tblGrid>
        <w:gridCol w:w="9202"/>
      </w:tblGrid>
      <w:tr>
        <w:trPr>
          <w:trHeight w:val="1508" w:hRule="atLeast"/>
        </w:trPr>
        <w:tc>
          <w:tcPr>
            <w:tcW w:w="92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Standard Duties:</w:t>
            </w:r>
          </w:p>
          <w:p>
            <w:pPr>
              <w:pStyle w:val="ListParagraph"/>
              <w:numPr>
                <w:ilvl w:val="0"/>
                <w:numId w:val="14"/>
              </w:numPr>
              <w:spacing w:before="0" w:after="0"/>
              <w:contextualSpacing/>
              <w:rPr>
                <w:rFonts w:cs="Arial"/>
                <w:sz w:val="22"/>
                <w:szCs w:val="22"/>
              </w:rPr>
            </w:pPr>
            <w:r>
              <w:rPr>
                <w:rFonts w:cs="Arial"/>
                <w:sz w:val="22"/>
                <w:szCs w:val="22"/>
              </w:rPr>
              <w:t>To actively promote the equalities and diversity agenda in the workplace and in-service delivery</w:t>
            </w:r>
          </w:p>
          <w:p>
            <w:pPr>
              <w:pStyle w:val="ListParagraph"/>
              <w:numPr>
                <w:ilvl w:val="0"/>
                <w:numId w:val="14"/>
              </w:numPr>
              <w:spacing w:before="0" w:after="0"/>
              <w:contextualSpacing/>
              <w:rPr>
                <w:rFonts w:cs="Arial"/>
                <w:sz w:val="22"/>
                <w:szCs w:val="22"/>
              </w:rPr>
            </w:pPr>
            <w:r>
              <w:rPr>
                <w:rFonts w:cs="Arial"/>
                <w:sz w:val="22"/>
                <w:szCs w:val="22"/>
              </w:rPr>
              <w:t>To be familiar with customer care and health and safety policies of the Council/Directorate</w:t>
            </w:r>
          </w:p>
          <w:p>
            <w:pPr>
              <w:pStyle w:val="ListParagraph"/>
              <w:numPr>
                <w:ilvl w:val="0"/>
                <w:numId w:val="14"/>
              </w:numPr>
              <w:spacing w:before="0" w:after="0"/>
              <w:contextualSpacing/>
              <w:rPr>
                <w:rFonts w:cs="Arial"/>
                <w:sz w:val="22"/>
                <w:szCs w:val="22"/>
              </w:rPr>
            </w:pPr>
            <w:r>
              <w:rPr>
                <w:rFonts w:cs="Arial"/>
                <w:sz w:val="22"/>
                <w:szCs w:val="22"/>
              </w:rPr>
              <w:t>To participate in self-improvement in performance through workplace development</w:t>
            </w:r>
          </w:p>
          <w:p>
            <w:pPr>
              <w:pStyle w:val="ListParagraph"/>
              <w:numPr>
                <w:ilvl w:val="0"/>
                <w:numId w:val="14"/>
              </w:numPr>
              <w:spacing w:before="0" w:after="0"/>
              <w:contextualSpacing/>
              <w:rPr>
                <w:rFonts w:cs="Arial"/>
                <w:sz w:val="22"/>
                <w:szCs w:val="22"/>
              </w:rPr>
            </w:pPr>
            <w:r>
              <w:rPr>
                <w:rFonts w:cs="Arial"/>
                <w:sz w:val="22"/>
                <w:szCs w:val="22"/>
              </w:rPr>
              <w:t>To undertake any additional duties commensurate with the grade of the post</w:t>
            </w:r>
          </w:p>
          <w:p>
            <w:pPr>
              <w:pStyle w:val="ListParagraph"/>
              <w:spacing w:before="0" w:after="0"/>
              <w:contextualSpacing/>
              <w:rPr>
                <w:rFonts w:cs="Arial"/>
                <w:b/>
                <w:b/>
                <w:sz w:val="22"/>
                <w:szCs w:val="22"/>
              </w:rPr>
            </w:pPr>
            <w:r>
              <w:rPr>
                <w:rFonts w:cs="Arial"/>
                <w:b/>
                <w:sz w:val="22"/>
                <w:szCs w:val="22"/>
              </w:rPr>
            </w:r>
          </w:p>
        </w:tc>
      </w:tr>
    </w:tbl>
    <w:p>
      <w:pPr>
        <w:pStyle w:val="Normal"/>
        <w:rPr>
          <w:rFonts w:cs="Arial"/>
        </w:rPr>
      </w:pPr>
      <w:r>
        <w:rPr>
          <w:rFonts w:cs="Arial"/>
        </w:rPr>
      </w:r>
    </w:p>
    <w:tbl>
      <w:tblPr>
        <w:tblW w:w="9214" w:type="dxa"/>
        <w:jc w:val="center"/>
        <w:tblInd w:w="0" w:type="dxa"/>
        <w:tblCellMar>
          <w:top w:w="0" w:type="dxa"/>
          <w:left w:w="108" w:type="dxa"/>
          <w:bottom w:w="0" w:type="dxa"/>
          <w:right w:w="108" w:type="dxa"/>
        </w:tblCellMar>
      </w:tblPr>
      <w:tblGrid>
        <w:gridCol w:w="9214"/>
      </w:tblGrid>
      <w:tr>
        <w:trPr>
          <w:trHeight w:val="1110" w:hRule="atLeast"/>
        </w:trPr>
        <w:tc>
          <w:tcPr>
            <w:tcW w:w="92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Contacts:</w:t>
            </w:r>
          </w:p>
          <w:p>
            <w:pPr>
              <w:pStyle w:val="Normal"/>
              <w:rPr>
                <w:rFonts w:cs="Arial"/>
                <w:b w:val="false"/>
                <w:b w:val="false"/>
                <w:sz w:val="22"/>
                <w:szCs w:val="22"/>
              </w:rPr>
            </w:pPr>
            <w:r>
              <w:rPr>
                <w:rFonts w:cs="Arial"/>
                <w:b w:val="false"/>
                <w:sz w:val="22"/>
                <w:szCs w:val="22"/>
              </w:rPr>
              <w:t>Pupils, parents, staff, governors, visitors to the school, professionals from outside agencies, teachers from other schools.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9254" w:type="dxa"/>
        <w:jc w:val="center"/>
        <w:tblInd w:w="0" w:type="dxa"/>
        <w:tblCellMar>
          <w:top w:w="0" w:type="dxa"/>
          <w:left w:w="108" w:type="dxa"/>
          <w:bottom w:w="0" w:type="dxa"/>
          <w:right w:w="108" w:type="dxa"/>
        </w:tblCellMar>
      </w:tblPr>
      <w:tblGrid>
        <w:gridCol w:w="9254"/>
      </w:tblGrid>
      <w:tr>
        <w:trPr>
          <w:trHeight w:val="930" w:hRule="atLeast"/>
        </w:trPr>
        <w:tc>
          <w:tcPr>
            <w:tcW w:w="92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Special Conditions:</w:t>
            </w:r>
          </w:p>
          <w:p>
            <w:pPr>
              <w:pStyle w:val="Normal"/>
              <w:rPr>
                <w:rFonts w:cs="Arial"/>
                <w:b w:val="false"/>
                <w:b w:val="false"/>
                <w:sz w:val="22"/>
                <w:szCs w:val="22"/>
              </w:rPr>
            </w:pPr>
            <w:r>
              <w:rPr>
                <w:rFonts w:cs="Arial"/>
                <w:b w:val="false"/>
                <w:sz w:val="22"/>
                <w:szCs w:val="22"/>
              </w:rPr>
              <w:t>An Enhanced Disclosure and Barring Service (DBS) check is required for this post</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rPr>
      </w:pPr>
      <w:r>
        <w:rPr>
          <w:rFonts w:cs="Arial"/>
        </w:rPr>
      </w:r>
      <w:r>
        <w:br w:type="page"/>
      </w:r>
    </w:p>
    <w:tbl>
      <w:tblPr>
        <w:tblW w:w="9216" w:type="dxa"/>
        <w:jc w:val="left"/>
        <w:tblInd w:w="0" w:type="dxa"/>
        <w:tblCellMar>
          <w:top w:w="0" w:type="dxa"/>
          <w:left w:w="108" w:type="dxa"/>
          <w:bottom w:w="0" w:type="dxa"/>
          <w:right w:w="108" w:type="dxa"/>
        </w:tblCellMar>
      </w:tblPr>
      <w:tblGrid>
        <w:gridCol w:w="9216"/>
      </w:tblGrid>
      <w:tr>
        <w:trPr>
          <w:trHeight w:val="781" w:hRule="atLeast"/>
        </w:trPr>
        <w:tc>
          <w:tcPr>
            <w:tcW w:w="9216" w:type="dxa"/>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Person Specification</w:t>
            </w:r>
          </w:p>
        </w:tc>
      </w:tr>
      <w:tr>
        <w:trPr>
          <w:trHeight w:val="1990" w:hRule="atLeast"/>
        </w:trPr>
        <w:tc>
          <w:tcPr>
            <w:tcW w:w="9216" w:type="dxa"/>
            <w:tcBorders>
              <w:top w:val="single" w:sz="12" w:space="0" w:color="A6A6A6"/>
              <w:left w:val="single" w:sz="12" w:space="0" w:color="A6A6A6"/>
              <w:bottom w:val="single" w:sz="2" w:space="0" w:color="808080"/>
              <w:right w:val="single" w:sz="4" w:space="0" w:color="808080"/>
            </w:tcBorders>
            <w:shd w:fill="EAEAEA" w:val="clear"/>
            <w:vAlign w:val="center"/>
          </w:tcPr>
          <w:p>
            <w:pPr>
              <w:pStyle w:val="Normal"/>
              <w:snapToGrid w:val="false"/>
              <w:jc w:val="both"/>
              <w:rPr>
                <w:rFonts w:ascii="Arial" w:hAnsi="Arial" w:cs="Arial"/>
                <w:bCs/>
                <w:sz w:val="22"/>
                <w:szCs w:val="22"/>
              </w:rPr>
            </w:pPr>
            <w:r>
              <w:rPr>
                <w:rFonts w:cs="Arial" w:ascii="Arial" w:hAnsi="Arial"/>
                <w:bCs/>
                <w:sz w:val="22"/>
                <w:szCs w:val="22"/>
              </w:rPr>
            </w:r>
          </w:p>
          <w:p>
            <w:pPr>
              <w:pStyle w:val="Normal"/>
              <w:jc w:val="both"/>
              <w:rPr>
                <w:rFonts w:cs="Arial"/>
                <w:bCs/>
                <w:sz w:val="22"/>
                <w:szCs w:val="22"/>
              </w:rPr>
            </w:pPr>
            <w:r>
              <w:rPr>
                <w:rFonts w:cs="Arial"/>
                <w:bCs/>
                <w:sz w:val="22"/>
                <w:szCs w:val="22"/>
              </w:rPr>
              <w:t xml:space="preserve">PLEASE NOTE: The emboldened criteria below will be used to shortlist. Only those applicants who demonstrate that they meet those criteria to the satisfaction of the Selection Panel will be invited to interview.  Conclusive evidence should therefore be provided against each criterion.  </w:t>
            </w:r>
          </w:p>
          <w:p>
            <w:pPr>
              <w:pStyle w:val="Normal"/>
              <w:jc w:val="both"/>
              <w:rPr>
                <w:rFonts w:cs="Arial"/>
                <w:sz w:val="22"/>
                <w:szCs w:val="22"/>
              </w:rPr>
            </w:pPr>
            <w:r>
              <w:rPr>
                <w:rFonts w:cs="Arial"/>
                <w:sz w:val="22"/>
                <w:szCs w:val="22"/>
              </w:rPr>
            </w:r>
          </w:p>
          <w:p>
            <w:pPr>
              <w:pStyle w:val="Normal"/>
              <w:rPr>
                <w:rFonts w:cs="Arial"/>
                <w:bCs/>
                <w:sz w:val="22"/>
                <w:szCs w:val="22"/>
              </w:rPr>
            </w:pPr>
            <w:r>
              <w:rPr>
                <w:rFonts w:cs="Arial"/>
                <w:bCs/>
                <w:sz w:val="22"/>
                <w:szCs w:val="22"/>
              </w:rPr>
              <w:t>Any candidate with a disability who meets the essential criteria will be guaranteed an interview.</w:t>
            </w:r>
          </w:p>
          <w:p>
            <w:pPr>
              <w:pStyle w:val="Normal"/>
              <w:rPr>
                <w:rFonts w:ascii="Arial" w:hAnsi="Arial" w:cs="Arial"/>
                <w:b w:val="false"/>
                <w:b w:val="false"/>
                <w:bCs/>
                <w:sz w:val="22"/>
                <w:szCs w:val="22"/>
              </w:rPr>
            </w:pPr>
            <w:r>
              <w:rPr>
                <w:rFonts w:cs="Arial" w:ascii="Arial" w:hAnsi="Arial"/>
                <w:b w:val="false"/>
                <w:bCs/>
                <w:sz w:val="22"/>
                <w:szCs w:val="22"/>
              </w:rPr>
            </w:r>
          </w:p>
        </w:tc>
      </w:tr>
    </w:tbl>
    <w:p>
      <w:pPr>
        <w:pStyle w:val="Normal"/>
        <w:rPr>
          <w:rFonts w:ascii="Arial" w:hAnsi="Arial" w:cs="Arial"/>
        </w:rPr>
      </w:pPr>
      <w:r>
        <w:rPr>
          <w:rFonts w:cs="Arial" w:ascii="Arial" w:hAnsi="Arial"/>
        </w:rPr>
      </w:r>
    </w:p>
    <w:tbl>
      <w:tblPr>
        <w:tblW w:w="9219" w:type="dxa"/>
        <w:jc w:val="left"/>
        <w:tblInd w:w="0" w:type="dxa"/>
        <w:tblCellMar>
          <w:top w:w="0" w:type="dxa"/>
          <w:left w:w="108" w:type="dxa"/>
          <w:bottom w:w="0" w:type="dxa"/>
          <w:right w:w="108" w:type="dxa"/>
        </w:tblCellMar>
      </w:tblPr>
      <w:tblGrid>
        <w:gridCol w:w="1793"/>
        <w:gridCol w:w="5233"/>
        <w:gridCol w:w="2193"/>
      </w:tblGrid>
      <w:tr>
        <w:trPr/>
        <w:tc>
          <w:tcPr>
            <w:tcW w:w="1793" w:type="dxa"/>
            <w:tcBorders>
              <w:top w:val="single" w:sz="4" w:space="0" w:color="000000"/>
              <w:left w:val="single" w:sz="4" w:space="0" w:color="000000"/>
              <w:bottom w:val="single" w:sz="4" w:space="0" w:color="000000"/>
            </w:tcBorders>
            <w:shd w:fill="D9D9D9" w:val="clear"/>
          </w:tcPr>
          <w:p>
            <w:pPr>
              <w:pStyle w:val="Normal"/>
              <w:snapToGrid w:val="false"/>
              <w:rPr>
                <w:rFonts w:ascii="Arial" w:hAnsi="Arial" w:cs="Arial"/>
              </w:rPr>
            </w:pPr>
            <w:r>
              <w:rPr>
                <w:rFonts w:cs="Arial" w:ascii="Arial" w:hAnsi="Arial"/>
              </w:rPr>
            </w:r>
          </w:p>
        </w:tc>
        <w:tc>
          <w:tcPr>
            <w:tcW w:w="5233" w:type="dxa"/>
            <w:tcBorders>
              <w:top w:val="single" w:sz="4" w:space="0" w:color="000000"/>
              <w:left w:val="single" w:sz="4" w:space="0" w:color="000000"/>
              <w:bottom w:val="single" w:sz="4" w:space="0" w:color="000000"/>
            </w:tcBorders>
            <w:shd w:fill="D9D9D9" w:val="clear"/>
          </w:tcPr>
          <w:p>
            <w:pPr>
              <w:pStyle w:val="TextBody"/>
              <w:rPr>
                <w:rFonts w:cs="Arial"/>
              </w:rPr>
            </w:pPr>
            <w:r>
              <w:rPr>
                <w:rFonts w:cs="Arial"/>
              </w:rPr>
              <w:t>Selection Criteria</w:t>
            </w:r>
          </w:p>
          <w:p>
            <w:pPr>
              <w:pStyle w:val="TextBody"/>
              <w:rPr>
                <w:rFonts w:cs="Arial"/>
              </w:rPr>
            </w:pPr>
            <w:r>
              <w:rPr>
                <w:rFonts w:cs="Arial"/>
              </w:rPr>
            </w:r>
          </w:p>
        </w:tc>
        <w:tc>
          <w:tcPr>
            <w:tcW w:w="2193"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rPr>
            </w:pPr>
            <w:r>
              <w:rPr>
                <w:rFonts w:cs="Arial"/>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Education and Qualifications</w:t>
            </w:r>
          </w:p>
        </w:tc>
        <w:tc>
          <w:tcPr>
            <w:tcW w:w="5233" w:type="dxa"/>
            <w:tcBorders>
              <w:top w:val="single" w:sz="4" w:space="0" w:color="000000"/>
              <w:left w:val="single" w:sz="4" w:space="0" w:color="000000"/>
              <w:bottom w:val="single" w:sz="4" w:space="0" w:color="000000"/>
            </w:tcBorders>
            <w:shd w:fill="auto" w:val="clear"/>
          </w:tcPr>
          <w:p>
            <w:pPr>
              <w:pStyle w:val="TextBody"/>
              <w:snapToGrid w:val="false"/>
              <w:rPr>
                <w:rFonts w:cs="Arial"/>
                <w:szCs w:val="22"/>
              </w:rPr>
            </w:pPr>
            <w:r>
              <w:rPr>
                <w:rFonts w:cs="Arial"/>
                <w:szCs w:val="22"/>
              </w:rPr>
            </w:r>
          </w:p>
          <w:p>
            <w:pPr>
              <w:pStyle w:val="TextBody"/>
              <w:rPr>
                <w:rFonts w:cs="Arial"/>
                <w:szCs w:val="22"/>
              </w:rPr>
            </w:pPr>
            <w:r>
              <w:rPr>
                <w:rFonts w:cs="Arial"/>
                <w:szCs w:val="22"/>
              </w:rPr>
              <w:t>QTS or currently working towards</w:t>
            </w:r>
          </w:p>
          <w:p>
            <w:pPr>
              <w:pStyle w:val="TextBody"/>
              <w:rPr>
                <w:rFonts w:cs="Arial"/>
                <w:szCs w:val="22"/>
              </w:rPr>
            </w:pPr>
            <w:r>
              <w:rPr>
                <w:rFonts w:cs="Arial"/>
                <w:szCs w:val="22"/>
              </w:rPr>
            </w:r>
          </w:p>
          <w:p>
            <w:pPr>
              <w:pStyle w:val="TextBody"/>
              <w:rPr>
                <w:rFonts w:cs="Arial"/>
                <w:szCs w:val="22"/>
              </w:rPr>
            </w:pPr>
            <w:r>
              <w:rPr>
                <w:rFonts w:cs="Arial"/>
                <w:szCs w:val="22"/>
              </w:rPr>
              <w:t>Evidence of continuing professional development</w:t>
            </w:r>
          </w:p>
          <w:p>
            <w:pPr>
              <w:pStyle w:val="TextBody"/>
              <w:ind w:left="360" w:right="0" w:hanging="0"/>
              <w:rPr>
                <w:rFonts w:cs="Arial"/>
                <w:szCs w:val="22"/>
              </w:rPr>
            </w:pPr>
            <w:r>
              <w:rPr>
                <w:rFonts w:cs="Arial"/>
                <w:szCs w:val="22"/>
              </w:rPr>
            </w:r>
          </w:p>
        </w:tc>
        <w:tc>
          <w:tcPr>
            <w:tcW w:w="2193"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cs="Arial"/>
                <w:b w:val="false"/>
                <w:b w:val="false"/>
                <w:szCs w:val="22"/>
              </w:rPr>
            </w:pPr>
            <w:r>
              <w:rPr>
                <w:rFonts w:cs="Arial"/>
                <w:b w:val="false"/>
                <w:szCs w:val="22"/>
              </w:rPr>
            </w:r>
          </w:p>
          <w:p>
            <w:pPr>
              <w:pStyle w:val="TextBody"/>
              <w:rPr>
                <w:rFonts w:cs="Arial"/>
                <w:b w:val="false"/>
                <w:b w:val="false"/>
                <w:szCs w:val="22"/>
              </w:rPr>
            </w:pPr>
            <w:r>
              <w:rPr>
                <w:rFonts w:cs="Arial"/>
                <w:b w:val="false"/>
                <w:szCs w:val="22"/>
              </w:rPr>
              <w:t>Application form and Certificates</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Knowledge and Experience</w:t>
            </w:r>
          </w:p>
        </w:tc>
        <w:tc>
          <w:tcPr>
            <w:tcW w:w="5233"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Experience of teaching Secondary Food Technology at KS 3 &amp; 4 including lower level learners up to GCSE</w:t>
            </w:r>
          </w:p>
          <w:p>
            <w:pPr>
              <w:pStyle w:val="Normal"/>
              <w:rPr>
                <w:rFonts w:ascii="Arial" w:hAnsi="Arial" w:cs="Arial"/>
                <w:sz w:val="22"/>
                <w:szCs w:val="22"/>
              </w:rPr>
            </w:pPr>
            <w:r>
              <w:rPr>
                <w:rFonts w:cs="Arial" w:ascii="Arial" w:hAnsi="Arial"/>
                <w:sz w:val="22"/>
                <w:szCs w:val="22"/>
              </w:rPr>
            </w:r>
          </w:p>
          <w:p>
            <w:pPr>
              <w:pStyle w:val="Normal"/>
              <w:spacing w:before="0" w:after="0"/>
              <w:contextualSpacing/>
              <w:jc w:val="both"/>
              <w:rPr/>
            </w:pPr>
            <w:r>
              <w:rPr>
                <w:rFonts w:cs="Arial" w:ascii="Arial" w:hAnsi="Arial"/>
                <w:sz w:val="22"/>
                <w:szCs w:val="22"/>
              </w:rPr>
              <w:t>Sound (up to date) understanding of the National Curriculum for Food Technology at KS3 and sound understanding of AQA Food preparation and nutrition at KS4</w:t>
            </w:r>
            <w:r>
              <w:rPr/>
              <w:t>.</w:t>
            </w:r>
          </w:p>
          <w:p>
            <w:pPr>
              <w:pStyle w:val="Normal"/>
              <w:rPr>
                <w:rFonts w:ascii="Arial" w:hAnsi="Arial" w:cs="Arial"/>
                <w:sz w:val="22"/>
                <w:szCs w:val="22"/>
              </w:rPr>
            </w:pPr>
            <w:r>
              <w:rPr>
                <w:rFonts w:cs="Arial" w:ascii="Arial" w:hAnsi="Arial"/>
                <w:sz w:val="22"/>
                <w:szCs w:val="22"/>
              </w:rPr>
            </w:r>
          </w:p>
          <w:p>
            <w:pPr>
              <w:pStyle w:val="Normal"/>
              <w:spacing w:before="0" w:after="0"/>
              <w:contextualSpacing/>
              <w:jc w:val="both"/>
              <w:rPr/>
            </w:pPr>
            <w:r>
              <w:rPr>
                <w:rFonts w:cs="Arial" w:ascii="Arial" w:hAnsi="Arial"/>
                <w:sz w:val="22"/>
                <w:szCs w:val="22"/>
              </w:rPr>
              <w:t>Knowledge and understanding of autism and how pupils with autism learn and be able to use knowledge of ASC strategies to adapt learning to meet the needs of these pupils</w:t>
            </w:r>
            <w:r>
              <w:rPr/>
              <w:t>.</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enhancement of pupil progress gains and raising the attainment and achievement levels of all pupils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current assessment practice and the use of data and pupil progress tracking to ensure that all groups of learners achieve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implementing strategies used to establish consistently high aspirations in standards of learning engagement and positive pupil behaviour</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Knowledge and/or experience of how school improvement actions impact on the quality of teaching and learning within the classroom</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t xml:space="preserve">Knowledge of current national educational issues </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bCs/>
                <w:sz w:val="22"/>
                <w:szCs w:val="22"/>
              </w:rPr>
            </w:pPr>
            <w:r>
              <w:rPr>
                <w:rFonts w:cs="Arial" w:ascii="Arial" w:hAnsi="Arial"/>
                <w:b w:val="false"/>
                <w:bCs/>
                <w:sz w:val="22"/>
                <w:szCs w:val="22"/>
              </w:rPr>
            </w:r>
          </w:p>
        </w:tc>
        <w:tc>
          <w:tcPr>
            <w:tcW w:w="2193"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bCs/>
                <w:sz w:val="22"/>
                <w:szCs w:val="22"/>
              </w:rPr>
            </w:pPr>
            <w:r>
              <w:rPr>
                <w:rFonts w:cs="Arial"/>
                <w:b w:val="false"/>
                <w:bCs/>
                <w:sz w:val="22"/>
                <w:szCs w:val="22"/>
              </w:rPr>
            </w:r>
          </w:p>
          <w:p>
            <w:pPr>
              <w:pStyle w:val="TextBody"/>
              <w:rPr>
                <w:rFonts w:cs="Arial"/>
                <w:b w:val="false"/>
                <w:b w:val="false"/>
                <w:szCs w:val="22"/>
              </w:rPr>
            </w:pPr>
            <w:r>
              <w:rPr>
                <w:rFonts w:cs="Arial"/>
                <w:b w:val="false"/>
                <w:szCs w:val="22"/>
              </w:rPr>
              <w:t>Application form/</w:t>
            </w:r>
          </w:p>
          <w:p>
            <w:pPr>
              <w:pStyle w:val="TextBody"/>
              <w:rPr/>
            </w:pPr>
            <w:r>
              <w:rPr>
                <w:rFonts w:cs="Arial"/>
                <w:b w:val="false"/>
                <w:szCs w:val="22"/>
              </w:rPr>
              <w:t>Interview</w:t>
            </w:r>
            <w:r>
              <w:rPr>
                <w:rFonts w:cs="Arial"/>
                <w:szCs w:val="22"/>
              </w:rPr>
              <w:t xml:space="preserve"> </w:t>
            </w:r>
            <w:r>
              <w:rPr>
                <w:rFonts w:cs="Arial"/>
                <w:b w:val="false"/>
                <w:szCs w:val="22"/>
              </w:rPr>
              <w:t xml:space="preserve">/ observation </w:t>
            </w:r>
          </w:p>
        </w:tc>
      </w:tr>
      <w:tr>
        <w:trPr/>
        <w:tc>
          <w:tcPr>
            <w:tcW w:w="1793" w:type="dxa"/>
            <w:tcBorders>
              <w:top w:val="single" w:sz="4" w:space="0" w:color="000000"/>
              <w:left w:val="single" w:sz="4" w:space="0" w:color="000000"/>
              <w:bottom w:val="single" w:sz="4" w:space="0" w:color="000000"/>
            </w:tcBorders>
            <w:shd w:fill="D9D9D9" w:val="clear"/>
          </w:tcPr>
          <w:p>
            <w:pPr>
              <w:pStyle w:val="Normal"/>
              <w:rPr/>
            </w:pPr>
            <w:r>
              <w:rPr>
                <w:rFonts w:eastAsia="Arial" w:cs="Arial" w:ascii="Arial" w:hAnsi="Arial"/>
                <w:sz w:val="22"/>
                <w:szCs w:val="22"/>
              </w:rPr>
              <w:t xml:space="preserve">   </w:t>
            </w:r>
            <w:r>
              <w:rPr>
                <w:rFonts w:eastAsia="Arial" w:cs="Arial" w:ascii="Arial" w:hAnsi="Arial"/>
                <w:bCs/>
                <w:sz w:val="22"/>
                <w:szCs w:val="22"/>
              </w:rPr>
              <w:t xml:space="preserve">   </w:t>
            </w:r>
          </w:p>
        </w:tc>
        <w:tc>
          <w:tcPr>
            <w:tcW w:w="5233"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szCs w:val="22"/>
              </w:rPr>
            </w:pPr>
            <w:r>
              <w:rPr>
                <w:rFonts w:cs="Arial"/>
                <w:szCs w:val="22"/>
              </w:rPr>
            </w:r>
          </w:p>
        </w:tc>
        <w:tc>
          <w:tcPr>
            <w:tcW w:w="2193"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 xml:space="preserve">Skills and Abilities                                                        </w:t>
            </w:r>
          </w:p>
        </w:tc>
        <w:tc>
          <w:tcPr>
            <w:tcW w:w="5233"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Able to provide evidence of being a good or outstanding teacher</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demonstrate knowledge and experience to carry out the responsibilities of a teacher in relation to planning, delivering and assessing the National Curriculum across the relevant phase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Possess the emotional and physical resilience necessary when working with young people with a range of complex needs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assess pupils’ learning needs and to teach mixed ability pupils within the same class/cohort/group and provide differentiated work to accelerate their progress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demonstrate high quality, creative and innovative classroom practice to engage, motivate and inspire pupils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promote learning and enhance skills beyond the curriculum and the classroom</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use effectively a variety of teaching and learning styles to enhance teaching, including a wide range of ICT resources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Able to communicate clearly, accurately and effectively both orally and in writing with children, parents, colleagues, external agencies and Trustees as appropriate</w:t>
            </w:r>
            <w:bookmarkStart w:id="0" w:name="_GoBack"/>
            <w:bookmarkEnd w:id="0"/>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Have appropriate planning and organisational skills to support teaching, learning, assessment and recording requirements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work cooperatively as a team member and to direct the work of Teaching Assistants to effectively support children’s learning</w:t>
            </w:r>
          </w:p>
          <w:p>
            <w:pPr>
              <w:pStyle w:val="Normal"/>
              <w:ind w:left="360" w:right="0" w:hanging="0"/>
              <w:rPr>
                <w:rFonts w:ascii="Arial" w:hAnsi="Arial" w:cs="Arial"/>
                <w:sz w:val="22"/>
                <w:szCs w:val="22"/>
              </w:rPr>
            </w:pPr>
            <w:r>
              <w:rPr>
                <w:rFonts w:cs="Arial" w:ascii="Arial" w:hAnsi="Arial"/>
                <w:sz w:val="22"/>
                <w:szCs w:val="22"/>
              </w:rPr>
            </w:r>
          </w:p>
        </w:tc>
        <w:tc>
          <w:tcPr>
            <w:tcW w:w="2193"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 xml:space="preserve">Interview / lesson observation </w:t>
            </w:r>
          </w:p>
        </w:tc>
      </w:tr>
      <w:tr>
        <w:trPr>
          <w:trHeight w:val="342" w:hRule="atLeast"/>
        </w:trPr>
        <w:tc>
          <w:tcPr>
            <w:tcW w:w="1793" w:type="dxa"/>
            <w:tcBorders>
              <w:top w:val="single" w:sz="4" w:space="0" w:color="000000"/>
              <w:left w:val="single" w:sz="4" w:space="0" w:color="000000"/>
              <w:bottom w:val="single" w:sz="4" w:space="0" w:color="000000"/>
            </w:tcBorders>
            <w:shd w:fill="D9D9D9" w:val="clear"/>
          </w:tcPr>
          <w:p>
            <w:pPr>
              <w:pStyle w:val="Normal"/>
              <w:rPr>
                <w:rFonts w:ascii="Arial" w:hAnsi="Arial" w:eastAsia="Arial" w:cs="Arial"/>
                <w:sz w:val="22"/>
                <w:szCs w:val="22"/>
              </w:rPr>
            </w:pPr>
            <w:r>
              <w:rPr>
                <w:rFonts w:eastAsia="Arial" w:cs="Arial" w:ascii="Arial" w:hAnsi="Arial"/>
                <w:sz w:val="22"/>
                <w:szCs w:val="22"/>
              </w:rPr>
              <w:t xml:space="preserve">   </w:t>
            </w:r>
          </w:p>
        </w:tc>
        <w:tc>
          <w:tcPr>
            <w:tcW w:w="5233"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b w:val="false"/>
                <w:b w:val="false"/>
                <w:szCs w:val="22"/>
              </w:rPr>
            </w:pPr>
            <w:r>
              <w:rPr>
                <w:rFonts w:cs="Arial"/>
                <w:b w:val="false"/>
                <w:szCs w:val="22"/>
              </w:rPr>
            </w:r>
          </w:p>
        </w:tc>
        <w:tc>
          <w:tcPr>
            <w:tcW w:w="2193"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Safeguarding</w:t>
            </w:r>
          </w:p>
        </w:tc>
        <w:tc>
          <w:tcPr>
            <w:tcW w:w="5233" w:type="dxa"/>
            <w:tcBorders>
              <w:left w:val="single" w:sz="4" w:space="0" w:color="000000"/>
              <w:bottom w:val="single" w:sz="4" w:space="0" w:color="000000"/>
            </w:tcBorders>
            <w:shd w:fill="auto" w:val="clear"/>
          </w:tcPr>
          <w:p>
            <w:pPr>
              <w:pStyle w:val="Normal"/>
              <w:snapToGrid w:val="false"/>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Knowledge of Safeguarding and Child Protection expectations</w:t>
            </w:r>
          </w:p>
          <w:p>
            <w:pPr>
              <w:pStyle w:val="Normal"/>
              <w:rPr>
                <w:rFonts w:ascii="Arial" w:hAnsi="Arial" w:cs="Arial"/>
                <w:b w:val="false"/>
                <w:b w:val="false"/>
                <w:sz w:val="22"/>
                <w:szCs w:val="22"/>
              </w:rPr>
            </w:pPr>
            <w:r>
              <w:rPr>
                <w:rFonts w:cs="Arial" w:ascii="Arial" w:hAnsi="Arial"/>
                <w:b w:val="false"/>
                <w:sz w:val="22"/>
                <w:szCs w:val="22"/>
              </w:rPr>
            </w:r>
          </w:p>
          <w:p>
            <w:pPr>
              <w:pStyle w:val="Normal"/>
              <w:ind w:left="47" w:right="0" w:hanging="0"/>
              <w:rPr>
                <w:rFonts w:ascii="Arial" w:hAnsi="Arial" w:cs="Arial"/>
                <w:sz w:val="22"/>
                <w:szCs w:val="22"/>
              </w:rPr>
            </w:pPr>
            <w:r>
              <w:rPr>
                <w:rFonts w:cs="Arial" w:ascii="Arial" w:hAnsi="Arial"/>
                <w:sz w:val="22"/>
                <w:szCs w:val="22"/>
              </w:rPr>
              <w:t>Knowledge and understanding of strategies for inclusion and equal opportunities</w:t>
            </w:r>
          </w:p>
          <w:p>
            <w:pPr>
              <w:pStyle w:val="Normal"/>
              <w:ind w:left="47" w:right="0" w:hanging="0"/>
              <w:rPr>
                <w:rFonts w:ascii="Arial" w:hAnsi="Arial" w:cs="Arial"/>
                <w:sz w:val="22"/>
                <w:szCs w:val="22"/>
              </w:rPr>
            </w:pPr>
            <w:r>
              <w:rPr>
                <w:rFonts w:cs="Arial" w:ascii="Arial" w:hAnsi="Arial"/>
                <w:sz w:val="22"/>
                <w:szCs w:val="22"/>
              </w:rPr>
            </w:r>
          </w:p>
          <w:p>
            <w:pPr>
              <w:pStyle w:val="Normal"/>
              <w:ind w:left="47" w:right="0" w:hanging="0"/>
              <w:rPr>
                <w:rFonts w:ascii="Arial" w:hAnsi="Arial" w:cs="Arial"/>
                <w:sz w:val="22"/>
                <w:szCs w:val="22"/>
              </w:rPr>
            </w:pPr>
            <w:r>
              <w:rPr>
                <w:rFonts w:cs="Arial" w:ascii="Arial" w:hAnsi="Arial"/>
                <w:sz w:val="22"/>
                <w:szCs w:val="22"/>
              </w:rPr>
              <w:t>Knowledge of Health and Safety expectations affecting children and adults across the school</w:t>
            </w:r>
          </w:p>
        </w:tc>
        <w:tc>
          <w:tcPr>
            <w:tcW w:w="2193" w:type="dxa"/>
            <w:tcBorders>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Interview</w:t>
            </w:r>
          </w:p>
        </w:tc>
      </w:tr>
      <w:tr>
        <w:trPr/>
        <w:tc>
          <w:tcPr>
            <w:tcW w:w="1793" w:type="dxa"/>
            <w:tcBorders>
              <w:top w:val="single" w:sz="4" w:space="0" w:color="000000"/>
              <w:left w:val="single" w:sz="4" w:space="0" w:color="000000"/>
              <w:bottom w:val="single" w:sz="4" w:space="0" w:color="000000"/>
            </w:tcBorders>
            <w:shd w:fill="auto" w:val="clear"/>
          </w:tcPr>
          <w:p>
            <w:pPr>
              <w:pStyle w:val="Heading1"/>
              <w:keepNext w:val="true"/>
              <w:spacing w:before="240" w:after="60"/>
              <w:rPr>
                <w:rFonts w:ascii="Arial" w:hAnsi="Arial" w:cs="Arial"/>
                <w:sz w:val="22"/>
                <w:szCs w:val="22"/>
              </w:rPr>
            </w:pPr>
            <w:r>
              <w:rPr>
                <w:rFonts w:cs="Arial" w:ascii="Arial" w:hAnsi="Arial"/>
                <w:sz w:val="22"/>
                <w:szCs w:val="22"/>
              </w:rPr>
              <w:t xml:space="preserve">Work Circumstances  </w:t>
            </w:r>
          </w:p>
          <w:p>
            <w:pPr>
              <w:pStyle w:val="Normal"/>
              <w:rPr>
                <w:rFonts w:ascii="Arial" w:hAnsi="Arial" w:cs="Arial"/>
                <w:sz w:val="22"/>
                <w:szCs w:val="22"/>
              </w:rPr>
            </w:pPr>
            <w:r>
              <w:rPr>
                <w:rFonts w:cs="Arial" w:ascii="Arial" w:hAnsi="Arial"/>
                <w:sz w:val="22"/>
                <w:szCs w:val="22"/>
              </w:rPr>
            </w:r>
          </w:p>
        </w:tc>
        <w:tc>
          <w:tcPr>
            <w:tcW w:w="523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t>The ability to secure an effective work/life balance but with an expectation that aspects of this role will involve occasional working in the evening and at weekends</w:t>
            </w:r>
          </w:p>
          <w:p>
            <w:pPr>
              <w:pStyle w:val="Normal"/>
              <w:rPr>
                <w:rFonts w:ascii="Arial" w:hAnsi="Arial" w:cs="Arial"/>
                <w:sz w:val="22"/>
                <w:szCs w:val="22"/>
              </w:rPr>
            </w:pPr>
            <w:r>
              <w:rPr>
                <w:rFonts w:cs="Arial" w:ascii="Arial" w:hAnsi="Arial"/>
                <w:sz w:val="22"/>
                <w:szCs w:val="22"/>
              </w:rPr>
            </w:r>
          </w:p>
        </w:tc>
        <w:tc>
          <w:tcPr>
            <w:tcW w:w="219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Interview</w:t>
            </w:r>
          </w:p>
        </w:tc>
      </w:tr>
    </w:tbl>
    <w:p>
      <w:pPr>
        <w:pStyle w:val="Normal"/>
        <w:rPr/>
      </w:pPr>
      <w:r>
        <w:rPr/>
      </w:r>
    </w:p>
    <w:sectPr>
      <w:footerReference w:type="default" r:id="rId3"/>
      <w:footerReference w:type="first" r:id="rId4"/>
      <w:type w:val="nextPage"/>
      <w:pgSz w:w="11906" w:h="16838"/>
      <w:pgMar w:left="1440" w:right="1440" w:header="0" w:top="1440" w:footer="709"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drawing>
        <wp:anchor behindDoc="0" distT="0" distB="0" distL="114300" distR="114300" simplePos="0" locked="0" layoutInCell="1" allowOverlap="1" relativeHeight="8">
          <wp:simplePos x="0" y="0"/>
          <wp:positionH relativeFrom="margin">
            <wp:posOffset>-7555865</wp:posOffset>
          </wp:positionH>
          <wp:positionV relativeFrom="paragraph">
            <wp:posOffset>373380</wp:posOffset>
          </wp:positionV>
          <wp:extent cx="7555865" cy="596265"/>
          <wp:effectExtent l="0" t="0" r="0" b="0"/>
          <wp:wrapTight wrapText="bothSides">
            <wp:wrapPolygon edited="0">
              <wp:start x="-8" y="0"/>
              <wp:lineTo x="-8" y="20489"/>
              <wp:lineTo x="21546" y="20489"/>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libri" w:hAnsi="Calibri" w:eastAsia="ＭＳ ゴシック" w:cs=""/>
      <w:bCs/>
      <w:kern w:val="2"/>
      <w:sz w:val="32"/>
      <w:szCs w:val="32"/>
    </w:rPr>
  </w:style>
  <w:style w:type="character" w:styleId="WW8Num1z0">
    <w:name w:val="WW8Num1z0"/>
    <w:qFormat/>
    <w:rPr>
      <w:rFonts w:cs="Times New Roman"/>
      <w:b/>
      <w:sz w:val="22"/>
    </w:rPr>
  </w:style>
  <w:style w:type="character" w:styleId="WW8Num1z1">
    <w:name w:val="WW8Num1z1"/>
    <w:qFormat/>
    <w:rPr>
      <w:rFonts w:cs="Times New Roman"/>
    </w:rPr>
  </w:style>
  <w:style w:type="character" w:styleId="WW8Num2z0">
    <w:name w:val="WW8Num2z0"/>
    <w:qFormat/>
    <w:rPr>
      <w:rFonts w:cs="Times New Roman"/>
      <w:b/>
      <w:sz w:val="22"/>
    </w:rPr>
  </w:style>
  <w:style w:type="character" w:styleId="WW8Num2z1">
    <w:name w:val="WW8Num2z1"/>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bCs/>
      <w:kern w:val="2"/>
      <w:sz w:val="32"/>
      <w:szCs w:val="32"/>
      <w:lang w:val="en-GB" w:eastAsia="en-US"/>
    </w:rPr>
  </w:style>
  <w:style w:type="character" w:styleId="BodyTextChar">
    <w:name w:val="Body Text Char"/>
    <w:basedOn w:val="DefaultParagraphFont"/>
    <w:qFormat/>
    <w:rPr>
      <w:rFonts w:ascii="Arial" w:hAnsi="Arial" w:eastAsia="Times New Roman" w:cs="Arial"/>
      <w:b/>
      <w:sz w:val="22"/>
      <w:lang w:val="en-GB"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eastAsia="Times New Roman" w:cs="Arial"/>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left="720" w:right="0" w:hanging="0"/>
    </w:pPr>
    <w:rPr>
      <w:rFonts w:ascii="Arial" w:hAnsi="Arial" w:eastAsia="Times New Roman" w:cs="Arial"/>
      <w:b w:val="false"/>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2021-06-11T12:57:00Z</dcterms:created>
  <dc:creator>Ric Dennis</dc:creator>
  <dc:description/>
  <dc:language>en-US</dc:language>
  <cp:lastModifiedBy>Suzanne Smith</cp:lastModifiedBy>
  <cp:lastPrinted>1995-11-21T17:41:00Z</cp:lastPrinted>
  <dcterms:modified xsi:type="dcterms:W3CDTF">2021-06-11T13:13:00Z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