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rFonts w:cs="Arial"/>
          <w:sz w:val="22"/>
          <w:szCs w:val="22"/>
        </w:rPr>
      </w:pPr>
      <w:r>
        <w:rPr>
          <w:rFonts w:cs="Arial"/>
          <w:sz w:val="22"/>
          <w:szCs w:val="22"/>
        </w:rPr>
      </w:r>
    </w:p>
    <w:p>
      <w:pPr>
        <w:pStyle w:val="Heading1"/>
        <w:spacing w:lineRule="auto" w:line="240"/>
        <w:rPr>
          <w:rFonts w:cs="Arial"/>
          <w:sz w:val="22"/>
          <w:szCs w:val="22"/>
        </w:rPr>
      </w:pPr>
      <w:r>
        <w:rPr>
          <w:rFonts w:cs="Arial"/>
          <w:sz w:val="22"/>
          <w:szCs w:val="22"/>
        </w:rPr>
      </w:r>
    </w:p>
    <w:p>
      <w:pPr>
        <w:pStyle w:val="Normal"/>
        <w:jc w:val="center"/>
        <w:rPr>
          <w:rFonts w:cs="Arial"/>
          <w:b/>
          <w:b/>
          <w:bCs/>
          <w:sz w:val="22"/>
          <w:szCs w:val="22"/>
          <w:u w:val="single"/>
        </w:rPr>
      </w:pPr>
      <w:r>
        <w:rPr>
          <w:rFonts w:cs="Arial"/>
          <w:b/>
          <w:bCs/>
          <w:sz w:val="22"/>
          <w:szCs w:val="22"/>
          <w:u w:val="single"/>
        </w:rPr>
        <w:t>OLDHAM COUNCIL</w:t>
      </w:r>
    </w:p>
    <w:p>
      <w:pPr>
        <w:pStyle w:val="Normal"/>
        <w:jc w:val="center"/>
        <w:rPr>
          <w:rFonts w:cs="Arial"/>
          <w:b/>
          <w:b/>
          <w:bCs/>
          <w:sz w:val="22"/>
          <w:szCs w:val="22"/>
          <w:u w:val="single"/>
        </w:rPr>
      </w:pPr>
      <w:r>
        <w:rPr>
          <w:rFonts w:cs="Arial"/>
          <w:b/>
          <w:bCs/>
          <w:sz w:val="22"/>
          <w:szCs w:val="22"/>
          <w:u w:val="single"/>
        </w:rPr>
      </w:r>
    </w:p>
    <w:p>
      <w:pPr>
        <w:pStyle w:val="Normal"/>
        <w:jc w:val="center"/>
        <w:rPr>
          <w:rFonts w:cs="Arial"/>
          <w:b/>
          <w:b/>
          <w:bCs/>
          <w:sz w:val="22"/>
          <w:szCs w:val="22"/>
          <w:u w:val="single"/>
        </w:rPr>
      </w:pPr>
      <w:r>
        <w:rPr>
          <w:rFonts w:cs="Arial"/>
          <w:b/>
          <w:bCs/>
          <w:sz w:val="22"/>
          <w:szCs w:val="22"/>
          <w:u w:val="single"/>
        </w:rPr>
        <w:t>JOB DESCRIPTION</w:t>
      </w:r>
    </w:p>
    <w:p>
      <w:pPr>
        <w:pStyle w:val="Normal"/>
        <w:jc w:val="center"/>
        <w:rPr>
          <w:rFonts w:cs="Arial"/>
          <w:b/>
          <w:b/>
          <w:bCs/>
          <w:sz w:val="22"/>
          <w:szCs w:val="22"/>
          <w:u w:val="single"/>
        </w:rPr>
      </w:pPr>
      <w:r>
        <w:rPr>
          <w:rFonts w:cs="Arial"/>
          <w:b/>
          <w:bCs/>
          <w:sz w:val="22"/>
          <w:szCs w:val="22"/>
          <w:u w:val="single"/>
        </w:rPr>
      </w:r>
    </w:p>
    <w:p>
      <w:pPr>
        <w:pStyle w:val="Normal"/>
        <w:jc w:val="center"/>
        <w:rPr>
          <w:rFonts w:cs="Arial"/>
          <w:b/>
          <w:b/>
          <w:bCs/>
          <w:sz w:val="22"/>
          <w:szCs w:val="22"/>
          <w:u w:val="single"/>
        </w:rPr>
      </w:pPr>
      <w:r>
        <w:rPr>
          <w:rFonts w:cs="Arial"/>
          <w:b/>
          <w:bCs/>
          <w:sz w:val="22"/>
          <w:szCs w:val="22"/>
          <w:u w:val="single"/>
        </w:rPr>
      </w:r>
    </w:p>
    <w:tbl>
      <w:tblPr>
        <w:tblW w:w="10449" w:type="dxa"/>
        <w:jc w:val="left"/>
        <w:tblInd w:w="-617" w:type="dxa"/>
        <w:tblCellMar>
          <w:top w:w="0" w:type="dxa"/>
          <w:left w:w="108" w:type="dxa"/>
          <w:bottom w:w="0" w:type="dxa"/>
          <w:right w:w="108" w:type="dxa"/>
        </w:tblCellMar>
      </w:tblPr>
      <w:tblGrid>
        <w:gridCol w:w="1451"/>
        <w:gridCol w:w="2869"/>
        <w:gridCol w:w="2179"/>
        <w:gridCol w:w="3950"/>
      </w:tblGrid>
      <w:tr>
        <w:trPr>
          <w:cantSplit w:val="true"/>
        </w:trPr>
        <w:tc>
          <w:tcPr>
            <w:tcW w:w="1451" w:type="dxa"/>
            <w:tcBorders>
              <w:top w:val="single" w:sz="4" w:space="0" w:color="000000"/>
              <w:left w:val="single" w:sz="4" w:space="0" w:color="000000"/>
              <w:bottom w:val="single" w:sz="4" w:space="0" w:color="000000"/>
            </w:tcBorders>
            <w:shd w:fill="00B3BE" w:val="clear"/>
          </w:tcPr>
          <w:p>
            <w:pPr>
              <w:pStyle w:val="Normal"/>
              <w:rPr>
                <w:rFonts w:cs="Arial"/>
                <w:b/>
                <w:b/>
                <w:sz w:val="22"/>
                <w:szCs w:val="22"/>
              </w:rPr>
            </w:pPr>
            <w:r>
              <w:rPr>
                <w:rFonts w:cs="Arial"/>
                <w:b/>
                <w:sz w:val="22"/>
                <w:szCs w:val="22"/>
              </w:rPr>
              <w:t xml:space="preserve">Job Title: </w:t>
            </w:r>
          </w:p>
          <w:p>
            <w:pPr>
              <w:pStyle w:val="Normal"/>
              <w:rPr>
                <w:rFonts w:cs="Arial"/>
                <w:sz w:val="22"/>
                <w:szCs w:val="22"/>
              </w:rPr>
            </w:pPr>
            <w:r>
              <w:rPr>
                <w:rFonts w:cs="Arial"/>
                <w:sz w:val="22"/>
                <w:szCs w:val="22"/>
              </w:rPr>
            </w:r>
          </w:p>
        </w:tc>
        <w:tc>
          <w:tcPr>
            <w:tcW w:w="8998" w:type="dxa"/>
            <w:gridSpan w:val="3"/>
            <w:tcBorders>
              <w:top w:val="single" w:sz="4" w:space="0" w:color="000000"/>
              <w:left w:val="single" w:sz="4" w:space="0" w:color="000000"/>
              <w:bottom w:val="single" w:sz="4" w:space="0" w:color="000000"/>
              <w:right w:val="single" w:sz="4" w:space="0" w:color="000000"/>
            </w:tcBorders>
            <w:shd w:fill="auto" w:val="clear"/>
          </w:tcPr>
          <w:p>
            <w:pPr>
              <w:pStyle w:val="Endnote"/>
              <w:rPr>
                <w:rFonts w:ascii="Arial" w:hAnsi="Arial" w:cs="Arial"/>
                <w:sz w:val="22"/>
                <w:szCs w:val="22"/>
              </w:rPr>
            </w:pPr>
            <w:r>
              <w:rPr>
                <w:rFonts w:cs="Arial" w:ascii="Arial" w:hAnsi="Arial"/>
                <w:sz w:val="22"/>
                <w:szCs w:val="22"/>
              </w:rPr>
              <w:t>Children’s Services Strategy and Improvement Manager</w:t>
            </w:r>
          </w:p>
        </w:tc>
      </w:tr>
      <w:tr>
        <w:trPr>
          <w:cantSplit w:val="true"/>
        </w:trPr>
        <w:tc>
          <w:tcPr>
            <w:tcW w:w="1451" w:type="dxa"/>
            <w:tcBorders>
              <w:top w:val="single" w:sz="4" w:space="0" w:color="000000"/>
              <w:left w:val="single" w:sz="4" w:space="0" w:color="000000"/>
              <w:bottom w:val="single" w:sz="4" w:space="0" w:color="000000"/>
            </w:tcBorders>
            <w:shd w:fill="00B3BE" w:val="clear"/>
          </w:tcPr>
          <w:p>
            <w:pPr>
              <w:pStyle w:val="Normal"/>
              <w:rPr/>
            </w:pPr>
            <w:r>
              <w:rPr>
                <w:rFonts w:cs="Arial"/>
                <w:b/>
                <w:sz w:val="22"/>
                <w:szCs w:val="22"/>
              </w:rPr>
              <w:t>Directorate:</w:t>
            </w:r>
            <w:r>
              <w:rPr>
                <w:rFonts w:cs="Arial"/>
                <w:sz w:val="22"/>
                <w:szCs w:val="22"/>
              </w:rPr>
              <w:t xml:space="preserve">  </w:t>
            </w:r>
          </w:p>
        </w:tc>
        <w:tc>
          <w:tcPr>
            <w:tcW w:w="2869" w:type="dxa"/>
            <w:tcBorders>
              <w:top w:val="single" w:sz="4" w:space="0" w:color="000000"/>
              <w:left w:val="single" w:sz="4" w:space="0" w:color="000000"/>
              <w:bottom w:val="single" w:sz="4" w:space="0" w:color="000000"/>
            </w:tcBorders>
            <w:shd w:fill="auto" w:val="clear"/>
          </w:tcPr>
          <w:p>
            <w:pPr>
              <w:pStyle w:val="Normal"/>
              <w:rPr>
                <w:rFonts w:cs="Arial"/>
                <w:sz w:val="22"/>
                <w:szCs w:val="22"/>
              </w:rPr>
            </w:pPr>
            <w:r>
              <w:rPr>
                <w:rFonts w:cs="Arial"/>
                <w:sz w:val="22"/>
                <w:szCs w:val="22"/>
              </w:rPr>
              <w:t>People</w:t>
            </w:r>
          </w:p>
        </w:tc>
        <w:tc>
          <w:tcPr>
            <w:tcW w:w="2179" w:type="dxa"/>
            <w:tcBorders>
              <w:top w:val="single" w:sz="4" w:space="0" w:color="000000"/>
              <w:left w:val="single" w:sz="4" w:space="0" w:color="000000"/>
              <w:bottom w:val="single" w:sz="4" w:space="0" w:color="000000"/>
            </w:tcBorders>
            <w:shd w:fill="00B3BE" w:val="clear"/>
          </w:tcPr>
          <w:p>
            <w:pPr>
              <w:pStyle w:val="Normal"/>
              <w:rPr/>
            </w:pPr>
            <w:r>
              <w:rPr>
                <w:rFonts w:cs="Arial"/>
                <w:b/>
                <w:sz w:val="22"/>
                <w:szCs w:val="22"/>
              </w:rPr>
              <w:t>Division/Section:</w:t>
            </w:r>
            <w:r>
              <w:rPr>
                <w:rFonts w:cs="Arial"/>
                <w:sz w:val="22"/>
                <w:szCs w:val="22"/>
              </w:rPr>
              <w:t xml:space="preserve"> </w:t>
            </w:r>
          </w:p>
          <w:p>
            <w:pPr>
              <w:pStyle w:val="Normal"/>
              <w:rPr>
                <w:rFonts w:cs="Arial"/>
                <w:sz w:val="22"/>
                <w:szCs w:val="22"/>
              </w:rPr>
            </w:pPr>
            <w:r>
              <w:rPr>
                <w:rFonts w:cs="Arial"/>
                <w:sz w:val="22"/>
                <w:szCs w:val="22"/>
              </w:rPr>
            </w:r>
          </w:p>
        </w:tc>
        <w:tc>
          <w:tcPr>
            <w:tcW w:w="3950" w:type="dxa"/>
            <w:tcBorders>
              <w:top w:val="single" w:sz="4" w:space="0" w:color="000000"/>
              <w:left w:val="single" w:sz="4" w:space="0" w:color="000000"/>
              <w:bottom w:val="single" w:sz="4" w:space="0" w:color="000000"/>
              <w:right w:val="single" w:sz="4" w:space="0" w:color="000000"/>
            </w:tcBorders>
            <w:shd w:fill="auto" w:val="clear"/>
          </w:tcPr>
          <w:p>
            <w:pPr>
              <w:pStyle w:val="Normal"/>
              <w:rPr>
                <w:rFonts w:cs="Arial"/>
                <w:color w:val="333333"/>
                <w:sz w:val="22"/>
                <w:szCs w:val="22"/>
              </w:rPr>
            </w:pPr>
            <w:r>
              <w:rPr>
                <w:rFonts w:cs="Arial"/>
                <w:color w:val="333333"/>
                <w:sz w:val="22"/>
                <w:szCs w:val="22"/>
              </w:rPr>
              <w:t>Children's Social Care and Early Help</w:t>
            </w:r>
          </w:p>
          <w:p>
            <w:pPr>
              <w:pStyle w:val="Normal"/>
              <w:rPr>
                <w:rFonts w:cs="Arial"/>
                <w:sz w:val="22"/>
                <w:szCs w:val="22"/>
              </w:rPr>
            </w:pPr>
            <w:r>
              <w:rPr>
                <w:rFonts w:cs="Arial"/>
                <w:sz w:val="22"/>
                <w:szCs w:val="22"/>
              </w:rPr>
            </w:r>
          </w:p>
        </w:tc>
      </w:tr>
      <w:tr>
        <w:trPr>
          <w:cantSplit w:val="true"/>
        </w:trPr>
        <w:tc>
          <w:tcPr>
            <w:tcW w:w="1451" w:type="dxa"/>
            <w:tcBorders>
              <w:top w:val="single" w:sz="4" w:space="0" w:color="000000"/>
              <w:left w:val="single" w:sz="4" w:space="0" w:color="000000"/>
              <w:bottom w:val="single" w:sz="4" w:space="0" w:color="000000"/>
            </w:tcBorders>
            <w:shd w:fill="00B3BE" w:val="clear"/>
          </w:tcPr>
          <w:p>
            <w:pPr>
              <w:pStyle w:val="Normal"/>
              <w:rPr>
                <w:rFonts w:cs="Arial"/>
                <w:b/>
                <w:b/>
                <w:sz w:val="22"/>
                <w:szCs w:val="22"/>
              </w:rPr>
            </w:pPr>
            <w:r>
              <w:rPr>
                <w:rFonts w:cs="Arial"/>
                <w:b/>
                <w:sz w:val="22"/>
                <w:szCs w:val="22"/>
              </w:rPr>
              <w:t xml:space="preserve">Grade:  </w:t>
            </w:r>
          </w:p>
          <w:p>
            <w:pPr>
              <w:pStyle w:val="Normal"/>
              <w:rPr>
                <w:rFonts w:cs="Arial"/>
                <w:sz w:val="22"/>
                <w:szCs w:val="22"/>
              </w:rPr>
            </w:pPr>
            <w:r>
              <w:rPr>
                <w:rFonts w:cs="Arial"/>
                <w:sz w:val="22"/>
                <w:szCs w:val="22"/>
              </w:rPr>
            </w:r>
          </w:p>
        </w:tc>
        <w:tc>
          <w:tcPr>
            <w:tcW w:w="2869" w:type="dxa"/>
            <w:tcBorders>
              <w:top w:val="single" w:sz="4" w:space="0" w:color="000000"/>
              <w:left w:val="single" w:sz="4" w:space="0" w:color="000000"/>
              <w:bottom w:val="single" w:sz="4" w:space="0" w:color="000000"/>
            </w:tcBorders>
            <w:shd w:fill="auto" w:val="clear"/>
          </w:tcPr>
          <w:p>
            <w:pPr>
              <w:pStyle w:val="Header"/>
              <w:tabs>
                <w:tab w:val="clear" w:pos="4153"/>
                <w:tab w:val="clear" w:pos="8306"/>
              </w:tabs>
              <w:rPr>
                <w:rFonts w:cs="Arial"/>
                <w:szCs w:val="22"/>
              </w:rPr>
            </w:pPr>
            <w:r>
              <w:rPr>
                <w:rFonts w:cs="Arial"/>
                <w:szCs w:val="22"/>
              </w:rPr>
              <w:t>9</w:t>
            </w:r>
          </w:p>
        </w:tc>
        <w:tc>
          <w:tcPr>
            <w:tcW w:w="2179" w:type="dxa"/>
            <w:tcBorders>
              <w:top w:val="single" w:sz="4" w:space="0" w:color="000000"/>
              <w:left w:val="single" w:sz="4" w:space="0" w:color="000000"/>
              <w:bottom w:val="single" w:sz="4" w:space="0" w:color="000000"/>
            </w:tcBorders>
            <w:shd w:fill="00B3BE" w:val="clear"/>
          </w:tcPr>
          <w:p>
            <w:pPr>
              <w:pStyle w:val="Header"/>
              <w:tabs>
                <w:tab w:val="clear" w:pos="4153"/>
                <w:tab w:val="clear" w:pos="8306"/>
              </w:tabs>
              <w:rPr>
                <w:rFonts w:cs="Arial"/>
                <w:b/>
                <w:b/>
                <w:szCs w:val="22"/>
              </w:rPr>
            </w:pPr>
            <w:r>
              <w:rPr>
                <w:rFonts w:cs="Arial"/>
                <w:b/>
                <w:szCs w:val="22"/>
              </w:rPr>
              <w:t>JE Reference:</w:t>
            </w:r>
          </w:p>
        </w:tc>
        <w:tc>
          <w:tcPr>
            <w:tcW w:w="3950" w:type="dxa"/>
            <w:tcBorders>
              <w:top w:val="single" w:sz="4" w:space="0" w:color="000000"/>
              <w:left w:val="single" w:sz="4" w:space="0" w:color="000000"/>
              <w:bottom w:val="single" w:sz="4" w:space="0" w:color="000000"/>
              <w:right w:val="single" w:sz="4" w:space="0" w:color="000000"/>
            </w:tcBorders>
            <w:shd w:fill="auto" w:val="clear"/>
          </w:tcPr>
          <w:p>
            <w:pPr>
              <w:pStyle w:val="Header"/>
              <w:tabs>
                <w:tab w:val="clear" w:pos="4153"/>
                <w:tab w:val="clear" w:pos="8306"/>
              </w:tabs>
              <w:rPr>
                <w:rFonts w:cs="Arial"/>
                <w:szCs w:val="22"/>
              </w:rPr>
            </w:pPr>
            <w:r>
              <w:rPr>
                <w:rFonts w:cs="Arial"/>
                <w:szCs w:val="22"/>
              </w:rPr>
              <w:t>9869</w:t>
            </w:r>
          </w:p>
        </w:tc>
      </w:tr>
    </w:tbl>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r>
    </w:p>
    <w:tbl>
      <w:tblPr>
        <w:tblW w:w="10358" w:type="dxa"/>
        <w:jc w:val="left"/>
        <w:tblInd w:w="-606" w:type="dxa"/>
        <w:tblCellMar>
          <w:top w:w="0" w:type="dxa"/>
          <w:left w:w="108" w:type="dxa"/>
          <w:bottom w:w="0" w:type="dxa"/>
          <w:right w:w="108" w:type="dxa"/>
        </w:tblCellMar>
      </w:tblPr>
      <w:tblGrid>
        <w:gridCol w:w="10358"/>
      </w:tblGrid>
      <w:tr>
        <w:trPr/>
        <w:tc>
          <w:tcPr>
            <w:tcW w:w="10358" w:type="dxa"/>
            <w:tcBorders>
              <w:top w:val="single" w:sz="4" w:space="0" w:color="000000"/>
              <w:left w:val="single" w:sz="4" w:space="0" w:color="000000"/>
              <w:bottom w:val="single" w:sz="4" w:space="0" w:color="000000"/>
              <w:right w:val="single" w:sz="4" w:space="0" w:color="000000"/>
            </w:tcBorders>
            <w:shd w:fill="33CCCC" w:val="clear"/>
          </w:tcPr>
          <w:p>
            <w:pPr>
              <w:pStyle w:val="Normal"/>
              <w:rPr>
                <w:rFonts w:cs="Arial"/>
                <w:b/>
                <w:b/>
                <w:bCs/>
                <w:sz w:val="22"/>
                <w:szCs w:val="22"/>
              </w:rPr>
            </w:pPr>
            <w:r>
              <w:rPr>
                <w:rFonts w:cs="Arial"/>
                <w:b/>
                <w:bCs/>
                <w:sz w:val="22"/>
                <w:szCs w:val="22"/>
              </w:rPr>
              <w:t>Job Purpose</w:t>
            </w:r>
          </w:p>
          <w:p>
            <w:pPr>
              <w:pStyle w:val="Normal"/>
              <w:rPr>
                <w:rFonts w:cs="Arial"/>
                <w:sz w:val="22"/>
                <w:szCs w:val="22"/>
              </w:rPr>
            </w:pPr>
            <w:r>
              <w:rPr>
                <w:rFonts w:cs="Arial"/>
                <w:sz w:val="22"/>
                <w:szCs w:val="22"/>
              </w:rPr>
            </w:r>
          </w:p>
        </w:tc>
      </w:tr>
      <w:tr>
        <w:trPr/>
        <w:tc>
          <w:tcPr>
            <w:tcW w:w="10358" w:type="dxa"/>
            <w:tcBorders>
              <w:top w:val="single" w:sz="4" w:space="0" w:color="000000"/>
              <w:left w:val="single" w:sz="4" w:space="0" w:color="000000"/>
              <w:bottom w:val="single" w:sz="4" w:space="0" w:color="000000"/>
              <w:right w:val="single" w:sz="4" w:space="0" w:color="000000"/>
            </w:tcBorders>
            <w:shd w:fill="auto" w:val="clear"/>
          </w:tcPr>
          <w:p>
            <w:pPr>
              <w:pStyle w:val="Normal"/>
              <w:rPr/>
            </w:pPr>
            <w:r>
              <w:rPr>
                <w:rFonts w:cs="Arial"/>
                <w:bCs/>
                <w:sz w:val="22"/>
                <w:szCs w:val="22"/>
              </w:rPr>
              <w:t>To drive the development and implementation of robust Children’s Services strategies and plans that improve outcomes for children and young people</w:t>
            </w:r>
            <w:r>
              <w:rPr/>
              <w:t xml:space="preserve"> </w:t>
            </w:r>
            <w:r>
              <w:rPr>
                <w:rFonts w:cs="Arial"/>
                <w:bCs/>
                <w:sz w:val="22"/>
                <w:szCs w:val="22"/>
              </w:rPr>
              <w:t xml:space="preserve">as part of a continuous cycle of improvement. </w:t>
            </w:r>
          </w:p>
          <w:p>
            <w:pPr>
              <w:pStyle w:val="Normal"/>
              <w:rPr>
                <w:rFonts w:cs="Arial"/>
                <w:bCs/>
                <w:sz w:val="22"/>
                <w:szCs w:val="22"/>
              </w:rPr>
            </w:pPr>
            <w:r>
              <w:rPr>
                <w:rFonts w:cs="Arial"/>
                <w:bCs/>
                <w:sz w:val="22"/>
                <w:szCs w:val="22"/>
              </w:rPr>
            </w:r>
          </w:p>
          <w:p>
            <w:pPr>
              <w:pStyle w:val="Normal"/>
              <w:rPr/>
            </w:pPr>
            <w:r>
              <w:rPr>
                <w:rFonts w:cs="Arial"/>
                <w:bCs/>
                <w:sz w:val="22"/>
                <w:szCs w:val="22"/>
              </w:rPr>
              <w:t>T</w:t>
            </w:r>
            <w:r>
              <w:rPr>
                <w:rFonts w:cs="Arial"/>
                <w:sz w:val="22"/>
                <w:szCs w:val="22"/>
              </w:rPr>
              <w:t xml:space="preserve">o robustly track the implementation of strategies, development activity and practice standards that support improvement </w:t>
            </w:r>
            <w:r>
              <w:rPr>
                <w:rFonts w:cs="Arial"/>
                <w:bCs/>
                <w:sz w:val="22"/>
                <w:szCs w:val="22"/>
              </w:rPr>
              <w:t xml:space="preserve">across Children’s Services, </w:t>
            </w:r>
            <w:r>
              <w:rPr/>
              <w:t>including</w:t>
            </w:r>
            <w:r>
              <w:rPr>
                <w:rFonts w:cs="Arial"/>
                <w:bCs/>
                <w:sz w:val="22"/>
                <w:szCs w:val="22"/>
              </w:rPr>
              <w:t xml:space="preserve"> tracking the delivery of agreed budget reductions.</w:t>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t>To lead the co-ordination of transformation and improvement activity across Children’s Services, working with the Assistant Director of Integration.</w:t>
            </w:r>
          </w:p>
          <w:p>
            <w:pPr>
              <w:pStyle w:val="Normal"/>
              <w:rPr>
                <w:rFonts w:cs="Arial"/>
                <w:bCs/>
                <w:sz w:val="22"/>
                <w:szCs w:val="22"/>
              </w:rPr>
            </w:pPr>
            <w:r>
              <w:rPr>
                <w:rFonts w:cs="Arial"/>
                <w:bCs/>
                <w:sz w:val="22"/>
                <w:szCs w:val="22"/>
              </w:rPr>
            </w:r>
          </w:p>
          <w:p>
            <w:pPr>
              <w:pStyle w:val="Normal"/>
              <w:jc w:val="both"/>
              <w:rPr>
                <w:rFonts w:cs="Arial"/>
                <w:sz w:val="22"/>
                <w:szCs w:val="22"/>
              </w:rPr>
            </w:pPr>
            <w:r>
              <w:rPr>
                <w:rFonts w:cs="Arial"/>
                <w:sz w:val="22"/>
                <w:szCs w:val="22"/>
              </w:rPr>
              <w:t>To work closely with Senior Leaders to deliver key priorities and projects.</w:t>
            </w:r>
          </w:p>
          <w:p>
            <w:pPr>
              <w:pStyle w:val="Normal"/>
              <w:jc w:val="both"/>
              <w:rPr>
                <w:rFonts w:cs="Arial"/>
                <w:bCs/>
                <w:sz w:val="22"/>
                <w:szCs w:val="22"/>
              </w:rPr>
            </w:pPr>
            <w:r>
              <w:rPr>
                <w:rFonts w:cs="Arial"/>
                <w:bCs/>
                <w:sz w:val="22"/>
                <w:szCs w:val="22"/>
              </w:rPr>
            </w:r>
          </w:p>
        </w:tc>
      </w:tr>
      <w:tr>
        <w:trPr/>
        <w:tc>
          <w:tcPr>
            <w:tcW w:w="10358" w:type="dxa"/>
            <w:tcBorders>
              <w:top w:val="single" w:sz="4" w:space="0" w:color="000000"/>
              <w:left w:val="single" w:sz="4" w:space="0" w:color="000000"/>
              <w:bottom w:val="single" w:sz="4" w:space="0" w:color="000000"/>
              <w:right w:val="single" w:sz="4" w:space="0" w:color="000000"/>
            </w:tcBorders>
            <w:shd w:fill="33CCCC" w:val="clear"/>
          </w:tcPr>
          <w:p>
            <w:pPr>
              <w:pStyle w:val="Normal"/>
              <w:rPr>
                <w:rFonts w:cs="Arial"/>
                <w:b/>
                <w:b/>
                <w:bCs/>
                <w:sz w:val="22"/>
                <w:szCs w:val="22"/>
              </w:rPr>
            </w:pPr>
            <w:r>
              <w:rPr>
                <w:rFonts w:cs="Arial"/>
                <w:b/>
                <w:bCs/>
                <w:sz w:val="22"/>
                <w:szCs w:val="22"/>
              </w:rPr>
              <w:t>Key Tasks</w:t>
            </w:r>
          </w:p>
          <w:p>
            <w:pPr>
              <w:pStyle w:val="Normal"/>
              <w:rPr>
                <w:rFonts w:cs="Arial"/>
                <w:sz w:val="22"/>
                <w:szCs w:val="22"/>
              </w:rPr>
            </w:pPr>
            <w:r>
              <w:rPr>
                <w:rFonts w:cs="Arial"/>
                <w:sz w:val="22"/>
                <w:szCs w:val="22"/>
              </w:rPr>
            </w:r>
          </w:p>
        </w:tc>
      </w:tr>
      <w:tr>
        <w:trPr/>
        <w:tc>
          <w:tcPr>
            <w:tcW w:w="10358" w:type="dxa"/>
            <w:tcBorders>
              <w:top w:val="single" w:sz="4" w:space="0" w:color="000000"/>
              <w:left w:val="single" w:sz="4" w:space="0" w:color="000000"/>
              <w:bottom w:val="single" w:sz="4" w:space="0" w:color="000000"/>
              <w:right w:val="single" w:sz="4" w:space="0" w:color="000000"/>
            </w:tcBorders>
            <w:shd w:fill="auto" w:val="clear"/>
          </w:tcPr>
          <w:p>
            <w:pPr>
              <w:pStyle w:val="Normal"/>
              <w:numPr>
                <w:ilvl w:val="0"/>
                <w:numId w:val="2"/>
              </w:numPr>
              <w:rPr>
                <w:rFonts w:cs="Arial"/>
                <w:color w:val="000000"/>
                <w:sz w:val="22"/>
                <w:szCs w:val="22"/>
                <w:lang w:eastAsia="en-GB"/>
              </w:rPr>
            </w:pPr>
            <w:r>
              <w:rPr>
                <w:rFonts w:cs="Arial"/>
                <w:color w:val="000000"/>
                <w:sz w:val="22"/>
                <w:szCs w:val="22"/>
                <w:lang w:eastAsia="en-GB"/>
              </w:rPr>
              <w:t>To build and maintain a strong understanding of corporate and service priorities and, challenge to help shape the overall approach to Children’s Services change and improvement through the provision of effective intelligence, understanding of best practice and an in depth understanding of what good looks like for Oldham.</w:t>
            </w:r>
          </w:p>
          <w:p>
            <w:pPr>
              <w:pStyle w:val="Normal"/>
              <w:ind w:left="720" w:right="0" w:hanging="0"/>
              <w:rPr>
                <w:rFonts w:cs="Arial"/>
                <w:color w:val="000000"/>
                <w:sz w:val="22"/>
                <w:szCs w:val="22"/>
                <w:lang w:eastAsia="en-GB"/>
              </w:rPr>
            </w:pPr>
            <w:r>
              <w:rPr>
                <w:rFonts w:cs="Arial"/>
                <w:color w:val="000000"/>
                <w:sz w:val="22"/>
                <w:szCs w:val="22"/>
                <w:lang w:eastAsia="en-GB"/>
              </w:rPr>
            </w:r>
          </w:p>
          <w:p>
            <w:pPr>
              <w:pStyle w:val="Normal"/>
              <w:numPr>
                <w:ilvl w:val="0"/>
                <w:numId w:val="2"/>
              </w:numPr>
              <w:rPr>
                <w:rFonts w:cs="Arial"/>
                <w:color w:val="000000"/>
                <w:sz w:val="22"/>
                <w:szCs w:val="22"/>
                <w:lang w:eastAsia="en-GB"/>
              </w:rPr>
            </w:pPr>
            <w:r>
              <w:rPr>
                <w:rFonts w:cs="Arial"/>
                <w:color w:val="000000"/>
                <w:sz w:val="22"/>
                <w:szCs w:val="22"/>
                <w:lang w:eastAsia="en-GB"/>
              </w:rPr>
              <w:t>Manage the design, implementation and review of outcome-based strategic improvement frameworks for Children’s Social Care and Early Help Services and SEND Services that reflects the needs and priorities of the organisation and the Transformation Programme.</w:t>
            </w:r>
          </w:p>
          <w:p>
            <w:pPr>
              <w:pStyle w:val="Normal"/>
              <w:rPr>
                <w:rFonts w:cs="Arial"/>
                <w:color w:val="000000"/>
                <w:sz w:val="22"/>
                <w:szCs w:val="22"/>
                <w:lang w:eastAsia="en-GB"/>
              </w:rPr>
            </w:pPr>
            <w:r>
              <w:rPr>
                <w:rFonts w:cs="Arial"/>
                <w:color w:val="000000"/>
                <w:sz w:val="22"/>
                <w:szCs w:val="22"/>
                <w:lang w:eastAsia="en-GB"/>
              </w:rPr>
            </w:r>
          </w:p>
          <w:p>
            <w:pPr>
              <w:pStyle w:val="Normal"/>
              <w:numPr>
                <w:ilvl w:val="0"/>
                <w:numId w:val="2"/>
              </w:numPr>
              <w:rPr>
                <w:rFonts w:cs="Arial"/>
                <w:color w:val="000000"/>
                <w:sz w:val="22"/>
                <w:szCs w:val="22"/>
                <w:lang w:eastAsia="en-GB"/>
              </w:rPr>
            </w:pPr>
            <w:r>
              <w:rPr>
                <w:rFonts w:cs="Arial"/>
                <w:color w:val="000000"/>
                <w:sz w:val="22"/>
                <w:szCs w:val="22"/>
                <w:lang w:eastAsia="en-GB"/>
              </w:rPr>
              <w:t>To programme manage the SEND and Inclusion improvement programme, leading the co-ordination of the governance arrangements, tracking and evidencing the delivery of the Priority Action Plan, developing and maintaining a communication plan, project plans and RAID logs across the programme workstreams, whilst ensuring compliance with relevant legislative requirements</w:t>
            </w:r>
          </w:p>
          <w:p>
            <w:pPr>
              <w:pStyle w:val="Normal"/>
              <w:ind w:left="360" w:right="0" w:hanging="0"/>
              <w:rPr>
                <w:rFonts w:eastAsia="Arial" w:cs="Arial"/>
                <w:color w:val="000000"/>
                <w:sz w:val="22"/>
                <w:szCs w:val="22"/>
                <w:lang w:eastAsia="en-GB"/>
              </w:rPr>
            </w:pPr>
            <w:r>
              <w:rPr>
                <w:rFonts w:eastAsia="Arial" w:cs="Arial"/>
                <w:color w:val="000000"/>
                <w:sz w:val="22"/>
                <w:szCs w:val="22"/>
                <w:lang w:eastAsia="en-GB"/>
              </w:rPr>
              <w:t xml:space="preserve"> </w:t>
            </w:r>
          </w:p>
          <w:p>
            <w:pPr>
              <w:pStyle w:val="Normal"/>
              <w:numPr>
                <w:ilvl w:val="0"/>
                <w:numId w:val="2"/>
              </w:numPr>
              <w:rPr>
                <w:rFonts w:cs="Arial"/>
                <w:color w:val="000000"/>
                <w:sz w:val="22"/>
                <w:szCs w:val="22"/>
                <w:lang w:eastAsia="en-GB"/>
              </w:rPr>
            </w:pPr>
            <w:r>
              <w:rPr>
                <w:rFonts w:cs="Arial"/>
                <w:color w:val="000000"/>
                <w:sz w:val="22"/>
                <w:szCs w:val="22"/>
                <w:lang w:eastAsia="en-GB"/>
              </w:rPr>
              <w:t>Develop, manage and deliver a variety of high quality, focussed improvement reports to inform decision-making. These reports need to be based on real time information and reflect a position which is understood and owned by the services affected.</w:t>
            </w:r>
          </w:p>
          <w:p>
            <w:pPr>
              <w:pStyle w:val="Normal"/>
              <w:rPr>
                <w:rFonts w:cs="Arial"/>
                <w:color w:val="000000"/>
                <w:sz w:val="22"/>
                <w:szCs w:val="22"/>
                <w:lang w:eastAsia="en-GB"/>
              </w:rPr>
            </w:pPr>
            <w:r>
              <w:rPr>
                <w:rFonts w:cs="Arial"/>
                <w:color w:val="000000"/>
                <w:sz w:val="22"/>
                <w:szCs w:val="22"/>
                <w:lang w:eastAsia="en-GB"/>
              </w:rPr>
            </w:r>
          </w:p>
          <w:p>
            <w:pPr>
              <w:pStyle w:val="Normal"/>
              <w:numPr>
                <w:ilvl w:val="0"/>
                <w:numId w:val="2"/>
              </w:numPr>
              <w:rPr>
                <w:rFonts w:cs="Arial"/>
                <w:color w:val="000000"/>
                <w:sz w:val="22"/>
                <w:szCs w:val="22"/>
                <w:lang w:eastAsia="en-GB"/>
              </w:rPr>
            </w:pPr>
            <w:r>
              <w:rPr>
                <w:rFonts w:cs="Arial"/>
                <w:color w:val="000000"/>
                <w:sz w:val="22"/>
                <w:szCs w:val="22"/>
                <w:lang w:eastAsia="en-GB"/>
              </w:rPr>
              <w:t xml:space="preserve">Work with senior colleagues across the Council and Oldham partnership to provide effective, independent challenge, which is underpinned by robust evidence and rooted in a genuine understanding of business priorities and challenges and to ensure a collaborative approach and joint commitment to improvement in outcomes and reduced cost. </w:t>
            </w:r>
          </w:p>
          <w:p>
            <w:pPr>
              <w:pStyle w:val="Normal"/>
              <w:ind w:left="720" w:right="0" w:hanging="0"/>
              <w:rPr>
                <w:rFonts w:cs="Arial"/>
                <w:color w:val="000000"/>
                <w:sz w:val="22"/>
                <w:szCs w:val="22"/>
                <w:lang w:eastAsia="en-GB"/>
              </w:rPr>
            </w:pPr>
            <w:r>
              <w:rPr>
                <w:rFonts w:cs="Arial"/>
                <w:color w:val="000000"/>
                <w:sz w:val="22"/>
                <w:szCs w:val="22"/>
                <w:lang w:eastAsia="en-GB"/>
              </w:rPr>
            </w:r>
          </w:p>
          <w:p>
            <w:pPr>
              <w:pStyle w:val="Normal"/>
              <w:numPr>
                <w:ilvl w:val="0"/>
                <w:numId w:val="2"/>
              </w:numPr>
              <w:rPr>
                <w:rFonts w:cs="Arial"/>
                <w:color w:val="000000"/>
                <w:sz w:val="22"/>
                <w:szCs w:val="22"/>
                <w:lang w:eastAsia="en-GB"/>
              </w:rPr>
            </w:pPr>
            <w:r>
              <w:rPr>
                <w:rFonts w:cs="Arial"/>
                <w:color w:val="000000"/>
                <w:sz w:val="22"/>
                <w:szCs w:val="22"/>
                <w:lang w:eastAsia="en-GB"/>
              </w:rPr>
              <w:t>Advise and support members, senior officers and a wide range of stakeholders (internal and external) in using performance data and quality assurance to improve outcomes and increase effectiveness, understanding the difference between hard and soft data and using both appropriately.</w:t>
            </w:r>
          </w:p>
          <w:p>
            <w:pPr>
              <w:pStyle w:val="Normal"/>
              <w:rPr>
                <w:rFonts w:cs="Arial"/>
                <w:color w:val="000000"/>
                <w:sz w:val="22"/>
                <w:szCs w:val="22"/>
                <w:lang w:eastAsia="en-GB"/>
              </w:rPr>
            </w:pPr>
            <w:r>
              <w:rPr>
                <w:rFonts w:cs="Arial"/>
                <w:color w:val="000000"/>
                <w:sz w:val="22"/>
                <w:szCs w:val="22"/>
                <w:lang w:eastAsia="en-GB"/>
              </w:rPr>
            </w:r>
          </w:p>
          <w:p>
            <w:pPr>
              <w:pStyle w:val="Normal"/>
              <w:numPr>
                <w:ilvl w:val="0"/>
                <w:numId w:val="2"/>
              </w:numPr>
              <w:rPr>
                <w:rFonts w:cs="Arial"/>
                <w:sz w:val="22"/>
                <w:szCs w:val="22"/>
              </w:rPr>
            </w:pPr>
            <w:r>
              <w:rPr>
                <w:rFonts w:cs="Arial"/>
                <w:sz w:val="22"/>
                <w:szCs w:val="22"/>
              </w:rPr>
              <w:t>To drive the Children’s Services approach to target-setting and delivery planning, including the monitoring of progress against planned actions and the agreement of interventions where needed.</w:t>
            </w:r>
          </w:p>
          <w:p>
            <w:pPr>
              <w:pStyle w:val="Normal"/>
              <w:ind w:left="720" w:right="0" w:hanging="0"/>
              <w:rPr>
                <w:rFonts w:cs="Arial"/>
                <w:sz w:val="22"/>
                <w:szCs w:val="22"/>
              </w:rPr>
            </w:pPr>
            <w:r>
              <w:rPr>
                <w:rFonts w:cs="Arial"/>
                <w:sz w:val="22"/>
                <w:szCs w:val="22"/>
              </w:rPr>
            </w:r>
          </w:p>
          <w:p>
            <w:pPr>
              <w:pStyle w:val="Normal"/>
              <w:numPr>
                <w:ilvl w:val="0"/>
                <w:numId w:val="2"/>
              </w:numPr>
              <w:rPr>
                <w:rFonts w:cs="Arial"/>
                <w:sz w:val="22"/>
                <w:szCs w:val="22"/>
              </w:rPr>
            </w:pPr>
            <w:r>
              <w:rPr>
                <w:rFonts w:cs="Arial"/>
                <w:sz w:val="22"/>
                <w:szCs w:val="22"/>
              </w:rPr>
              <w:t>Identify, research and share relevant practice from other organisations to help inform Oldham’s approach to service development and delivery.</w:t>
            </w:r>
          </w:p>
          <w:p>
            <w:pPr>
              <w:pStyle w:val="Normal"/>
              <w:ind w:left="720" w:right="0" w:hanging="0"/>
              <w:rPr>
                <w:rFonts w:cs="Arial"/>
                <w:sz w:val="22"/>
                <w:szCs w:val="22"/>
              </w:rPr>
            </w:pPr>
            <w:r>
              <w:rPr>
                <w:rFonts w:cs="Arial"/>
                <w:sz w:val="22"/>
                <w:szCs w:val="22"/>
              </w:rPr>
            </w:r>
          </w:p>
          <w:p>
            <w:pPr>
              <w:pStyle w:val="Normal"/>
              <w:numPr>
                <w:ilvl w:val="0"/>
                <w:numId w:val="2"/>
              </w:numPr>
              <w:rPr>
                <w:rFonts w:cs="Arial"/>
                <w:sz w:val="22"/>
                <w:szCs w:val="22"/>
              </w:rPr>
            </w:pPr>
            <w:r>
              <w:rPr>
                <w:rFonts w:cs="Arial"/>
                <w:sz w:val="22"/>
                <w:szCs w:val="22"/>
              </w:rPr>
              <w:t>To ensure Oldham’s policies and standards are maintained and up to date, and new and emerging initiatives and changes affecting Children’s Services are appropriately incorporated into improvement plans.</w:t>
            </w:r>
          </w:p>
          <w:p>
            <w:pPr>
              <w:pStyle w:val="Normal"/>
              <w:rPr>
                <w:rFonts w:cs="Arial"/>
                <w:sz w:val="22"/>
                <w:szCs w:val="22"/>
              </w:rPr>
            </w:pPr>
            <w:r>
              <w:rPr>
                <w:rFonts w:cs="Arial"/>
                <w:sz w:val="22"/>
                <w:szCs w:val="22"/>
              </w:rPr>
            </w:r>
          </w:p>
          <w:p>
            <w:pPr>
              <w:pStyle w:val="Normal"/>
              <w:numPr>
                <w:ilvl w:val="0"/>
                <w:numId w:val="2"/>
              </w:numPr>
              <w:rPr>
                <w:rFonts w:cs="Arial"/>
                <w:sz w:val="22"/>
                <w:szCs w:val="22"/>
              </w:rPr>
            </w:pPr>
            <w:r>
              <w:rPr>
                <w:rFonts w:cs="Arial"/>
                <w:sz w:val="22"/>
                <w:szCs w:val="22"/>
              </w:rPr>
              <w:t>Co-design strategies, plans and policy with services using appropriate quality assurance and review mechanisms, making a key contribution in helping to re-shape and re-model service delivery and local policy in line with national guidance.</w:t>
            </w:r>
          </w:p>
          <w:p>
            <w:pPr>
              <w:pStyle w:val="Normal"/>
              <w:ind w:left="720" w:right="0" w:hanging="0"/>
              <w:rPr>
                <w:rFonts w:cs="Arial"/>
                <w:sz w:val="22"/>
                <w:szCs w:val="22"/>
              </w:rPr>
            </w:pPr>
            <w:r>
              <w:rPr>
                <w:rFonts w:cs="Arial"/>
                <w:sz w:val="22"/>
                <w:szCs w:val="22"/>
              </w:rPr>
            </w:r>
          </w:p>
          <w:p>
            <w:pPr>
              <w:pStyle w:val="Normal"/>
              <w:numPr>
                <w:ilvl w:val="0"/>
                <w:numId w:val="2"/>
              </w:numPr>
              <w:rPr>
                <w:rFonts w:cs="Arial"/>
                <w:color w:val="000000"/>
                <w:sz w:val="22"/>
                <w:szCs w:val="22"/>
                <w:lang w:eastAsia="en-GB"/>
              </w:rPr>
            </w:pPr>
            <w:r>
              <w:rPr>
                <w:rFonts w:cs="Arial"/>
                <w:color w:val="000000"/>
                <w:sz w:val="22"/>
                <w:szCs w:val="22"/>
                <w:lang w:eastAsia="en-GB"/>
              </w:rPr>
              <w:t xml:space="preserve">Lead the effective reporting of Children’s Services improvement to local people, central government, inspectorates and other stakeholders. </w:t>
            </w:r>
          </w:p>
          <w:p>
            <w:pPr>
              <w:pStyle w:val="Normal"/>
              <w:rPr>
                <w:rFonts w:cs="Arial"/>
                <w:color w:val="000000"/>
                <w:sz w:val="22"/>
                <w:szCs w:val="22"/>
                <w:lang w:eastAsia="en-GB"/>
              </w:rPr>
            </w:pPr>
            <w:r>
              <w:rPr>
                <w:rFonts w:cs="Arial"/>
                <w:color w:val="000000"/>
                <w:sz w:val="22"/>
                <w:szCs w:val="22"/>
                <w:lang w:eastAsia="en-GB"/>
              </w:rPr>
            </w:r>
          </w:p>
          <w:p>
            <w:pPr>
              <w:pStyle w:val="Normal"/>
              <w:numPr>
                <w:ilvl w:val="0"/>
                <w:numId w:val="2"/>
              </w:numPr>
              <w:rPr>
                <w:rFonts w:cs="Arial"/>
                <w:color w:val="000000"/>
                <w:sz w:val="22"/>
                <w:szCs w:val="22"/>
                <w:lang w:eastAsia="en-GB"/>
              </w:rPr>
            </w:pPr>
            <w:r>
              <w:rPr>
                <w:rFonts w:cs="Arial"/>
                <w:color w:val="000000"/>
                <w:sz w:val="22"/>
                <w:szCs w:val="22"/>
                <w:lang w:eastAsia="en-GB"/>
              </w:rPr>
              <w:t>Lead the process and support the production of the Children’s Services business plans to improve service delivery, quality and value for money. Working with colleagues who are developing the organisation business plans, corporate plan and Oldham plan. .</w:t>
            </w:r>
          </w:p>
          <w:p>
            <w:pPr>
              <w:pStyle w:val="Normal"/>
              <w:ind w:left="720" w:right="0" w:hanging="0"/>
              <w:rPr>
                <w:rFonts w:cs="Arial"/>
                <w:color w:val="000000"/>
                <w:sz w:val="22"/>
                <w:szCs w:val="22"/>
                <w:lang w:eastAsia="en-GB"/>
              </w:rPr>
            </w:pPr>
            <w:r>
              <w:rPr>
                <w:rFonts w:cs="Arial"/>
                <w:color w:val="000000"/>
                <w:sz w:val="22"/>
                <w:szCs w:val="22"/>
                <w:lang w:eastAsia="en-GB"/>
              </w:rPr>
            </w:r>
          </w:p>
          <w:p>
            <w:pPr>
              <w:pStyle w:val="Normal"/>
              <w:numPr>
                <w:ilvl w:val="0"/>
                <w:numId w:val="2"/>
              </w:numPr>
              <w:rPr>
                <w:rFonts w:cs="Arial"/>
                <w:color w:val="000000"/>
                <w:sz w:val="22"/>
                <w:szCs w:val="22"/>
                <w:lang w:eastAsia="en-GB"/>
              </w:rPr>
            </w:pPr>
            <w:r>
              <w:rPr>
                <w:rFonts w:cs="Arial"/>
                <w:color w:val="000000"/>
                <w:sz w:val="22"/>
                <w:szCs w:val="22"/>
                <w:lang w:eastAsia="en-GB"/>
              </w:rPr>
              <w:t>Co-ordinate the preparation delivery and post-inspection planning of regulatory inspections in accordance with the ILACS, JTAI and Area SEND inspection frameworks.</w:t>
            </w:r>
          </w:p>
          <w:p>
            <w:pPr>
              <w:pStyle w:val="ListParagraph"/>
              <w:rPr>
                <w:rFonts w:cs="Arial"/>
                <w:color w:val="000000"/>
                <w:lang w:eastAsia="en-GB"/>
              </w:rPr>
            </w:pPr>
            <w:r>
              <w:rPr>
                <w:rFonts w:cs="Arial"/>
                <w:color w:val="000000"/>
                <w:lang w:eastAsia="en-GB"/>
              </w:rPr>
            </w:r>
          </w:p>
          <w:p>
            <w:pPr>
              <w:pStyle w:val="ListParagraph"/>
              <w:numPr>
                <w:ilvl w:val="0"/>
                <w:numId w:val="2"/>
              </w:numPr>
              <w:rPr>
                <w:rFonts w:ascii="Arial" w:hAnsi="Arial" w:eastAsia="Times New Roman" w:cs="Arial"/>
                <w:color w:val="000000"/>
                <w:lang w:eastAsia="en-GB"/>
              </w:rPr>
            </w:pPr>
            <w:r>
              <w:rPr>
                <w:rFonts w:eastAsia="Times New Roman" w:cs="Arial" w:ascii="Arial" w:hAnsi="Arial"/>
                <w:color w:val="000000"/>
                <w:lang w:eastAsia="en-GB"/>
              </w:rPr>
              <w:t>Manage the production of the Self Evaluation Form (SEF),  the preparation for annual engagement meetings with Ofsted and the regional peer challenge process.</w:t>
            </w:r>
          </w:p>
          <w:p>
            <w:pPr>
              <w:pStyle w:val="ListParagraph"/>
              <w:rPr>
                <w:rFonts w:ascii="Arial" w:hAnsi="Arial" w:eastAsia="Times New Roman" w:cs="Arial"/>
                <w:color w:val="000000"/>
                <w:lang w:eastAsia="en-GB"/>
              </w:rPr>
            </w:pPr>
            <w:r>
              <w:rPr>
                <w:rFonts w:eastAsia="Times New Roman" w:cs="Arial" w:ascii="Arial" w:hAnsi="Arial"/>
                <w:color w:val="000000"/>
                <w:lang w:eastAsia="en-GB"/>
              </w:rPr>
            </w:r>
          </w:p>
          <w:p>
            <w:pPr>
              <w:pStyle w:val="ListParagraph"/>
              <w:numPr>
                <w:ilvl w:val="0"/>
                <w:numId w:val="2"/>
              </w:numPr>
              <w:rPr>
                <w:rFonts w:ascii="Arial" w:hAnsi="Arial" w:eastAsia="Times New Roman" w:cs="Arial"/>
                <w:color w:val="000000"/>
                <w:lang w:eastAsia="en-GB"/>
              </w:rPr>
            </w:pPr>
            <w:r>
              <w:rPr>
                <w:rFonts w:eastAsia="Times New Roman" w:cs="Arial" w:ascii="Arial" w:hAnsi="Arial"/>
                <w:color w:val="000000"/>
                <w:lang w:eastAsia="en-GB"/>
              </w:rPr>
              <w:t>Successful resource, financial and line management, ensuring the allocated service area budget is balanced and does not overspend.</w:t>
            </w:r>
          </w:p>
          <w:p>
            <w:pPr>
              <w:pStyle w:val="ListParagraph"/>
              <w:rPr>
                <w:rFonts w:ascii="Arial" w:hAnsi="Arial" w:eastAsia="Times New Roman" w:cs="Arial"/>
                <w:color w:val="000000"/>
                <w:lang w:eastAsia="en-GB"/>
              </w:rPr>
            </w:pPr>
            <w:r>
              <w:rPr>
                <w:rFonts w:eastAsia="Times New Roman" w:cs="Arial" w:ascii="Arial" w:hAnsi="Arial"/>
                <w:color w:val="000000"/>
                <w:lang w:eastAsia="en-GB"/>
              </w:rPr>
            </w:r>
          </w:p>
          <w:p>
            <w:pPr>
              <w:pStyle w:val="ListParagraph"/>
              <w:numPr>
                <w:ilvl w:val="0"/>
                <w:numId w:val="2"/>
              </w:numPr>
              <w:rPr>
                <w:rFonts w:ascii="Arial" w:hAnsi="Arial" w:eastAsia="Times New Roman" w:cs="Arial"/>
                <w:color w:val="000000"/>
                <w:lang w:eastAsia="en-GB"/>
              </w:rPr>
            </w:pPr>
            <w:r>
              <w:rPr>
                <w:rFonts w:eastAsia="Times New Roman" w:cs="Arial" w:ascii="Arial" w:hAnsi="Arial"/>
                <w:color w:val="000000"/>
                <w:lang w:eastAsia="en-GB"/>
              </w:rPr>
              <w:t>Supporting the delivery of key statutory and regulatory functions of Child in Need, Child Protection, Children Looked After and SEND services.</w:t>
            </w:r>
          </w:p>
          <w:p>
            <w:pPr>
              <w:pStyle w:val="ListParagraph"/>
              <w:rPr>
                <w:rFonts w:ascii="Arial" w:hAnsi="Arial" w:eastAsia="Times New Roman" w:cs="Arial"/>
                <w:color w:val="000000"/>
                <w:lang w:eastAsia="en-GB"/>
              </w:rPr>
            </w:pPr>
            <w:r>
              <w:rPr>
                <w:rFonts w:eastAsia="Times New Roman" w:cs="Arial" w:ascii="Arial" w:hAnsi="Arial"/>
                <w:color w:val="000000"/>
                <w:lang w:eastAsia="en-GB"/>
              </w:rPr>
            </w:r>
          </w:p>
          <w:p>
            <w:pPr>
              <w:pStyle w:val="ListParagraph"/>
              <w:numPr>
                <w:ilvl w:val="0"/>
                <w:numId w:val="2"/>
              </w:numPr>
              <w:spacing w:before="0" w:after="200"/>
              <w:contextualSpacing/>
              <w:rPr>
                <w:rFonts w:ascii="Arial" w:hAnsi="Arial" w:eastAsia="Times New Roman" w:cs="Arial"/>
                <w:color w:val="000000"/>
                <w:lang w:eastAsia="en-GB"/>
              </w:rPr>
            </w:pPr>
            <w:r>
              <w:rPr>
                <w:rFonts w:eastAsia="Times New Roman" w:cs="Arial" w:ascii="Arial" w:hAnsi="Arial"/>
                <w:color w:val="000000"/>
                <w:lang w:eastAsia="en-GB"/>
              </w:rPr>
              <w:t>To establish and maintain effective relationships within the service(s) and across the local area partnership, including effective consultation, negotiation and conflict resolution.</w:t>
            </w:r>
          </w:p>
        </w:tc>
      </w:tr>
    </w:tbl>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r>
    </w:p>
    <w:tbl>
      <w:tblPr>
        <w:tblW w:w="10357" w:type="dxa"/>
        <w:jc w:val="left"/>
        <w:tblInd w:w="-577" w:type="dxa"/>
        <w:tblCellMar>
          <w:top w:w="0" w:type="dxa"/>
          <w:left w:w="108" w:type="dxa"/>
          <w:bottom w:w="0" w:type="dxa"/>
          <w:right w:w="108" w:type="dxa"/>
        </w:tblCellMar>
      </w:tblPr>
      <w:tblGrid>
        <w:gridCol w:w="400"/>
        <w:gridCol w:w="9957"/>
      </w:tblGrid>
      <w:tr>
        <w:trPr/>
        <w:tc>
          <w:tcPr>
            <w:tcW w:w="10357" w:type="dxa"/>
            <w:gridSpan w:val="2"/>
            <w:tcBorders>
              <w:top w:val="single" w:sz="4" w:space="0" w:color="000000"/>
              <w:left w:val="single" w:sz="4" w:space="0" w:color="000000"/>
              <w:bottom w:val="single" w:sz="4" w:space="0" w:color="000000"/>
              <w:right w:val="single" w:sz="4" w:space="0" w:color="000000"/>
            </w:tcBorders>
            <w:shd w:fill="00B3BE" w:val="clear"/>
          </w:tcPr>
          <w:p>
            <w:pPr>
              <w:pStyle w:val="Normal"/>
              <w:jc w:val="both"/>
              <w:rPr>
                <w:rFonts w:cs="Arial"/>
                <w:b/>
                <w:b/>
                <w:sz w:val="22"/>
                <w:szCs w:val="22"/>
              </w:rPr>
            </w:pPr>
            <w:r>
              <w:rPr>
                <w:rFonts w:cs="Arial"/>
                <w:b/>
                <w:sz w:val="22"/>
                <w:szCs w:val="22"/>
              </w:rPr>
              <w:t>Standard Duties:</w:t>
            </w:r>
          </w:p>
          <w:p>
            <w:pPr>
              <w:pStyle w:val="Normal"/>
              <w:jc w:val="both"/>
              <w:rPr>
                <w:rFonts w:cs="Arial"/>
                <w:sz w:val="22"/>
                <w:szCs w:val="22"/>
              </w:rPr>
            </w:pPr>
            <w:r>
              <w:rPr>
                <w:rFonts w:cs="Arial"/>
                <w:sz w:val="22"/>
                <w:szCs w:val="22"/>
              </w:rPr>
            </w:r>
          </w:p>
        </w:tc>
      </w:tr>
      <w:tr>
        <w:trPr>
          <w:trHeight w:val="255" w:hRule="atLeast"/>
        </w:trPr>
        <w:tc>
          <w:tcPr>
            <w:tcW w:w="400" w:type="dxa"/>
            <w:tcBorders>
              <w:top w:val="single" w:sz="4" w:space="0" w:color="000000"/>
              <w:left w:val="single" w:sz="4" w:space="0" w:color="000000"/>
              <w:bottom w:val="single" w:sz="4" w:space="0" w:color="000000"/>
            </w:tcBorders>
            <w:shd w:fill="auto" w:val="clear"/>
          </w:tcPr>
          <w:p>
            <w:pPr>
              <w:pStyle w:val="Normal"/>
              <w:snapToGrid w:val="false"/>
              <w:jc w:val="both"/>
              <w:rPr>
                <w:rFonts w:cs="Arial"/>
                <w:sz w:val="22"/>
                <w:szCs w:val="22"/>
              </w:rPr>
            </w:pPr>
            <w:r>
              <w:rPr>
                <w:rFonts w:cs="Arial"/>
                <w:sz w:val="22"/>
                <w:szCs w:val="22"/>
              </w:rPr>
            </w:r>
          </w:p>
          <w:p>
            <w:pPr>
              <w:pStyle w:val="Normal"/>
              <w:jc w:val="both"/>
              <w:rPr>
                <w:rFonts w:cs="Arial"/>
                <w:sz w:val="22"/>
                <w:szCs w:val="22"/>
              </w:rPr>
            </w:pPr>
            <w:r>
              <w:rPr>
                <w:rFonts w:cs="Arial"/>
                <w:sz w:val="22"/>
                <w:szCs w:val="22"/>
              </w:rPr>
              <w:t>1.</w:t>
            </w:r>
          </w:p>
        </w:tc>
        <w:tc>
          <w:tcPr>
            <w:tcW w:w="995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jc w:val="both"/>
              <w:rPr>
                <w:rFonts w:cs="Arial"/>
                <w:sz w:val="22"/>
                <w:szCs w:val="22"/>
              </w:rPr>
            </w:pPr>
            <w:r>
              <w:rPr>
                <w:rFonts w:cs="Arial"/>
                <w:sz w:val="22"/>
                <w:szCs w:val="22"/>
              </w:rPr>
            </w:r>
          </w:p>
          <w:p>
            <w:pPr>
              <w:pStyle w:val="Normal"/>
              <w:jc w:val="both"/>
              <w:rPr>
                <w:rFonts w:cs="Arial"/>
                <w:sz w:val="22"/>
                <w:szCs w:val="22"/>
              </w:rPr>
            </w:pPr>
            <w:r>
              <w:rPr>
                <w:rFonts w:cs="Arial"/>
                <w:sz w:val="22"/>
                <w:szCs w:val="22"/>
              </w:rPr>
              <w:t>To actively promote Equality, Diversity and Inclusion in the workplace and in service delivery.</w:t>
            </w:r>
          </w:p>
          <w:p>
            <w:pPr>
              <w:pStyle w:val="Normal"/>
              <w:jc w:val="both"/>
              <w:rPr>
                <w:rFonts w:cs="Arial"/>
                <w:sz w:val="22"/>
                <w:szCs w:val="22"/>
              </w:rPr>
            </w:pPr>
            <w:r>
              <w:rPr>
                <w:rFonts w:cs="Arial"/>
                <w:sz w:val="22"/>
                <w:szCs w:val="22"/>
              </w:rPr>
            </w:r>
          </w:p>
        </w:tc>
      </w:tr>
      <w:tr>
        <w:trPr>
          <w:trHeight w:val="255" w:hRule="atLeast"/>
        </w:trPr>
        <w:tc>
          <w:tcPr>
            <w:tcW w:w="400" w:type="dxa"/>
            <w:tcBorders>
              <w:top w:val="single" w:sz="4" w:space="0" w:color="000000"/>
              <w:left w:val="single" w:sz="4" w:space="0" w:color="000000"/>
              <w:bottom w:val="single" w:sz="4" w:space="0" w:color="000000"/>
            </w:tcBorders>
            <w:shd w:fill="auto" w:val="clear"/>
          </w:tcPr>
          <w:p>
            <w:pPr>
              <w:pStyle w:val="Normal"/>
              <w:jc w:val="both"/>
              <w:rPr>
                <w:rFonts w:cs="Arial"/>
                <w:sz w:val="22"/>
                <w:szCs w:val="22"/>
              </w:rPr>
            </w:pPr>
            <w:r>
              <w:rPr>
                <w:rFonts w:cs="Arial"/>
                <w:sz w:val="22"/>
                <w:szCs w:val="22"/>
              </w:rPr>
              <w:t>2.</w:t>
            </w:r>
          </w:p>
        </w:tc>
        <w:tc>
          <w:tcPr>
            <w:tcW w:w="9957" w:type="dxa"/>
            <w:tcBorders>
              <w:top w:val="single" w:sz="4" w:space="0" w:color="000000"/>
              <w:left w:val="single" w:sz="4" w:space="0" w:color="000000"/>
              <w:bottom w:val="single" w:sz="4" w:space="0" w:color="000000"/>
              <w:right w:val="single" w:sz="4" w:space="0" w:color="000000"/>
            </w:tcBorders>
            <w:shd w:fill="auto" w:val="clear"/>
          </w:tcPr>
          <w:p>
            <w:pPr>
              <w:pStyle w:val="Normal"/>
              <w:jc w:val="both"/>
              <w:rPr>
                <w:rFonts w:cs="Arial"/>
                <w:sz w:val="22"/>
                <w:szCs w:val="22"/>
              </w:rPr>
            </w:pPr>
            <w:r>
              <w:rPr>
                <w:rFonts w:cs="Arial"/>
                <w:sz w:val="22"/>
                <w:szCs w:val="22"/>
              </w:rPr>
              <w:t>To uphold and implement policies and procedures of the Council, including customer care, data protection, finance, ICT, safeguarding and health &amp; safety policies.</w:t>
            </w:r>
          </w:p>
          <w:p>
            <w:pPr>
              <w:pStyle w:val="Normal"/>
              <w:jc w:val="both"/>
              <w:rPr>
                <w:rFonts w:cs="Arial"/>
                <w:sz w:val="22"/>
                <w:szCs w:val="22"/>
              </w:rPr>
            </w:pPr>
            <w:r>
              <w:rPr>
                <w:rFonts w:cs="Arial"/>
                <w:sz w:val="22"/>
                <w:szCs w:val="22"/>
              </w:rPr>
            </w:r>
          </w:p>
        </w:tc>
      </w:tr>
      <w:tr>
        <w:trPr>
          <w:trHeight w:val="255" w:hRule="atLeast"/>
        </w:trPr>
        <w:tc>
          <w:tcPr>
            <w:tcW w:w="400" w:type="dxa"/>
            <w:tcBorders>
              <w:top w:val="single" w:sz="4" w:space="0" w:color="000000"/>
              <w:left w:val="single" w:sz="4" w:space="0" w:color="000000"/>
              <w:bottom w:val="single" w:sz="4" w:space="0" w:color="000000"/>
            </w:tcBorders>
            <w:shd w:fill="auto" w:val="clear"/>
          </w:tcPr>
          <w:p>
            <w:pPr>
              <w:pStyle w:val="Normal"/>
              <w:jc w:val="both"/>
              <w:rPr>
                <w:rFonts w:cs="Arial"/>
                <w:sz w:val="22"/>
                <w:szCs w:val="22"/>
              </w:rPr>
            </w:pPr>
            <w:r>
              <w:rPr>
                <w:rFonts w:cs="Arial"/>
                <w:sz w:val="22"/>
                <w:szCs w:val="22"/>
              </w:rPr>
              <w:t>3.</w:t>
            </w:r>
          </w:p>
        </w:tc>
        <w:tc>
          <w:tcPr>
            <w:tcW w:w="9957"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56"/>
              <w:jc w:val="both"/>
              <w:rPr>
                <w:rFonts w:cs="Arial"/>
                <w:sz w:val="22"/>
                <w:szCs w:val="22"/>
              </w:rPr>
            </w:pPr>
            <w:r>
              <w:rPr>
                <w:rFonts w:cs="Arial"/>
                <w:sz w:val="22"/>
                <w:szCs w:val="22"/>
              </w:rPr>
              <w:t>To actively engage with the behaviours and values of the Council to promote and support the delivery of our Corporate plan.</w:t>
            </w:r>
          </w:p>
          <w:p>
            <w:pPr>
              <w:pStyle w:val="Normal"/>
              <w:jc w:val="both"/>
              <w:rPr>
                <w:rFonts w:cs="Arial"/>
                <w:sz w:val="22"/>
                <w:szCs w:val="22"/>
              </w:rPr>
            </w:pPr>
            <w:r>
              <w:rPr>
                <w:rFonts w:cs="Arial"/>
                <w:sz w:val="22"/>
                <w:szCs w:val="22"/>
              </w:rPr>
            </w:r>
          </w:p>
        </w:tc>
      </w:tr>
      <w:tr>
        <w:trPr>
          <w:trHeight w:val="255" w:hRule="atLeast"/>
        </w:trPr>
        <w:tc>
          <w:tcPr>
            <w:tcW w:w="400" w:type="dxa"/>
            <w:tcBorders>
              <w:top w:val="single" w:sz="4" w:space="0" w:color="000000"/>
              <w:left w:val="single" w:sz="4" w:space="0" w:color="000000"/>
              <w:bottom w:val="single" w:sz="4" w:space="0" w:color="000000"/>
            </w:tcBorders>
            <w:shd w:fill="auto" w:val="clear"/>
          </w:tcPr>
          <w:p>
            <w:pPr>
              <w:pStyle w:val="Normal"/>
              <w:jc w:val="both"/>
              <w:rPr>
                <w:rFonts w:cs="Arial"/>
                <w:sz w:val="22"/>
                <w:szCs w:val="22"/>
              </w:rPr>
            </w:pPr>
            <w:r>
              <w:rPr>
                <w:rFonts w:cs="Arial"/>
                <w:sz w:val="22"/>
                <w:szCs w:val="22"/>
              </w:rPr>
              <w:t>4.</w:t>
            </w:r>
          </w:p>
        </w:tc>
        <w:tc>
          <w:tcPr>
            <w:tcW w:w="9957" w:type="dxa"/>
            <w:tcBorders>
              <w:top w:val="single" w:sz="4" w:space="0" w:color="000000"/>
              <w:left w:val="single" w:sz="4" w:space="0" w:color="000000"/>
              <w:bottom w:val="single" w:sz="4" w:space="0" w:color="000000"/>
              <w:right w:val="single" w:sz="4" w:space="0" w:color="000000"/>
            </w:tcBorders>
            <w:shd w:fill="auto" w:val="clear"/>
          </w:tcPr>
          <w:p>
            <w:pPr>
              <w:pStyle w:val="Normal"/>
              <w:jc w:val="both"/>
              <w:rPr>
                <w:rFonts w:cs="Arial"/>
                <w:sz w:val="22"/>
                <w:szCs w:val="22"/>
              </w:rPr>
            </w:pPr>
            <w:r>
              <w:rPr>
                <w:rFonts w:cs="Arial"/>
                <w:sz w:val="22"/>
                <w:szCs w:val="22"/>
              </w:rPr>
              <w:t xml:space="preserve">To undertake continuous professional development and to be aware of new developments, legislation, initiatives, guidelines, policies and procedures as appropriate to the role. </w:t>
            </w:r>
          </w:p>
          <w:p>
            <w:pPr>
              <w:pStyle w:val="Normal"/>
              <w:jc w:val="both"/>
              <w:rPr>
                <w:rFonts w:cs="Arial"/>
                <w:b/>
                <w:b/>
                <w:sz w:val="22"/>
                <w:szCs w:val="22"/>
              </w:rPr>
            </w:pPr>
            <w:r>
              <w:rPr>
                <w:rFonts w:cs="Arial"/>
                <w:b/>
                <w:sz w:val="22"/>
                <w:szCs w:val="22"/>
              </w:rPr>
            </w:r>
          </w:p>
        </w:tc>
      </w:tr>
      <w:tr>
        <w:trPr>
          <w:trHeight w:val="255" w:hRule="atLeast"/>
        </w:trPr>
        <w:tc>
          <w:tcPr>
            <w:tcW w:w="400" w:type="dxa"/>
            <w:tcBorders>
              <w:top w:val="single" w:sz="4" w:space="0" w:color="000000"/>
              <w:left w:val="single" w:sz="4" w:space="0" w:color="000000"/>
              <w:bottom w:val="single" w:sz="4" w:space="0" w:color="000000"/>
            </w:tcBorders>
            <w:shd w:fill="auto" w:val="clear"/>
          </w:tcPr>
          <w:p>
            <w:pPr>
              <w:pStyle w:val="Normal"/>
              <w:jc w:val="both"/>
              <w:rPr>
                <w:rFonts w:cs="Arial"/>
                <w:sz w:val="22"/>
                <w:szCs w:val="22"/>
              </w:rPr>
            </w:pPr>
            <w:r>
              <w:rPr>
                <w:rFonts w:cs="Arial"/>
                <w:sz w:val="22"/>
                <w:szCs w:val="22"/>
              </w:rPr>
              <w:t>5.</w:t>
            </w:r>
          </w:p>
        </w:tc>
        <w:tc>
          <w:tcPr>
            <w:tcW w:w="9957" w:type="dxa"/>
            <w:tcBorders>
              <w:top w:val="single" w:sz="4" w:space="0" w:color="000000"/>
              <w:left w:val="single" w:sz="4" w:space="0" w:color="000000"/>
              <w:bottom w:val="single" w:sz="4" w:space="0" w:color="000000"/>
              <w:right w:val="single" w:sz="4" w:space="0" w:color="000000"/>
            </w:tcBorders>
            <w:shd w:fill="auto" w:val="clear"/>
          </w:tcPr>
          <w:p>
            <w:pPr>
              <w:pStyle w:val="Normal"/>
              <w:jc w:val="both"/>
              <w:rPr>
                <w:rFonts w:cs="Arial"/>
                <w:sz w:val="22"/>
                <w:szCs w:val="22"/>
              </w:rPr>
            </w:pPr>
            <w:r>
              <w:rPr>
                <w:rFonts w:cs="Arial"/>
                <w:sz w:val="22"/>
                <w:szCs w:val="22"/>
              </w:rPr>
              <w:t>Undertake any additional duties commensurate with the level of the post.</w:t>
            </w:r>
          </w:p>
          <w:p>
            <w:pPr>
              <w:pStyle w:val="Normal"/>
              <w:jc w:val="both"/>
              <w:rPr>
                <w:rFonts w:cs="Arial"/>
                <w:b/>
                <w:b/>
                <w:sz w:val="22"/>
                <w:szCs w:val="22"/>
              </w:rPr>
            </w:pPr>
            <w:r>
              <w:rPr>
                <w:rFonts w:cs="Arial"/>
                <w:b/>
                <w:sz w:val="22"/>
                <w:szCs w:val="22"/>
              </w:rPr>
            </w:r>
          </w:p>
        </w:tc>
      </w:tr>
    </w:tbl>
    <w:p>
      <w:pPr>
        <w:pStyle w:val="Normal"/>
        <w:rPr>
          <w:rFonts w:cs="Arial"/>
          <w:sz w:val="22"/>
          <w:szCs w:val="22"/>
        </w:rPr>
      </w:pPr>
      <w:r>
        <w:rPr>
          <w:rFonts w:cs="Arial"/>
          <w:sz w:val="22"/>
          <w:szCs w:val="22"/>
        </w:rPr>
      </w:r>
    </w:p>
    <w:tbl>
      <w:tblPr>
        <w:tblW w:w="10450" w:type="dxa"/>
        <w:jc w:val="left"/>
        <w:tblInd w:w="-617" w:type="dxa"/>
        <w:tblCellMar>
          <w:top w:w="0" w:type="dxa"/>
          <w:left w:w="108" w:type="dxa"/>
          <w:bottom w:w="0" w:type="dxa"/>
          <w:right w:w="108" w:type="dxa"/>
        </w:tblCellMar>
      </w:tblPr>
      <w:tblGrid>
        <w:gridCol w:w="10450"/>
      </w:tblGrid>
      <w:tr>
        <w:trPr/>
        <w:tc>
          <w:tcPr>
            <w:tcW w:w="10450" w:type="dxa"/>
            <w:tcBorders>
              <w:top w:val="single" w:sz="4" w:space="0" w:color="000000"/>
              <w:left w:val="single" w:sz="4" w:space="0" w:color="000000"/>
              <w:bottom w:val="single" w:sz="4" w:space="0" w:color="000000"/>
              <w:right w:val="single" w:sz="4" w:space="0" w:color="000000"/>
            </w:tcBorders>
            <w:shd w:fill="auto" w:val="clear"/>
          </w:tcPr>
          <w:p>
            <w:pPr>
              <w:pStyle w:val="Normal"/>
              <w:ind w:left="1560" w:right="0" w:hanging="1560"/>
              <w:jc w:val="both"/>
              <w:rPr/>
            </w:pPr>
            <w:r>
              <w:rPr>
                <w:rFonts w:cs="Arial"/>
                <w:b/>
                <w:sz w:val="22"/>
                <w:szCs w:val="22"/>
              </w:rPr>
              <w:t>Contacts:</w:t>
            </w:r>
            <w:r>
              <w:rPr>
                <w:rFonts w:cs="Arial"/>
                <w:sz w:val="22"/>
                <w:szCs w:val="22"/>
              </w:rPr>
              <w:t xml:space="preserve"> </w:t>
            </w:r>
          </w:p>
          <w:p>
            <w:pPr>
              <w:pStyle w:val="Normal"/>
              <w:ind w:left="1560" w:right="0" w:hanging="1560"/>
              <w:jc w:val="both"/>
              <w:rPr>
                <w:rFonts w:cs="Arial"/>
                <w:sz w:val="22"/>
                <w:szCs w:val="22"/>
              </w:rPr>
            </w:pPr>
            <w:r>
              <w:rPr>
                <w:rFonts w:cs="Arial"/>
                <w:sz w:val="22"/>
                <w:szCs w:val="22"/>
              </w:rPr>
            </w:r>
          </w:p>
          <w:p>
            <w:pPr>
              <w:pStyle w:val="Normal"/>
              <w:rPr/>
            </w:pPr>
            <w:r>
              <w:rPr>
                <w:rFonts w:cs="Arial"/>
                <w:sz w:val="22"/>
                <w:szCs w:val="22"/>
              </w:rPr>
              <w:t xml:space="preserve">Councillors, Executive Directors, Directors and Assistant Directors, Heads of Service, Partners, </w:t>
            </w:r>
            <w:r>
              <w:rPr>
                <w:rFonts w:cs="Arial"/>
                <w:color w:val="000000"/>
                <w:sz w:val="22"/>
                <w:szCs w:val="22"/>
                <w:lang w:eastAsia="en-GB"/>
              </w:rPr>
              <w:t>NWADCS</w:t>
            </w:r>
          </w:p>
          <w:p>
            <w:pPr>
              <w:pStyle w:val="Normal"/>
              <w:rPr/>
            </w:pPr>
            <w:r>
              <w:rPr>
                <w:rFonts w:cs="Arial"/>
                <w:color w:val="000000"/>
                <w:sz w:val="22"/>
                <w:szCs w:val="22"/>
                <w:lang w:eastAsia="en-GB"/>
              </w:rPr>
              <w:t xml:space="preserve">Ofsted, </w:t>
            </w:r>
            <w:r>
              <w:rPr>
                <w:rFonts w:cs="Arial"/>
                <w:sz w:val="22"/>
                <w:szCs w:val="22"/>
              </w:rPr>
              <w:t>Representatives of Government Departments and other local authorities, Members of academic institutions, Members of research organisations and consultancies</w:t>
            </w:r>
          </w:p>
          <w:p>
            <w:pPr>
              <w:pStyle w:val="Normal"/>
              <w:rPr>
                <w:rFonts w:cs="Arial"/>
                <w:sz w:val="22"/>
                <w:szCs w:val="22"/>
              </w:rPr>
            </w:pPr>
            <w:r>
              <w:rPr>
                <w:rFonts w:cs="Arial"/>
                <w:sz w:val="22"/>
                <w:szCs w:val="22"/>
              </w:rPr>
            </w:r>
          </w:p>
        </w:tc>
      </w:tr>
    </w:tbl>
    <w:p>
      <w:pPr>
        <w:pStyle w:val="Normal"/>
        <w:rPr>
          <w:rFonts w:cs="Arial"/>
          <w:sz w:val="22"/>
          <w:szCs w:val="22"/>
        </w:rPr>
      </w:pPr>
      <w:r>
        <w:rPr>
          <w:rFonts w:cs="Arial"/>
          <w:sz w:val="22"/>
          <w:szCs w:val="22"/>
        </w:rPr>
      </w:r>
      <w:bookmarkStart w:id="0" w:name="_Hlk95121094"/>
      <w:bookmarkStart w:id="1" w:name="_Hlk95121094"/>
      <w:bookmarkEnd w:id="1"/>
    </w:p>
    <w:tbl>
      <w:tblPr>
        <w:tblW w:w="10449" w:type="dxa"/>
        <w:jc w:val="left"/>
        <w:tblInd w:w="-617" w:type="dxa"/>
        <w:tblCellMar>
          <w:top w:w="0" w:type="dxa"/>
          <w:left w:w="108" w:type="dxa"/>
          <w:bottom w:w="0" w:type="dxa"/>
          <w:right w:w="108" w:type="dxa"/>
        </w:tblCellMar>
      </w:tblPr>
      <w:tblGrid>
        <w:gridCol w:w="2106"/>
        <w:gridCol w:w="8343"/>
      </w:tblGrid>
      <w:tr>
        <w:trPr/>
        <w:tc>
          <w:tcPr>
            <w:tcW w:w="10449" w:type="dxa"/>
            <w:gridSpan w:val="2"/>
            <w:tcBorders>
              <w:top w:val="single" w:sz="4" w:space="0" w:color="000000"/>
              <w:left w:val="single" w:sz="4" w:space="0" w:color="000000"/>
              <w:bottom w:val="single" w:sz="4" w:space="0" w:color="000000"/>
              <w:right w:val="single" w:sz="4" w:space="0" w:color="000000"/>
            </w:tcBorders>
            <w:shd w:fill="00B3BE" w:val="clear"/>
          </w:tcPr>
          <w:p>
            <w:pPr>
              <w:pStyle w:val="TextBody"/>
              <w:rPr>
                <w:rFonts w:cs="Arial"/>
                <w:szCs w:val="22"/>
              </w:rPr>
            </w:pPr>
            <w:r>
              <w:rPr>
                <w:rFonts w:cs="Arial"/>
                <w:szCs w:val="22"/>
              </w:rPr>
              <w:t>Relationship To Other Posts in the Department:</w:t>
            </w:r>
          </w:p>
          <w:p>
            <w:pPr>
              <w:pStyle w:val="Normal"/>
              <w:rPr>
                <w:rFonts w:cs="Arial"/>
                <w:sz w:val="22"/>
                <w:szCs w:val="22"/>
              </w:rPr>
            </w:pPr>
            <w:r>
              <w:rPr>
                <w:rFonts w:cs="Arial"/>
                <w:sz w:val="22"/>
                <w:szCs w:val="22"/>
              </w:rPr>
            </w:r>
          </w:p>
        </w:tc>
      </w:tr>
      <w:tr>
        <w:trPr>
          <w:trHeight w:val="518" w:hRule="atLeast"/>
        </w:trPr>
        <w:tc>
          <w:tcPr>
            <w:tcW w:w="2106" w:type="dxa"/>
            <w:tcBorders>
              <w:top w:val="single" w:sz="4" w:space="0" w:color="000000"/>
              <w:left w:val="single" w:sz="4" w:space="0" w:color="000000"/>
            </w:tcBorders>
            <w:shd w:fill="auto" w:val="clear"/>
          </w:tcPr>
          <w:p>
            <w:pPr>
              <w:pStyle w:val="Normal"/>
              <w:rPr>
                <w:rFonts w:cs="Arial"/>
                <w:b/>
                <w:b/>
                <w:sz w:val="22"/>
                <w:szCs w:val="22"/>
              </w:rPr>
            </w:pPr>
            <w:r>
              <w:rPr>
                <w:rFonts w:cs="Arial"/>
                <w:b/>
                <w:sz w:val="22"/>
                <w:szCs w:val="22"/>
              </w:rPr>
              <w:t xml:space="preserve">Responsible to:  </w:t>
            </w:r>
          </w:p>
          <w:p>
            <w:pPr>
              <w:pStyle w:val="Normal"/>
              <w:rPr>
                <w:rFonts w:cs="Arial"/>
                <w:sz w:val="22"/>
                <w:szCs w:val="22"/>
              </w:rPr>
            </w:pPr>
            <w:r>
              <w:rPr>
                <w:rFonts w:cs="Arial"/>
                <w:sz w:val="22"/>
                <w:szCs w:val="22"/>
              </w:rPr>
            </w:r>
          </w:p>
        </w:tc>
        <w:tc>
          <w:tcPr>
            <w:tcW w:w="8343" w:type="dxa"/>
            <w:tcBorders>
              <w:top w:val="single" w:sz="4" w:space="0" w:color="000000"/>
              <w:right w:val="single" w:sz="4" w:space="0" w:color="000000"/>
            </w:tcBorders>
            <w:shd w:fill="auto" w:val="clear"/>
          </w:tcPr>
          <w:p>
            <w:pPr>
              <w:pStyle w:val="TextBody"/>
              <w:rPr>
                <w:rFonts w:cs="Arial"/>
                <w:b w:val="false"/>
                <w:b w:val="false"/>
                <w:bCs/>
                <w:szCs w:val="22"/>
              </w:rPr>
            </w:pPr>
            <w:r>
              <w:rPr>
                <w:rFonts w:cs="Arial"/>
                <w:b w:val="false"/>
                <w:bCs/>
                <w:szCs w:val="22"/>
              </w:rPr>
              <w:t xml:space="preserve">Assistant Director Children’s Services Integration </w:t>
            </w:r>
          </w:p>
        </w:tc>
      </w:tr>
      <w:tr>
        <w:trPr>
          <w:trHeight w:val="517" w:hRule="atLeast"/>
        </w:trPr>
        <w:tc>
          <w:tcPr>
            <w:tcW w:w="2106" w:type="dxa"/>
            <w:tcBorders>
              <w:left w:val="single" w:sz="4" w:space="0" w:color="000000"/>
              <w:bottom w:val="single" w:sz="4" w:space="0" w:color="000000"/>
            </w:tcBorders>
            <w:shd w:fill="auto" w:val="clear"/>
          </w:tcPr>
          <w:p>
            <w:pPr>
              <w:pStyle w:val="Normal"/>
              <w:rPr>
                <w:rFonts w:cs="Arial"/>
                <w:b/>
                <w:b/>
                <w:sz w:val="22"/>
                <w:szCs w:val="22"/>
              </w:rPr>
            </w:pPr>
            <w:r>
              <w:rPr>
                <w:rFonts w:cs="Arial"/>
                <w:b/>
                <w:sz w:val="22"/>
                <w:szCs w:val="22"/>
              </w:rPr>
              <w:t>Responsible for:</w:t>
            </w:r>
          </w:p>
        </w:tc>
        <w:tc>
          <w:tcPr>
            <w:tcW w:w="8343" w:type="dxa"/>
            <w:tcBorders>
              <w:bottom w:val="single" w:sz="4" w:space="0" w:color="000000"/>
              <w:right w:val="single" w:sz="4" w:space="0" w:color="000000"/>
            </w:tcBorders>
            <w:shd w:fill="auto" w:val="clear"/>
          </w:tcPr>
          <w:p>
            <w:pPr>
              <w:pStyle w:val="Normal"/>
              <w:rPr>
                <w:rFonts w:cs="Arial"/>
                <w:sz w:val="22"/>
                <w:szCs w:val="22"/>
              </w:rPr>
            </w:pPr>
            <w:r>
              <w:rPr>
                <w:rFonts w:cs="Arial"/>
                <w:sz w:val="22"/>
                <w:szCs w:val="22"/>
              </w:rPr>
              <w:t>Strategy and Improvement Co-ordinators, Apprentice</w:t>
            </w:r>
          </w:p>
        </w:tc>
      </w:tr>
    </w:tbl>
    <w:p>
      <w:pPr>
        <w:pStyle w:val="Normal"/>
        <w:rPr>
          <w:rFonts w:cs="Arial"/>
          <w:sz w:val="22"/>
          <w:szCs w:val="22"/>
        </w:rPr>
      </w:pPr>
      <w:r>
        <w:rPr>
          <w:rFonts w:cs="Arial"/>
          <w:sz w:val="22"/>
          <w:szCs w:val="22"/>
        </w:rPr>
      </w:r>
    </w:p>
    <w:tbl>
      <w:tblPr>
        <w:tblW w:w="10450" w:type="dxa"/>
        <w:jc w:val="left"/>
        <w:tblInd w:w="-617" w:type="dxa"/>
        <w:tblCellMar>
          <w:top w:w="0" w:type="dxa"/>
          <w:left w:w="108" w:type="dxa"/>
          <w:bottom w:w="0" w:type="dxa"/>
          <w:right w:w="108" w:type="dxa"/>
        </w:tblCellMar>
      </w:tblPr>
      <w:tblGrid>
        <w:gridCol w:w="10450"/>
      </w:tblGrid>
      <w:tr>
        <w:trPr/>
        <w:tc>
          <w:tcPr>
            <w:tcW w:w="10450" w:type="dxa"/>
            <w:tcBorders>
              <w:top w:val="single" w:sz="4" w:space="0" w:color="000000"/>
              <w:left w:val="single" w:sz="4" w:space="0" w:color="000000"/>
              <w:bottom w:val="single" w:sz="4" w:space="0" w:color="000000"/>
              <w:right w:val="single" w:sz="4" w:space="0" w:color="000000"/>
            </w:tcBorders>
            <w:shd w:fill="auto" w:val="clear"/>
          </w:tcPr>
          <w:p>
            <w:pPr>
              <w:pStyle w:val="Normal"/>
              <w:rPr>
                <w:rFonts w:cs="Arial"/>
                <w:b/>
                <w:b/>
                <w:sz w:val="22"/>
                <w:szCs w:val="22"/>
              </w:rPr>
            </w:pPr>
            <w:r>
              <w:rPr>
                <w:rFonts w:cs="Arial"/>
                <w:b/>
                <w:sz w:val="22"/>
                <w:szCs w:val="22"/>
              </w:rPr>
              <w:t xml:space="preserve">Special Conditions:  </w:t>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t>None</w:t>
            </w:r>
          </w:p>
          <w:p>
            <w:pPr>
              <w:pStyle w:val="Normal"/>
              <w:rPr>
                <w:rFonts w:cs="Arial"/>
                <w:sz w:val="22"/>
                <w:szCs w:val="22"/>
              </w:rPr>
            </w:pPr>
            <w:r>
              <w:rPr>
                <w:rFonts w:cs="Arial"/>
                <w:sz w:val="22"/>
                <w:szCs w:val="22"/>
              </w:rPr>
            </w:r>
          </w:p>
        </w:tc>
      </w:tr>
    </w:tbl>
    <w:p>
      <w:pPr>
        <w:pStyle w:val="Normal"/>
        <w:rPr>
          <w:rFonts w:cs="Arial"/>
          <w:sz w:val="22"/>
          <w:szCs w:val="22"/>
        </w:rPr>
      </w:pPr>
      <w:r>
        <w:rPr>
          <w:rFonts w:cs="Arial"/>
          <w:sz w:val="22"/>
          <w:szCs w:val="22"/>
        </w:rPr>
      </w:r>
    </w:p>
    <w:tbl>
      <w:tblPr>
        <w:tblW w:w="10450" w:type="dxa"/>
        <w:jc w:val="left"/>
        <w:tblInd w:w="-617" w:type="dxa"/>
        <w:tblCellMar>
          <w:top w:w="0" w:type="dxa"/>
          <w:left w:w="108" w:type="dxa"/>
          <w:bottom w:w="0" w:type="dxa"/>
          <w:right w:w="108" w:type="dxa"/>
        </w:tblCellMar>
      </w:tblPr>
      <w:tblGrid>
        <w:gridCol w:w="10450"/>
      </w:tblGrid>
      <w:tr>
        <w:trPr/>
        <w:tc>
          <w:tcPr>
            <w:tcW w:w="10450" w:type="dxa"/>
            <w:tcBorders>
              <w:top w:val="single" w:sz="4" w:space="0" w:color="000000"/>
              <w:left w:val="single" w:sz="4" w:space="0" w:color="000000"/>
              <w:bottom w:val="single" w:sz="4" w:space="0" w:color="000000"/>
              <w:right w:val="single" w:sz="4" w:space="0" w:color="000000"/>
            </w:tcBorders>
            <w:shd w:fill="00B3BE" w:val="clear"/>
          </w:tcPr>
          <w:p>
            <w:pPr>
              <w:pStyle w:val="Normal"/>
              <w:rPr>
                <w:rFonts w:cs="Arial"/>
                <w:b/>
                <w:b/>
                <w:sz w:val="22"/>
                <w:szCs w:val="22"/>
              </w:rPr>
            </w:pPr>
            <w:r>
              <w:rPr>
                <w:rFonts w:cs="Arial"/>
                <w:b/>
                <w:sz w:val="22"/>
                <w:szCs w:val="22"/>
              </w:rPr>
              <w:t>Values and Behaviours:</w:t>
            </w:r>
          </w:p>
          <w:p>
            <w:pPr>
              <w:pStyle w:val="Normal"/>
              <w:rPr>
                <w:rFonts w:cs="Arial"/>
                <w:b/>
                <w:b/>
                <w:sz w:val="22"/>
                <w:szCs w:val="22"/>
              </w:rPr>
            </w:pPr>
            <w:r>
              <w:rPr>
                <w:rFonts w:cs="Arial"/>
                <w:b/>
                <w:sz w:val="22"/>
                <w:szCs w:val="22"/>
              </w:rPr>
            </w:r>
          </w:p>
        </w:tc>
      </w:tr>
      <w:tr>
        <w:trPr>
          <w:trHeight w:val="518" w:hRule="atLeast"/>
        </w:trPr>
        <w:tc>
          <w:tcPr>
            <w:tcW w:w="10450" w:type="dxa"/>
            <w:tcBorders>
              <w:top w:val="single" w:sz="4" w:space="0" w:color="000000"/>
              <w:left w:val="single" w:sz="4" w:space="0" w:color="000000"/>
              <w:bottom w:val="single" w:sz="4" w:space="0" w:color="000000"/>
              <w:right w:val="single" w:sz="4" w:space="0" w:color="000000"/>
            </w:tcBorders>
            <w:shd w:fill="auto" w:val="clear"/>
          </w:tcPr>
          <w:p>
            <w:pPr>
              <w:pStyle w:val="Normal"/>
              <w:rPr>
                <w:rFonts w:cs="Arial"/>
                <w:sz w:val="22"/>
                <w:szCs w:val="22"/>
              </w:rPr>
            </w:pPr>
            <w:r>
              <w:rPr>
                <w:rFonts w:cs="Arial"/>
                <w:sz w:val="22"/>
                <w:szCs w:val="22"/>
              </w:rPr>
              <w:t>By living our Values and Behaviours we will deliver the change we need to meet our Corporate ambitions for Oldham.</w:t>
            </w:r>
          </w:p>
          <w:p>
            <w:pPr>
              <w:pStyle w:val="Normal"/>
              <w:rPr>
                <w:rFonts w:cs="Arial"/>
                <w:sz w:val="22"/>
                <w:szCs w:val="22"/>
              </w:rPr>
            </w:pPr>
            <w:r>
              <w:rPr>
                <w:rFonts w:cs="Arial"/>
                <w:sz w:val="22"/>
                <w:szCs w:val="22"/>
              </w:rPr>
            </w:r>
          </w:p>
          <w:p>
            <w:pPr>
              <w:pStyle w:val="Normal"/>
              <w:rPr>
                <w:rFonts w:cs="Arial"/>
                <w:b/>
                <w:b/>
                <w:bCs/>
                <w:sz w:val="22"/>
                <w:szCs w:val="22"/>
              </w:rPr>
            </w:pPr>
            <w:r>
              <w:rPr>
                <w:rFonts w:cs="Arial"/>
                <w:b/>
                <w:bCs/>
                <w:sz w:val="22"/>
                <w:szCs w:val="22"/>
              </w:rPr>
              <w:t>Our Values:</w:t>
            </w:r>
          </w:p>
          <w:p>
            <w:pPr>
              <w:pStyle w:val="Normal"/>
              <w:rPr>
                <w:rFonts w:cs="Arial"/>
                <w:b/>
                <w:b/>
                <w:bCs/>
                <w:sz w:val="22"/>
                <w:szCs w:val="22"/>
              </w:rPr>
            </w:pPr>
            <w:r>
              <w:rPr>
                <w:rFonts w:cs="Arial"/>
                <w:b/>
                <w:bCs/>
                <w:sz w:val="22"/>
                <w:szCs w:val="22"/>
              </w:rPr>
            </w:r>
          </w:p>
          <w:p>
            <w:pPr>
              <w:pStyle w:val="Normal"/>
              <w:rPr>
                <w:rFonts w:cs="Arial"/>
                <w:b/>
                <w:b/>
                <w:bCs/>
                <w:sz w:val="22"/>
                <w:szCs w:val="22"/>
              </w:rPr>
            </w:pPr>
            <w:r>
              <w:rPr>
                <w:rFonts w:cs="Arial"/>
                <w:b/>
                <w:bCs/>
                <w:sz w:val="22"/>
                <w:szCs w:val="22"/>
              </w:rPr>
              <w:t>Proud</w:t>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t>We take pride not only in what we deliver for the residents of Oldham but also in how we deliver it.</w:t>
            </w:r>
          </w:p>
          <w:p>
            <w:pPr>
              <w:pStyle w:val="Normal"/>
              <w:rPr>
                <w:rFonts w:cs="Arial"/>
                <w:sz w:val="22"/>
                <w:szCs w:val="22"/>
              </w:rPr>
            </w:pPr>
            <w:r>
              <w:rPr>
                <w:rFonts w:cs="Arial"/>
                <w:sz w:val="22"/>
                <w:szCs w:val="22"/>
              </w:rPr>
            </w:r>
          </w:p>
          <w:p>
            <w:pPr>
              <w:pStyle w:val="Normal"/>
              <w:rPr>
                <w:rFonts w:cs="Arial"/>
                <w:b/>
                <w:b/>
                <w:bCs/>
                <w:sz w:val="22"/>
                <w:szCs w:val="22"/>
              </w:rPr>
            </w:pPr>
            <w:r>
              <w:rPr>
                <w:rFonts w:cs="Arial"/>
                <w:b/>
                <w:bCs/>
                <w:sz w:val="22"/>
                <w:szCs w:val="22"/>
              </w:rPr>
              <w:t>Ambitious</w:t>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t>We recognise the challenges we face and are committed to setting high aspirations to overcome them, with determination and focus.</w:t>
            </w:r>
          </w:p>
          <w:p>
            <w:pPr>
              <w:pStyle w:val="Normal"/>
              <w:rPr>
                <w:rFonts w:cs="Arial"/>
                <w:sz w:val="22"/>
                <w:szCs w:val="22"/>
              </w:rPr>
            </w:pPr>
            <w:r>
              <w:rPr>
                <w:rFonts w:cs="Arial"/>
                <w:sz w:val="22"/>
                <w:szCs w:val="22"/>
              </w:rPr>
            </w:r>
          </w:p>
          <w:p>
            <w:pPr>
              <w:pStyle w:val="Normal"/>
              <w:rPr>
                <w:rFonts w:cs="Arial"/>
                <w:b/>
                <w:b/>
                <w:bCs/>
                <w:sz w:val="22"/>
                <w:szCs w:val="22"/>
              </w:rPr>
            </w:pPr>
            <w:r>
              <w:rPr>
                <w:rFonts w:cs="Arial"/>
                <w:b/>
                <w:bCs/>
                <w:sz w:val="22"/>
                <w:szCs w:val="22"/>
              </w:rPr>
              <w:t>Together</w:t>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t>We believe in shared solutions, working across sectors and with our communities to achieve common goals and deliver the quality services Oldham deserves.</w:t>
            </w:r>
          </w:p>
          <w:p>
            <w:pPr>
              <w:pStyle w:val="Normal"/>
              <w:rPr>
                <w:rFonts w:cs="Arial"/>
                <w:sz w:val="22"/>
                <w:szCs w:val="22"/>
              </w:rPr>
            </w:pPr>
            <w:r>
              <w:rPr>
                <w:rFonts w:cs="Arial"/>
                <w:sz w:val="22"/>
                <w:szCs w:val="22"/>
              </w:rPr>
            </w:r>
          </w:p>
        </w:tc>
      </w:tr>
      <w:tr>
        <w:trPr>
          <w:trHeight w:val="518" w:hRule="atLeast"/>
        </w:trPr>
        <w:tc>
          <w:tcPr>
            <w:tcW w:w="10450" w:type="dxa"/>
            <w:tcBorders>
              <w:top w:val="single" w:sz="4" w:space="0" w:color="000000"/>
              <w:left w:val="single" w:sz="4" w:space="0" w:color="000000"/>
              <w:bottom w:val="single" w:sz="4" w:space="0" w:color="000000"/>
              <w:right w:val="single" w:sz="4" w:space="0" w:color="000000"/>
            </w:tcBorders>
            <w:shd w:fill="auto" w:val="clear"/>
          </w:tcPr>
          <w:p>
            <w:pPr>
              <w:pStyle w:val="Normal"/>
              <w:rPr>
                <w:rFonts w:cs="Arial"/>
                <w:sz w:val="22"/>
                <w:szCs w:val="22"/>
              </w:rPr>
            </w:pPr>
            <w:r>
              <w:rPr>
                <w:rFonts w:cs="Arial"/>
                <w:sz w:val="22"/>
                <w:szCs w:val="22"/>
              </w:rPr>
              <w:t>We have five Behaviours which outline the priority areas of focus for staff at all levels:</w:t>
            </w:r>
          </w:p>
          <w:p>
            <w:pPr>
              <w:pStyle w:val="Normal"/>
              <w:rPr>
                <w:rFonts w:cs="Arial"/>
                <w:sz w:val="22"/>
                <w:szCs w:val="22"/>
              </w:rPr>
            </w:pPr>
            <w:r>
              <w:rPr>
                <w:rFonts w:cs="Arial"/>
                <w:sz w:val="22"/>
                <w:szCs w:val="22"/>
              </w:rPr>
            </w:r>
          </w:p>
          <w:p>
            <w:pPr>
              <w:pStyle w:val="ListParagraph"/>
              <w:numPr>
                <w:ilvl w:val="0"/>
                <w:numId w:val="3"/>
              </w:numPr>
              <w:rPr>
                <w:rFonts w:ascii="Arial" w:hAnsi="Arial" w:eastAsia="Times New Roman" w:cs="Arial"/>
              </w:rPr>
            </w:pPr>
            <w:r>
              <w:rPr>
                <w:rFonts w:eastAsia="Times New Roman" w:cs="Arial" w:ascii="Arial" w:hAnsi="Arial"/>
              </w:rPr>
              <w:t>Work with a Resident Focus</w:t>
            </w:r>
          </w:p>
          <w:p>
            <w:pPr>
              <w:pStyle w:val="ListParagraph"/>
              <w:numPr>
                <w:ilvl w:val="0"/>
                <w:numId w:val="3"/>
              </w:numPr>
              <w:rPr>
                <w:rFonts w:ascii="Arial" w:hAnsi="Arial" w:eastAsia="Times New Roman" w:cs="Arial"/>
              </w:rPr>
            </w:pPr>
            <w:r>
              <w:rPr>
                <w:rFonts w:eastAsia="Times New Roman" w:cs="Arial" w:ascii="Arial" w:hAnsi="Arial"/>
              </w:rPr>
              <w:t>Support Local Leaders</w:t>
            </w:r>
          </w:p>
          <w:p>
            <w:pPr>
              <w:pStyle w:val="ListParagraph"/>
              <w:numPr>
                <w:ilvl w:val="0"/>
                <w:numId w:val="3"/>
              </w:numPr>
              <w:rPr>
                <w:rFonts w:ascii="Arial" w:hAnsi="Arial" w:eastAsia="Times New Roman" w:cs="Arial"/>
              </w:rPr>
            </w:pPr>
            <w:r>
              <w:rPr>
                <w:rFonts w:eastAsia="Times New Roman" w:cs="Arial" w:ascii="Arial" w:hAnsi="Arial"/>
              </w:rPr>
              <w:t>Committed to the Borough</w:t>
            </w:r>
          </w:p>
          <w:p>
            <w:pPr>
              <w:pStyle w:val="ListParagraph"/>
              <w:numPr>
                <w:ilvl w:val="0"/>
                <w:numId w:val="3"/>
              </w:numPr>
              <w:rPr>
                <w:rFonts w:ascii="Arial" w:hAnsi="Arial" w:eastAsia="Times New Roman" w:cs="Arial"/>
              </w:rPr>
            </w:pPr>
            <w:r>
              <w:rPr>
                <w:rFonts w:eastAsia="Times New Roman" w:cs="Arial" w:ascii="Arial" w:hAnsi="Arial"/>
              </w:rPr>
              <w:t>Take Ownership and Drive Change</w:t>
            </w:r>
          </w:p>
          <w:p>
            <w:pPr>
              <w:pStyle w:val="ListParagraph"/>
              <w:numPr>
                <w:ilvl w:val="0"/>
                <w:numId w:val="3"/>
              </w:numPr>
              <w:rPr>
                <w:rFonts w:ascii="Arial" w:hAnsi="Arial" w:eastAsia="Times New Roman" w:cs="Arial"/>
              </w:rPr>
            </w:pPr>
            <w:r>
              <w:rPr>
                <w:rFonts w:eastAsia="Times New Roman" w:cs="Arial" w:ascii="Arial" w:hAnsi="Arial"/>
              </w:rPr>
              <w:t xml:space="preserve">Deliver High Performance </w:t>
            </w:r>
          </w:p>
          <w:p>
            <w:pPr>
              <w:pStyle w:val="Normal"/>
              <w:rPr>
                <w:rFonts w:cs="Arial"/>
                <w:sz w:val="22"/>
                <w:szCs w:val="22"/>
              </w:rPr>
            </w:pPr>
            <w:r>
              <w:rPr>
                <w:rFonts w:cs="Arial"/>
                <w:sz w:val="22"/>
                <w:szCs w:val="22"/>
              </w:rPr>
            </w:r>
          </w:p>
          <w:p>
            <w:pPr>
              <w:pStyle w:val="Normal"/>
              <w:rPr/>
            </w:pPr>
            <w:r>
              <w:rPr>
                <w:rFonts w:cs="Arial"/>
                <w:sz w:val="22"/>
                <w:szCs w:val="22"/>
              </w:rPr>
              <w:t xml:space="preserve">More information about our Corporate Plan and our Values and Behaviours can be found on our </w:t>
            </w:r>
            <w:r>
              <w:rPr>
                <w:rStyle w:val="InternetLink"/>
              </w:rPr>
              <w:t>Greater.Jobs pages</w:t>
            </w:r>
            <w:r>
              <w:rPr/>
              <w:t xml:space="preserve"> </w:t>
            </w:r>
            <w:r>
              <w:rPr>
                <w:rFonts w:cs="Arial"/>
                <w:sz w:val="22"/>
                <w:szCs w:val="22"/>
              </w:rPr>
              <w:t>together with information about the staff benefits we offer.</w:t>
            </w:r>
          </w:p>
          <w:p>
            <w:pPr>
              <w:pStyle w:val="Normal"/>
              <w:rPr>
                <w:rFonts w:cs="Arial"/>
                <w:sz w:val="22"/>
                <w:szCs w:val="22"/>
              </w:rPr>
            </w:pPr>
            <w:r>
              <w:rPr>
                <w:rFonts w:cs="Arial"/>
                <w:sz w:val="22"/>
                <w:szCs w:val="22"/>
              </w:rPr>
            </w:r>
          </w:p>
        </w:tc>
      </w:tr>
    </w:tbl>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r>
    </w:p>
    <w:tbl>
      <w:tblPr>
        <w:tblW w:w="10449" w:type="dxa"/>
        <w:jc w:val="left"/>
        <w:tblInd w:w="-617" w:type="dxa"/>
        <w:tblCellMar>
          <w:top w:w="0" w:type="dxa"/>
          <w:left w:w="108" w:type="dxa"/>
          <w:bottom w:w="0" w:type="dxa"/>
          <w:right w:w="108" w:type="dxa"/>
        </w:tblCellMar>
      </w:tblPr>
      <w:tblGrid>
        <w:gridCol w:w="1620"/>
        <w:gridCol w:w="2106"/>
        <w:gridCol w:w="1854"/>
        <w:gridCol w:w="4869"/>
      </w:tblGrid>
      <w:tr>
        <w:trPr/>
        <w:tc>
          <w:tcPr>
            <w:tcW w:w="1620" w:type="dxa"/>
            <w:tcBorders>
              <w:top w:val="single" w:sz="4" w:space="0" w:color="000000"/>
              <w:left w:val="single" w:sz="4" w:space="0" w:color="000000"/>
              <w:bottom w:val="single" w:sz="4" w:space="0" w:color="000000"/>
            </w:tcBorders>
            <w:shd w:fill="00B3BE" w:val="clear"/>
          </w:tcPr>
          <w:p>
            <w:pPr>
              <w:pStyle w:val="Header"/>
              <w:tabs>
                <w:tab w:val="clear" w:pos="4153"/>
                <w:tab w:val="clear" w:pos="8306"/>
              </w:tabs>
              <w:snapToGrid w:val="false"/>
              <w:spacing w:before="60" w:after="60"/>
              <w:rPr>
                <w:rFonts w:cs="Arial"/>
                <w:szCs w:val="22"/>
              </w:rPr>
            </w:pPr>
            <w:r>
              <w:rPr>
                <w:rFonts w:cs="Arial"/>
                <w:szCs w:val="22"/>
              </w:rPr>
            </w:r>
          </w:p>
        </w:tc>
        <w:tc>
          <w:tcPr>
            <w:tcW w:w="2106" w:type="dxa"/>
            <w:tcBorders>
              <w:top w:val="single" w:sz="4" w:space="0" w:color="000000"/>
              <w:left w:val="single" w:sz="4" w:space="0" w:color="000000"/>
              <w:bottom w:val="single" w:sz="4" w:space="0" w:color="000000"/>
            </w:tcBorders>
            <w:shd w:fill="00B3BE" w:val="clear"/>
          </w:tcPr>
          <w:p>
            <w:pPr>
              <w:pStyle w:val="Normal"/>
              <w:spacing w:before="60" w:after="60"/>
              <w:jc w:val="center"/>
              <w:rPr>
                <w:rFonts w:cs="Arial"/>
                <w:b/>
                <w:b/>
                <w:sz w:val="22"/>
                <w:szCs w:val="22"/>
              </w:rPr>
            </w:pPr>
            <w:r>
              <w:rPr>
                <w:rFonts w:cs="Arial"/>
                <w:b/>
                <w:sz w:val="22"/>
                <w:szCs w:val="22"/>
              </w:rPr>
              <w:t>DATE</w:t>
            </w:r>
          </w:p>
        </w:tc>
        <w:tc>
          <w:tcPr>
            <w:tcW w:w="1854" w:type="dxa"/>
            <w:tcBorders>
              <w:top w:val="single" w:sz="4" w:space="0" w:color="000000"/>
              <w:left w:val="single" w:sz="4" w:space="0" w:color="000000"/>
              <w:bottom w:val="single" w:sz="4" w:space="0" w:color="000000"/>
            </w:tcBorders>
            <w:shd w:fill="00B3BE" w:val="clear"/>
          </w:tcPr>
          <w:p>
            <w:pPr>
              <w:pStyle w:val="Normal"/>
              <w:spacing w:before="60" w:after="60"/>
              <w:jc w:val="center"/>
              <w:rPr>
                <w:rFonts w:cs="Arial"/>
                <w:b/>
                <w:b/>
                <w:sz w:val="22"/>
                <w:szCs w:val="22"/>
              </w:rPr>
            </w:pPr>
            <w:r>
              <w:rPr>
                <w:rFonts w:cs="Arial"/>
                <w:b/>
                <w:sz w:val="22"/>
                <w:szCs w:val="22"/>
              </w:rPr>
              <w:t>NAME</w:t>
            </w:r>
          </w:p>
        </w:tc>
        <w:tc>
          <w:tcPr>
            <w:tcW w:w="4869" w:type="dxa"/>
            <w:tcBorders>
              <w:top w:val="single" w:sz="4" w:space="0" w:color="000000"/>
              <w:left w:val="single" w:sz="4" w:space="0" w:color="000000"/>
              <w:bottom w:val="single" w:sz="4" w:space="0" w:color="000000"/>
              <w:right w:val="single" w:sz="4" w:space="0" w:color="000000"/>
            </w:tcBorders>
            <w:shd w:fill="00B3BE" w:val="clear"/>
          </w:tcPr>
          <w:p>
            <w:pPr>
              <w:pStyle w:val="Normal"/>
              <w:spacing w:before="60" w:after="60"/>
              <w:jc w:val="center"/>
              <w:rPr>
                <w:rFonts w:cs="Arial"/>
                <w:b/>
                <w:b/>
                <w:sz w:val="22"/>
                <w:szCs w:val="22"/>
              </w:rPr>
            </w:pPr>
            <w:r>
              <w:rPr>
                <w:rFonts w:cs="Arial"/>
                <w:b/>
                <w:sz w:val="22"/>
                <w:szCs w:val="22"/>
              </w:rPr>
              <w:t>POST TITLE</w:t>
            </w:r>
          </w:p>
        </w:tc>
      </w:tr>
      <w:tr>
        <w:trPr/>
        <w:tc>
          <w:tcPr>
            <w:tcW w:w="1620" w:type="dxa"/>
            <w:tcBorders>
              <w:top w:val="single" w:sz="4" w:space="0" w:color="000000"/>
              <w:left w:val="single" w:sz="4" w:space="0" w:color="000000"/>
              <w:bottom w:val="single" w:sz="4" w:space="0" w:color="000000"/>
            </w:tcBorders>
            <w:shd w:fill="auto" w:val="clear"/>
          </w:tcPr>
          <w:p>
            <w:pPr>
              <w:pStyle w:val="Normal"/>
              <w:spacing w:before="60" w:after="60"/>
              <w:rPr>
                <w:rFonts w:cs="Arial"/>
                <w:b/>
                <w:b/>
                <w:sz w:val="22"/>
                <w:szCs w:val="22"/>
              </w:rPr>
            </w:pPr>
            <w:r>
              <w:rPr>
                <w:rFonts w:cs="Arial"/>
                <w:b/>
                <w:sz w:val="22"/>
                <w:szCs w:val="22"/>
              </w:rPr>
              <w:t>Prepared</w:t>
            </w:r>
          </w:p>
        </w:tc>
        <w:tc>
          <w:tcPr>
            <w:tcW w:w="2106" w:type="dxa"/>
            <w:tcBorders>
              <w:top w:val="single" w:sz="4" w:space="0" w:color="000000"/>
              <w:left w:val="single" w:sz="4" w:space="0" w:color="000000"/>
              <w:bottom w:val="single" w:sz="4" w:space="0" w:color="000000"/>
            </w:tcBorders>
            <w:shd w:fill="auto" w:val="clear"/>
          </w:tcPr>
          <w:p>
            <w:pPr>
              <w:pStyle w:val="Normal"/>
              <w:spacing w:before="60" w:after="60"/>
              <w:rPr/>
            </w:pPr>
            <w:r>
              <w:rPr/>
              <w:t>May 2019</w:t>
            </w:r>
          </w:p>
        </w:tc>
        <w:tc>
          <w:tcPr>
            <w:tcW w:w="1854" w:type="dxa"/>
            <w:tcBorders>
              <w:top w:val="single" w:sz="4" w:space="0" w:color="000000"/>
              <w:left w:val="single" w:sz="4" w:space="0" w:color="000000"/>
              <w:bottom w:val="single" w:sz="4" w:space="0" w:color="000000"/>
            </w:tcBorders>
            <w:shd w:fill="auto" w:val="clear"/>
          </w:tcPr>
          <w:p>
            <w:pPr>
              <w:pStyle w:val="Normal"/>
              <w:spacing w:before="60" w:after="60"/>
              <w:rPr/>
            </w:pPr>
            <w:r>
              <w:rPr/>
              <w:t>Julia Veall</w:t>
            </w:r>
          </w:p>
        </w:tc>
        <w:tc>
          <w:tcPr>
            <w:tcW w:w="4869"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60" w:after="60"/>
              <w:rPr/>
            </w:pPr>
            <w:r>
              <w:rPr/>
              <w:t>Transformation Advisor</w:t>
            </w:r>
          </w:p>
        </w:tc>
      </w:tr>
      <w:tr>
        <w:trPr/>
        <w:tc>
          <w:tcPr>
            <w:tcW w:w="1620" w:type="dxa"/>
            <w:tcBorders>
              <w:top w:val="single" w:sz="4" w:space="0" w:color="000000"/>
              <w:left w:val="single" w:sz="4" w:space="0" w:color="000000"/>
              <w:bottom w:val="single" w:sz="4" w:space="0" w:color="000000"/>
            </w:tcBorders>
            <w:shd w:fill="auto" w:val="clear"/>
          </w:tcPr>
          <w:p>
            <w:pPr>
              <w:pStyle w:val="Normal"/>
              <w:spacing w:before="60" w:after="60"/>
              <w:rPr>
                <w:rFonts w:cs="Arial"/>
                <w:b/>
                <w:b/>
                <w:sz w:val="22"/>
                <w:szCs w:val="22"/>
              </w:rPr>
            </w:pPr>
            <w:r>
              <w:rPr>
                <w:rFonts w:cs="Arial"/>
                <w:b/>
                <w:sz w:val="22"/>
                <w:szCs w:val="22"/>
              </w:rPr>
              <w:t>Reviewed</w:t>
            </w:r>
          </w:p>
        </w:tc>
        <w:tc>
          <w:tcPr>
            <w:tcW w:w="2106" w:type="dxa"/>
            <w:tcBorders>
              <w:top w:val="single" w:sz="4" w:space="0" w:color="000000"/>
              <w:left w:val="single" w:sz="4" w:space="0" w:color="000000"/>
              <w:bottom w:val="single" w:sz="4" w:space="0" w:color="000000"/>
            </w:tcBorders>
            <w:shd w:fill="auto" w:val="clear"/>
          </w:tcPr>
          <w:p>
            <w:pPr>
              <w:pStyle w:val="Normal"/>
              <w:spacing w:before="60" w:after="60"/>
              <w:rPr/>
            </w:pPr>
            <w:r>
              <w:rPr/>
              <w:t>June 2020</w:t>
            </w:r>
          </w:p>
        </w:tc>
        <w:tc>
          <w:tcPr>
            <w:tcW w:w="1854" w:type="dxa"/>
            <w:tcBorders>
              <w:top w:val="single" w:sz="4" w:space="0" w:color="000000"/>
              <w:left w:val="single" w:sz="4" w:space="0" w:color="000000"/>
              <w:bottom w:val="single" w:sz="4" w:space="0" w:color="000000"/>
            </w:tcBorders>
            <w:shd w:fill="auto" w:val="clear"/>
          </w:tcPr>
          <w:p>
            <w:pPr>
              <w:pStyle w:val="Normal"/>
              <w:spacing w:before="60" w:after="60"/>
              <w:rPr/>
            </w:pPr>
            <w:r>
              <w:rPr/>
              <w:t>Karen Rose</w:t>
            </w:r>
          </w:p>
        </w:tc>
        <w:tc>
          <w:tcPr>
            <w:tcW w:w="4869"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60" w:after="60"/>
              <w:rPr/>
            </w:pPr>
            <w:r>
              <w:rPr/>
              <w:t>Assistant Director of Children’s Services Integration</w:t>
            </w:r>
          </w:p>
        </w:tc>
      </w:tr>
      <w:tr>
        <w:trPr/>
        <w:tc>
          <w:tcPr>
            <w:tcW w:w="1620" w:type="dxa"/>
            <w:tcBorders>
              <w:top w:val="single" w:sz="4" w:space="0" w:color="000000"/>
              <w:left w:val="single" w:sz="4" w:space="0" w:color="000000"/>
              <w:bottom w:val="single" w:sz="4" w:space="0" w:color="000000"/>
            </w:tcBorders>
            <w:shd w:fill="auto" w:val="clear"/>
          </w:tcPr>
          <w:p>
            <w:pPr>
              <w:pStyle w:val="Normal"/>
              <w:spacing w:before="60" w:after="60"/>
              <w:rPr>
                <w:rFonts w:cs="Arial"/>
                <w:b/>
                <w:b/>
                <w:sz w:val="22"/>
                <w:szCs w:val="22"/>
              </w:rPr>
            </w:pPr>
            <w:r>
              <w:rPr>
                <w:rFonts w:cs="Arial"/>
                <w:b/>
                <w:sz w:val="22"/>
                <w:szCs w:val="22"/>
              </w:rPr>
              <w:t>Reviewed</w:t>
            </w:r>
          </w:p>
        </w:tc>
        <w:tc>
          <w:tcPr>
            <w:tcW w:w="2106" w:type="dxa"/>
            <w:tcBorders>
              <w:top w:val="single" w:sz="4" w:space="0" w:color="000000"/>
              <w:left w:val="single" w:sz="4" w:space="0" w:color="000000"/>
              <w:bottom w:val="single" w:sz="4" w:space="0" w:color="000000"/>
            </w:tcBorders>
            <w:shd w:fill="auto" w:val="clear"/>
          </w:tcPr>
          <w:p>
            <w:pPr>
              <w:pStyle w:val="Normal"/>
              <w:spacing w:before="60" w:after="60"/>
              <w:rPr>
                <w:rFonts w:cs="Arial"/>
                <w:sz w:val="22"/>
                <w:szCs w:val="22"/>
              </w:rPr>
            </w:pPr>
            <w:r>
              <w:rPr>
                <w:rFonts w:cs="Arial"/>
                <w:sz w:val="22"/>
                <w:szCs w:val="22"/>
              </w:rPr>
              <w:t>February 2023</w:t>
            </w:r>
          </w:p>
        </w:tc>
        <w:tc>
          <w:tcPr>
            <w:tcW w:w="1854" w:type="dxa"/>
            <w:tcBorders>
              <w:top w:val="single" w:sz="4" w:space="0" w:color="000000"/>
              <w:left w:val="single" w:sz="4" w:space="0" w:color="000000"/>
              <w:bottom w:val="single" w:sz="4" w:space="0" w:color="000000"/>
            </w:tcBorders>
            <w:shd w:fill="auto" w:val="clear"/>
          </w:tcPr>
          <w:p>
            <w:pPr>
              <w:pStyle w:val="Normal"/>
              <w:spacing w:before="60" w:after="60"/>
              <w:rPr>
                <w:rFonts w:cs="Arial"/>
                <w:sz w:val="22"/>
                <w:szCs w:val="22"/>
              </w:rPr>
            </w:pPr>
            <w:r>
              <w:rPr>
                <w:rFonts w:cs="Arial"/>
                <w:sz w:val="22"/>
                <w:szCs w:val="22"/>
              </w:rPr>
              <w:t>Sheila Garara</w:t>
            </w:r>
          </w:p>
        </w:tc>
        <w:tc>
          <w:tcPr>
            <w:tcW w:w="4869"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60" w:after="60"/>
              <w:rPr>
                <w:rFonts w:cs="Arial"/>
                <w:sz w:val="22"/>
                <w:szCs w:val="22"/>
              </w:rPr>
            </w:pPr>
            <w:r>
              <w:rPr>
                <w:rFonts w:cs="Arial"/>
                <w:sz w:val="22"/>
                <w:szCs w:val="22"/>
              </w:rPr>
              <w:t>Head of Strategy and Business Services</w:t>
            </w:r>
          </w:p>
        </w:tc>
      </w:tr>
      <w:tr>
        <w:trPr/>
        <w:tc>
          <w:tcPr>
            <w:tcW w:w="1620" w:type="dxa"/>
            <w:tcBorders>
              <w:top w:val="single" w:sz="4" w:space="0" w:color="000000"/>
              <w:left w:val="single" w:sz="4" w:space="0" w:color="000000"/>
              <w:bottom w:val="single" w:sz="4" w:space="0" w:color="000000"/>
            </w:tcBorders>
            <w:shd w:fill="auto" w:val="clear"/>
          </w:tcPr>
          <w:p>
            <w:pPr>
              <w:pStyle w:val="Normal"/>
              <w:spacing w:before="60" w:after="60"/>
              <w:rPr>
                <w:rFonts w:cs="Arial"/>
                <w:b/>
                <w:b/>
                <w:sz w:val="22"/>
                <w:szCs w:val="22"/>
              </w:rPr>
            </w:pPr>
            <w:r>
              <w:rPr>
                <w:rFonts w:cs="Arial"/>
                <w:b/>
                <w:sz w:val="22"/>
                <w:szCs w:val="22"/>
              </w:rPr>
              <w:t>Reviewed</w:t>
            </w:r>
          </w:p>
        </w:tc>
        <w:tc>
          <w:tcPr>
            <w:tcW w:w="2106" w:type="dxa"/>
            <w:tcBorders>
              <w:top w:val="single" w:sz="4" w:space="0" w:color="000000"/>
              <w:left w:val="single" w:sz="4" w:space="0" w:color="000000"/>
              <w:bottom w:val="single" w:sz="4" w:space="0" w:color="000000"/>
            </w:tcBorders>
            <w:shd w:fill="auto" w:val="clear"/>
          </w:tcPr>
          <w:p>
            <w:pPr>
              <w:pStyle w:val="Normal"/>
              <w:spacing w:before="60" w:after="60"/>
              <w:rPr>
                <w:rFonts w:cs="Arial"/>
                <w:sz w:val="22"/>
                <w:szCs w:val="22"/>
              </w:rPr>
            </w:pPr>
            <w:r>
              <w:rPr>
                <w:rFonts w:cs="Arial"/>
                <w:sz w:val="22"/>
                <w:szCs w:val="22"/>
              </w:rPr>
              <w:t>September 2025</w:t>
            </w:r>
          </w:p>
        </w:tc>
        <w:tc>
          <w:tcPr>
            <w:tcW w:w="1854" w:type="dxa"/>
            <w:tcBorders>
              <w:top w:val="single" w:sz="4" w:space="0" w:color="000000"/>
              <w:left w:val="single" w:sz="4" w:space="0" w:color="000000"/>
              <w:bottom w:val="single" w:sz="4" w:space="0" w:color="000000"/>
            </w:tcBorders>
            <w:shd w:fill="auto" w:val="clear"/>
          </w:tcPr>
          <w:p>
            <w:pPr>
              <w:pStyle w:val="Normal"/>
              <w:spacing w:before="60" w:after="60"/>
              <w:rPr>
                <w:rFonts w:cs="Arial"/>
                <w:sz w:val="22"/>
                <w:szCs w:val="22"/>
              </w:rPr>
            </w:pPr>
            <w:r>
              <w:rPr>
                <w:rFonts w:cs="Arial"/>
                <w:sz w:val="22"/>
                <w:szCs w:val="22"/>
              </w:rPr>
              <w:t>Sheila Garara</w:t>
            </w:r>
          </w:p>
        </w:tc>
        <w:tc>
          <w:tcPr>
            <w:tcW w:w="4869"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60" w:after="60"/>
              <w:rPr/>
            </w:pPr>
            <w:r>
              <w:rPr/>
              <w:t>Assistant Director of Children’s Services Integration</w:t>
            </w:r>
          </w:p>
        </w:tc>
      </w:tr>
    </w:tbl>
    <w:p>
      <w:pPr>
        <w:pStyle w:val="Normal"/>
        <w:jc w:val="center"/>
        <w:rPr>
          <w:rFonts w:cs="Arial"/>
          <w:b/>
          <w:b/>
          <w:bCs/>
          <w:sz w:val="22"/>
          <w:szCs w:val="22"/>
          <w:u w:val="single"/>
        </w:rPr>
      </w:pPr>
      <w:r>
        <w:br w:type="page"/>
      </w:r>
      <w:r>
        <w:rPr>
          <w:rFonts w:cs="Arial"/>
          <w:b/>
          <w:bCs/>
          <w:sz w:val="22"/>
          <w:szCs w:val="22"/>
          <w:u w:val="single"/>
        </w:rPr>
        <w:t>OLDHAM COUNCIL</w:t>
      </w:r>
    </w:p>
    <w:p>
      <w:pPr>
        <w:pStyle w:val="Normal"/>
        <w:jc w:val="center"/>
        <w:rPr>
          <w:rFonts w:cs="Arial"/>
          <w:b/>
          <w:b/>
          <w:bCs/>
          <w:sz w:val="22"/>
          <w:szCs w:val="22"/>
          <w:u w:val="single"/>
        </w:rPr>
      </w:pPr>
      <w:r>
        <w:rPr>
          <w:rFonts w:cs="Arial"/>
          <w:b/>
          <w:bCs/>
          <w:sz w:val="22"/>
          <w:szCs w:val="22"/>
          <w:u w:val="single"/>
        </w:rPr>
      </w:r>
    </w:p>
    <w:p>
      <w:pPr>
        <w:pStyle w:val="Normal"/>
        <w:jc w:val="center"/>
        <w:rPr>
          <w:rFonts w:cs="Arial"/>
          <w:b/>
          <w:b/>
          <w:bCs/>
          <w:sz w:val="22"/>
          <w:szCs w:val="22"/>
          <w:u w:val="single"/>
        </w:rPr>
      </w:pPr>
      <w:r>
        <w:rPr>
          <w:rFonts w:cs="Arial"/>
          <w:b/>
          <w:bCs/>
          <w:sz w:val="22"/>
          <w:szCs w:val="22"/>
          <w:u w:val="single"/>
        </w:rPr>
        <w:t>PERSON SPECIFICATION</w:t>
      </w:r>
    </w:p>
    <w:p>
      <w:pPr>
        <w:pStyle w:val="Normal"/>
        <w:rPr>
          <w:rFonts w:cs="Arial"/>
          <w:bCs/>
          <w:sz w:val="22"/>
          <w:szCs w:val="22"/>
        </w:rPr>
      </w:pPr>
      <w:r>
        <w:rPr>
          <w:rFonts w:cs="Arial"/>
          <w:bCs/>
          <w:sz w:val="22"/>
          <w:szCs w:val="22"/>
        </w:rPr>
      </w:r>
    </w:p>
    <w:p>
      <w:pPr>
        <w:pStyle w:val="Endnote"/>
        <w:rPr>
          <w:rFonts w:ascii="Arial" w:hAnsi="Arial" w:cs="Arial"/>
          <w:b/>
          <w:b/>
          <w:bCs/>
          <w:sz w:val="22"/>
          <w:szCs w:val="22"/>
        </w:rPr>
      </w:pPr>
      <w:r>
        <w:rPr>
          <w:rFonts w:cs="Arial" w:ascii="Arial" w:hAnsi="Arial"/>
          <w:b/>
          <w:bCs/>
          <w:sz w:val="22"/>
          <w:szCs w:val="22"/>
        </w:rPr>
      </w:r>
    </w:p>
    <w:p>
      <w:pPr>
        <w:pStyle w:val="Normal"/>
        <w:rPr/>
      </w:pPr>
      <w:r>
        <w:rPr>
          <w:rFonts w:cs="Arial"/>
          <w:b/>
          <w:bCs/>
          <w:sz w:val="22"/>
          <w:szCs w:val="22"/>
        </w:rPr>
        <w:t xml:space="preserve">Job Title:   </w:t>
      </w:r>
      <w:r>
        <w:rPr>
          <w:rFonts w:cs="Arial"/>
          <w:sz w:val="22"/>
          <w:szCs w:val="22"/>
        </w:rPr>
        <w:t>Children’s Services Strategy and Improvement Manager</w:t>
      </w:r>
    </w:p>
    <w:p>
      <w:pPr>
        <w:pStyle w:val="Normal"/>
        <w:rPr>
          <w:rFonts w:cs="Arial"/>
          <w:sz w:val="22"/>
          <w:szCs w:val="22"/>
        </w:rPr>
      </w:pPr>
      <w:r>
        <w:rPr>
          <w:rFonts w:cs="Arial"/>
          <w:sz w:val="22"/>
          <w:szCs w:val="22"/>
        </w:rPr>
      </w:r>
    </w:p>
    <w:tbl>
      <w:tblPr>
        <w:tblW w:w="10449" w:type="dxa"/>
        <w:jc w:val="left"/>
        <w:tblInd w:w="-617" w:type="dxa"/>
        <w:tblCellMar>
          <w:top w:w="0" w:type="dxa"/>
          <w:left w:w="108" w:type="dxa"/>
          <w:bottom w:w="0" w:type="dxa"/>
          <w:right w:w="108" w:type="dxa"/>
        </w:tblCellMar>
      </w:tblPr>
      <w:tblGrid>
        <w:gridCol w:w="1799"/>
        <w:gridCol w:w="3960"/>
        <w:gridCol w:w="3060"/>
        <w:gridCol w:w="1630"/>
      </w:tblGrid>
      <w:tr>
        <w:trPr>
          <w:trHeight w:val="1000" w:hRule="atLeast"/>
          <w:cantSplit w:val="true"/>
        </w:trPr>
        <w:tc>
          <w:tcPr>
            <w:tcW w:w="1799" w:type="dxa"/>
            <w:tcBorders>
              <w:top w:val="single" w:sz="4" w:space="0" w:color="000000"/>
              <w:left w:val="single" w:sz="4" w:space="0" w:color="000000"/>
              <w:bottom w:val="single" w:sz="4" w:space="0" w:color="000000"/>
            </w:tcBorders>
            <w:shd w:fill="00B3BE" w:val="clear"/>
          </w:tcPr>
          <w:p>
            <w:pPr>
              <w:pStyle w:val="Normal"/>
              <w:snapToGrid w:val="false"/>
              <w:rPr>
                <w:rFonts w:cs="Arial"/>
                <w:b/>
                <w:b/>
                <w:bCs/>
                <w:sz w:val="22"/>
                <w:szCs w:val="22"/>
              </w:rPr>
            </w:pPr>
            <w:r>
              <w:rPr>
                <w:rFonts w:cs="Arial"/>
                <w:b/>
                <w:bCs/>
                <w:sz w:val="22"/>
                <w:szCs w:val="22"/>
              </w:rPr>
            </w:r>
          </w:p>
        </w:tc>
        <w:tc>
          <w:tcPr>
            <w:tcW w:w="3960" w:type="dxa"/>
            <w:tcBorders>
              <w:top w:val="single" w:sz="4" w:space="0" w:color="000000"/>
              <w:left w:val="single" w:sz="4" w:space="0" w:color="000000"/>
              <w:bottom w:val="single" w:sz="4" w:space="0" w:color="000000"/>
            </w:tcBorders>
            <w:shd w:fill="00B3BE" w:val="clear"/>
          </w:tcPr>
          <w:p>
            <w:pPr>
              <w:pStyle w:val="Normal"/>
              <w:snapToGrid w:val="false"/>
              <w:jc w:val="center"/>
              <w:rPr>
                <w:rFonts w:cs="Arial"/>
                <w:b/>
                <w:b/>
                <w:bCs/>
                <w:sz w:val="22"/>
                <w:szCs w:val="22"/>
              </w:rPr>
            </w:pPr>
            <w:r>
              <w:rPr>
                <w:rFonts w:cs="Arial"/>
                <w:b/>
                <w:bCs/>
                <w:sz w:val="22"/>
                <w:szCs w:val="22"/>
              </w:rPr>
            </w:r>
          </w:p>
          <w:p>
            <w:pPr>
              <w:pStyle w:val="Normal"/>
              <w:jc w:val="center"/>
              <w:rPr>
                <w:rFonts w:cs="Arial"/>
                <w:b/>
                <w:b/>
                <w:bCs/>
                <w:sz w:val="22"/>
                <w:szCs w:val="22"/>
              </w:rPr>
            </w:pPr>
            <w:r>
              <w:rPr>
                <w:rFonts w:cs="Arial"/>
                <w:b/>
                <w:bCs/>
                <w:sz w:val="22"/>
                <w:szCs w:val="22"/>
              </w:rPr>
              <w:t xml:space="preserve">Selection criteria </w:t>
            </w:r>
          </w:p>
          <w:p>
            <w:pPr>
              <w:pStyle w:val="Normal"/>
              <w:jc w:val="center"/>
              <w:rPr>
                <w:rFonts w:cs="Arial"/>
                <w:b/>
                <w:b/>
                <w:bCs/>
                <w:sz w:val="22"/>
                <w:szCs w:val="22"/>
              </w:rPr>
            </w:pPr>
            <w:r>
              <w:rPr>
                <w:rFonts w:cs="Arial"/>
                <w:b/>
                <w:bCs/>
                <w:sz w:val="22"/>
                <w:szCs w:val="22"/>
              </w:rPr>
              <w:t>(Essential)</w:t>
            </w:r>
          </w:p>
        </w:tc>
        <w:tc>
          <w:tcPr>
            <w:tcW w:w="3060" w:type="dxa"/>
            <w:tcBorders>
              <w:top w:val="single" w:sz="4" w:space="0" w:color="000000"/>
              <w:left w:val="single" w:sz="4" w:space="0" w:color="000000"/>
              <w:bottom w:val="single" w:sz="4" w:space="0" w:color="000000"/>
            </w:tcBorders>
            <w:shd w:fill="00B3BE" w:val="clear"/>
          </w:tcPr>
          <w:p>
            <w:pPr>
              <w:pStyle w:val="Normal"/>
              <w:snapToGrid w:val="false"/>
              <w:jc w:val="center"/>
              <w:rPr>
                <w:rFonts w:cs="Arial"/>
                <w:b/>
                <w:b/>
                <w:bCs/>
                <w:sz w:val="22"/>
                <w:szCs w:val="22"/>
              </w:rPr>
            </w:pPr>
            <w:r>
              <w:rPr>
                <w:rFonts w:cs="Arial"/>
                <w:b/>
                <w:bCs/>
                <w:sz w:val="22"/>
                <w:szCs w:val="22"/>
              </w:rPr>
            </w:r>
          </w:p>
          <w:p>
            <w:pPr>
              <w:pStyle w:val="Normal"/>
              <w:jc w:val="center"/>
              <w:rPr>
                <w:rFonts w:cs="Arial"/>
                <w:b/>
                <w:b/>
                <w:bCs/>
                <w:sz w:val="22"/>
                <w:szCs w:val="22"/>
              </w:rPr>
            </w:pPr>
            <w:r>
              <w:rPr>
                <w:rFonts w:cs="Arial"/>
                <w:b/>
                <w:bCs/>
                <w:sz w:val="22"/>
                <w:szCs w:val="22"/>
              </w:rPr>
              <w:t xml:space="preserve">Selection criteria </w:t>
            </w:r>
          </w:p>
          <w:p>
            <w:pPr>
              <w:pStyle w:val="Normal"/>
              <w:jc w:val="center"/>
              <w:rPr>
                <w:rFonts w:cs="Arial"/>
                <w:b/>
                <w:b/>
                <w:bCs/>
                <w:sz w:val="22"/>
                <w:szCs w:val="22"/>
              </w:rPr>
            </w:pPr>
            <w:r>
              <w:rPr>
                <w:rFonts w:cs="Arial"/>
                <w:b/>
                <w:bCs/>
                <w:sz w:val="22"/>
                <w:szCs w:val="22"/>
              </w:rPr>
              <w:t>(Desirable)</w:t>
            </w:r>
          </w:p>
          <w:p>
            <w:pPr>
              <w:pStyle w:val="Normal"/>
              <w:jc w:val="center"/>
              <w:rPr>
                <w:rFonts w:cs="Arial"/>
                <w:b/>
                <w:b/>
                <w:bCs/>
                <w:sz w:val="22"/>
                <w:szCs w:val="22"/>
              </w:rPr>
            </w:pPr>
            <w:r>
              <w:rPr>
                <w:rFonts w:cs="Arial"/>
                <w:b/>
                <w:bCs/>
                <w:sz w:val="22"/>
                <w:szCs w:val="22"/>
              </w:rPr>
            </w:r>
          </w:p>
        </w:tc>
        <w:tc>
          <w:tcPr>
            <w:tcW w:w="1630" w:type="dxa"/>
            <w:tcBorders>
              <w:top w:val="single" w:sz="4" w:space="0" w:color="000000"/>
              <w:left w:val="single" w:sz="4" w:space="0" w:color="000000"/>
              <w:bottom w:val="single" w:sz="4" w:space="0" w:color="000000"/>
              <w:right w:val="single" w:sz="4" w:space="0" w:color="000000"/>
            </w:tcBorders>
            <w:shd w:fill="00B3BE" w:val="clear"/>
          </w:tcPr>
          <w:p>
            <w:pPr>
              <w:pStyle w:val="Normal"/>
              <w:snapToGrid w:val="false"/>
              <w:jc w:val="center"/>
              <w:rPr>
                <w:rFonts w:cs="Arial"/>
                <w:b/>
                <w:b/>
                <w:bCs/>
                <w:sz w:val="22"/>
                <w:szCs w:val="22"/>
              </w:rPr>
            </w:pPr>
            <w:r>
              <w:rPr>
                <w:rFonts w:cs="Arial"/>
                <w:b/>
                <w:bCs/>
                <w:sz w:val="22"/>
                <w:szCs w:val="22"/>
              </w:rPr>
            </w:r>
          </w:p>
          <w:p>
            <w:pPr>
              <w:pStyle w:val="Normal"/>
              <w:jc w:val="center"/>
              <w:rPr>
                <w:rFonts w:cs="Arial"/>
                <w:b/>
                <w:b/>
                <w:bCs/>
                <w:sz w:val="22"/>
                <w:szCs w:val="22"/>
              </w:rPr>
            </w:pPr>
            <w:r>
              <w:rPr>
                <w:rFonts w:cs="Arial"/>
                <w:b/>
                <w:bCs/>
                <w:sz w:val="22"/>
                <w:szCs w:val="22"/>
              </w:rPr>
              <w:t>How Assessed</w:t>
            </w:r>
          </w:p>
        </w:tc>
      </w:tr>
      <w:tr>
        <w:trPr/>
        <w:tc>
          <w:tcPr>
            <w:tcW w:w="1799" w:type="dxa"/>
            <w:tcBorders>
              <w:top w:val="single" w:sz="4" w:space="0" w:color="000000"/>
              <w:left w:val="single" w:sz="4" w:space="0" w:color="000000"/>
              <w:bottom w:val="single" w:sz="4" w:space="0" w:color="000000"/>
            </w:tcBorders>
            <w:shd w:fill="00B3BE" w:val="clear"/>
          </w:tcPr>
          <w:p>
            <w:pPr>
              <w:pStyle w:val="Normal"/>
              <w:snapToGrid w:val="false"/>
              <w:rPr>
                <w:rFonts w:cs="Arial"/>
                <w:b/>
                <w:b/>
                <w:bCs/>
                <w:sz w:val="22"/>
                <w:szCs w:val="22"/>
              </w:rPr>
            </w:pPr>
            <w:r>
              <w:rPr>
                <w:rFonts w:cs="Arial"/>
                <w:b/>
                <w:bCs/>
                <w:sz w:val="22"/>
                <w:szCs w:val="22"/>
              </w:rPr>
            </w:r>
          </w:p>
          <w:p>
            <w:pPr>
              <w:pStyle w:val="TextBody"/>
              <w:rPr>
                <w:rFonts w:cs="Arial"/>
                <w:bCs/>
                <w:szCs w:val="22"/>
              </w:rPr>
            </w:pPr>
            <w:r>
              <w:rPr>
                <w:rFonts w:cs="Arial"/>
                <w:bCs/>
                <w:szCs w:val="22"/>
              </w:rPr>
              <w:t>Education &amp; Qualifications</w:t>
            </w:r>
          </w:p>
          <w:p>
            <w:pPr>
              <w:pStyle w:val="Normal"/>
              <w:rPr>
                <w:rFonts w:cs="Arial"/>
                <w:b/>
                <w:b/>
                <w:bCs/>
                <w:sz w:val="22"/>
                <w:szCs w:val="22"/>
              </w:rPr>
            </w:pPr>
            <w:r>
              <w:rPr>
                <w:rFonts w:cs="Arial"/>
                <w:b/>
                <w:bCs/>
                <w:sz w:val="22"/>
                <w:szCs w:val="22"/>
              </w:rPr>
            </w:r>
          </w:p>
        </w:tc>
        <w:tc>
          <w:tcPr>
            <w:tcW w:w="3960" w:type="dxa"/>
            <w:tcBorders>
              <w:top w:val="single" w:sz="4" w:space="0" w:color="000000"/>
              <w:left w:val="single" w:sz="4" w:space="0" w:color="000000"/>
              <w:bottom w:val="single" w:sz="4" w:space="0" w:color="000000"/>
            </w:tcBorders>
            <w:shd w:fill="auto" w:val="clear"/>
          </w:tcPr>
          <w:p>
            <w:pPr>
              <w:pStyle w:val="Header"/>
              <w:tabs>
                <w:tab w:val="clear" w:pos="4153"/>
                <w:tab w:val="clear" w:pos="8306"/>
              </w:tabs>
              <w:snapToGrid w:val="false"/>
              <w:rPr>
                <w:rFonts w:cs="Arial"/>
                <w:b/>
                <w:b/>
                <w:bCs/>
                <w:sz w:val="22"/>
                <w:szCs w:val="22"/>
              </w:rPr>
            </w:pPr>
            <w:r>
              <w:rPr>
                <w:rFonts w:cs="Arial"/>
                <w:b/>
                <w:bCs/>
                <w:sz w:val="22"/>
                <w:szCs w:val="22"/>
              </w:rPr>
            </w:r>
          </w:p>
          <w:p>
            <w:pPr>
              <w:pStyle w:val="Header"/>
              <w:tabs>
                <w:tab w:val="clear" w:pos="4153"/>
                <w:tab w:val="clear" w:pos="8306"/>
              </w:tabs>
              <w:rPr>
                <w:rFonts w:cs="Arial"/>
                <w:szCs w:val="22"/>
              </w:rPr>
            </w:pPr>
            <w:r>
              <w:rPr>
                <w:rFonts w:cs="Arial"/>
                <w:szCs w:val="22"/>
              </w:rPr>
              <w:t>Appropriate degree, professional qualifications, or equivalent experience.</w:t>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t>Evidence of continued professional, managerial and personal development.</w:t>
            </w:r>
          </w:p>
        </w:tc>
        <w:tc>
          <w:tcPr>
            <w:tcW w:w="3060" w:type="dxa"/>
            <w:tcBorders>
              <w:top w:val="single" w:sz="4" w:space="0" w:color="000000"/>
              <w:left w:val="single" w:sz="4" w:space="0" w:color="000000"/>
              <w:bottom w:val="single" w:sz="4" w:space="0" w:color="000000"/>
            </w:tcBorders>
            <w:shd w:fill="auto" w:val="clear"/>
          </w:tcPr>
          <w:p>
            <w:pPr>
              <w:pStyle w:val="Normal"/>
              <w:snapToGrid w:val="false"/>
              <w:rPr>
                <w:rFonts w:cs="Arial"/>
                <w:sz w:val="22"/>
                <w:szCs w:val="22"/>
              </w:rPr>
            </w:pPr>
            <w:r>
              <w:rPr>
                <w:rFonts w:cs="Arial"/>
                <w:sz w:val="22"/>
                <w:szCs w:val="22"/>
              </w:rPr>
            </w:r>
          </w:p>
          <w:p>
            <w:pPr>
              <w:pStyle w:val="Header"/>
              <w:tabs>
                <w:tab w:val="clear" w:pos="4153"/>
                <w:tab w:val="clear" w:pos="8306"/>
              </w:tabs>
              <w:rPr>
                <w:rFonts w:cs="Arial"/>
                <w:szCs w:val="22"/>
              </w:rPr>
            </w:pPr>
            <w:r>
              <w:rPr>
                <w:rFonts w:cs="Arial"/>
                <w:szCs w:val="22"/>
              </w:rPr>
              <w:t>Leadership or management qualification.</w:t>
            </w:r>
          </w:p>
          <w:p>
            <w:pPr>
              <w:pStyle w:val="Header"/>
              <w:tabs>
                <w:tab w:val="clear" w:pos="4153"/>
                <w:tab w:val="clear" w:pos="8306"/>
              </w:tabs>
              <w:rPr>
                <w:rFonts w:cs="Arial"/>
                <w:szCs w:val="22"/>
              </w:rPr>
            </w:pPr>
            <w:r>
              <w:rPr>
                <w:rFonts w:cs="Arial"/>
                <w:szCs w:val="22"/>
              </w:rPr>
            </w:r>
          </w:p>
          <w:p>
            <w:pPr>
              <w:pStyle w:val="Header"/>
              <w:tabs>
                <w:tab w:val="clear" w:pos="4153"/>
                <w:tab w:val="clear" w:pos="8306"/>
              </w:tabs>
              <w:rPr>
                <w:rFonts w:cs="Arial"/>
                <w:szCs w:val="22"/>
              </w:rPr>
            </w:pPr>
            <w:r>
              <w:rPr>
                <w:rFonts w:cs="Arial"/>
                <w:szCs w:val="22"/>
              </w:rPr>
            </w:r>
          </w:p>
          <w:p>
            <w:pPr>
              <w:pStyle w:val="Header"/>
              <w:tabs>
                <w:tab w:val="clear" w:pos="4153"/>
                <w:tab w:val="clear" w:pos="8306"/>
              </w:tabs>
              <w:rPr>
                <w:rFonts w:cs="Arial"/>
                <w:szCs w:val="22"/>
              </w:rPr>
            </w:pPr>
            <w:r>
              <w:rPr>
                <w:rFonts w:cs="Arial"/>
                <w:szCs w:val="22"/>
              </w:rPr>
              <w:t xml:space="preserve">Training in Performance Management </w:t>
            </w:r>
          </w:p>
        </w:tc>
        <w:tc>
          <w:tcPr>
            <w:tcW w:w="1630" w:type="dxa"/>
            <w:tcBorders>
              <w:top w:val="single" w:sz="4" w:space="0" w:color="000000"/>
              <w:left w:val="single" w:sz="4" w:space="0" w:color="000000"/>
              <w:bottom w:val="single" w:sz="4" w:space="0" w:color="000000"/>
              <w:right w:val="single" w:sz="4" w:space="0" w:color="000000"/>
            </w:tcBorders>
            <w:shd w:fill="auto" w:val="clear"/>
          </w:tcPr>
          <w:p>
            <w:pPr>
              <w:pStyle w:val="Header"/>
              <w:tabs>
                <w:tab w:val="clear" w:pos="4153"/>
                <w:tab w:val="clear" w:pos="8306"/>
              </w:tabs>
              <w:snapToGrid w:val="false"/>
              <w:jc w:val="center"/>
              <w:rPr>
                <w:rFonts w:cs="Arial"/>
                <w:szCs w:val="22"/>
              </w:rPr>
            </w:pPr>
            <w:r>
              <w:rPr>
                <w:rFonts w:cs="Arial"/>
                <w:szCs w:val="22"/>
              </w:rPr>
            </w:r>
          </w:p>
          <w:p>
            <w:pPr>
              <w:pStyle w:val="Header"/>
              <w:tabs>
                <w:tab w:val="clear" w:pos="4153"/>
                <w:tab w:val="clear" w:pos="8306"/>
              </w:tabs>
              <w:jc w:val="center"/>
              <w:rPr>
                <w:rFonts w:cs="Arial"/>
                <w:szCs w:val="22"/>
              </w:rPr>
            </w:pPr>
            <w:r>
              <w:rPr>
                <w:rFonts w:cs="Arial"/>
                <w:szCs w:val="22"/>
              </w:rPr>
              <w:t>AF</w:t>
            </w:r>
          </w:p>
          <w:p>
            <w:pPr>
              <w:pStyle w:val="Header"/>
              <w:tabs>
                <w:tab w:val="clear" w:pos="4153"/>
                <w:tab w:val="clear" w:pos="8306"/>
              </w:tabs>
              <w:jc w:val="center"/>
              <w:rPr>
                <w:rFonts w:cs="Arial"/>
                <w:szCs w:val="22"/>
              </w:rPr>
            </w:pPr>
            <w:r>
              <w:rPr>
                <w:rFonts w:cs="Arial"/>
                <w:szCs w:val="22"/>
              </w:rPr>
            </w:r>
          </w:p>
          <w:p>
            <w:pPr>
              <w:pStyle w:val="Header"/>
              <w:tabs>
                <w:tab w:val="clear" w:pos="4153"/>
                <w:tab w:val="clear" w:pos="8306"/>
              </w:tabs>
              <w:jc w:val="center"/>
              <w:rPr>
                <w:rFonts w:cs="Arial"/>
                <w:szCs w:val="22"/>
              </w:rPr>
            </w:pPr>
            <w:r>
              <w:rPr>
                <w:rFonts w:cs="Arial"/>
                <w:szCs w:val="22"/>
              </w:rPr>
            </w:r>
          </w:p>
          <w:p>
            <w:pPr>
              <w:pStyle w:val="Header"/>
              <w:tabs>
                <w:tab w:val="clear" w:pos="4153"/>
                <w:tab w:val="clear" w:pos="8306"/>
              </w:tabs>
              <w:rPr>
                <w:rFonts w:cs="Arial"/>
                <w:szCs w:val="22"/>
              </w:rPr>
            </w:pPr>
            <w:r>
              <w:rPr>
                <w:rFonts w:cs="Arial"/>
                <w:szCs w:val="22"/>
              </w:rPr>
            </w:r>
          </w:p>
          <w:p>
            <w:pPr>
              <w:pStyle w:val="Header"/>
              <w:tabs>
                <w:tab w:val="clear" w:pos="4153"/>
                <w:tab w:val="clear" w:pos="8306"/>
              </w:tabs>
              <w:jc w:val="center"/>
              <w:rPr>
                <w:rFonts w:cs="Arial"/>
                <w:szCs w:val="22"/>
              </w:rPr>
            </w:pPr>
            <w:r>
              <w:rPr>
                <w:rFonts w:cs="Arial"/>
                <w:szCs w:val="22"/>
              </w:rPr>
              <w:t>AF</w:t>
            </w:r>
          </w:p>
          <w:p>
            <w:pPr>
              <w:pStyle w:val="Endnote"/>
              <w:jc w:val="center"/>
              <w:rPr>
                <w:rFonts w:ascii="Arial" w:hAnsi="Arial" w:cs="Arial"/>
                <w:sz w:val="22"/>
                <w:szCs w:val="22"/>
              </w:rPr>
            </w:pPr>
            <w:r>
              <w:rPr>
                <w:rFonts w:cs="Arial" w:ascii="Arial" w:hAnsi="Arial"/>
                <w:sz w:val="22"/>
                <w:szCs w:val="22"/>
              </w:rPr>
            </w:r>
          </w:p>
        </w:tc>
      </w:tr>
      <w:tr>
        <w:trPr/>
        <w:tc>
          <w:tcPr>
            <w:tcW w:w="1799" w:type="dxa"/>
            <w:tcBorders>
              <w:top w:val="single" w:sz="4" w:space="0" w:color="000000"/>
              <w:left w:val="single" w:sz="4" w:space="0" w:color="000000"/>
              <w:bottom w:val="single" w:sz="4" w:space="0" w:color="000000"/>
            </w:tcBorders>
            <w:shd w:fill="00B3BE" w:val="clear"/>
          </w:tcPr>
          <w:p>
            <w:pPr>
              <w:pStyle w:val="Normal"/>
              <w:snapToGrid w:val="false"/>
              <w:rPr>
                <w:rFonts w:ascii="Arial" w:hAnsi="Arial" w:cs="Arial"/>
                <w:b/>
                <w:b/>
                <w:bCs/>
                <w:sz w:val="22"/>
                <w:szCs w:val="22"/>
              </w:rPr>
            </w:pPr>
            <w:r>
              <w:rPr>
                <w:rFonts w:cs="Arial"/>
                <w:b/>
                <w:bCs/>
                <w:sz w:val="22"/>
                <w:szCs w:val="22"/>
              </w:rPr>
            </w:r>
          </w:p>
          <w:p>
            <w:pPr>
              <w:pStyle w:val="Normal"/>
              <w:rPr>
                <w:rFonts w:cs="Arial"/>
                <w:b/>
                <w:b/>
                <w:bCs/>
                <w:sz w:val="22"/>
                <w:szCs w:val="22"/>
              </w:rPr>
            </w:pPr>
            <w:r>
              <w:rPr>
                <w:rFonts w:cs="Arial"/>
                <w:b/>
                <w:bCs/>
                <w:sz w:val="22"/>
                <w:szCs w:val="22"/>
              </w:rPr>
              <w:t>Experience</w:t>
            </w:r>
          </w:p>
          <w:p>
            <w:pPr>
              <w:pStyle w:val="Normal"/>
              <w:rPr>
                <w:rFonts w:cs="Arial"/>
                <w:b/>
                <w:b/>
                <w:bCs/>
                <w:sz w:val="22"/>
                <w:szCs w:val="22"/>
              </w:rPr>
            </w:pPr>
            <w:r>
              <w:rPr>
                <w:rFonts w:cs="Arial"/>
                <w:b/>
                <w:bCs/>
                <w:sz w:val="22"/>
                <w:szCs w:val="22"/>
              </w:rPr>
            </w:r>
          </w:p>
        </w:tc>
        <w:tc>
          <w:tcPr>
            <w:tcW w:w="3960" w:type="dxa"/>
            <w:tcBorders>
              <w:top w:val="single" w:sz="4" w:space="0" w:color="000000"/>
              <w:left w:val="single" w:sz="4" w:space="0" w:color="000000"/>
              <w:bottom w:val="single" w:sz="4" w:space="0" w:color="000000"/>
            </w:tcBorders>
            <w:shd w:fill="auto" w:val="clear"/>
          </w:tcPr>
          <w:p>
            <w:pPr>
              <w:pStyle w:val="Normal"/>
              <w:snapToGrid w:val="false"/>
              <w:rPr>
                <w:rFonts w:cs="Arial"/>
                <w:b/>
                <w:b/>
                <w:bCs/>
                <w:sz w:val="22"/>
                <w:szCs w:val="22"/>
              </w:rPr>
            </w:pPr>
            <w:r>
              <w:rPr>
                <w:rFonts w:cs="Arial"/>
                <w:b/>
                <w:bCs/>
                <w:sz w:val="22"/>
                <w:szCs w:val="22"/>
              </w:rPr>
            </w:r>
          </w:p>
          <w:p>
            <w:pPr>
              <w:pStyle w:val="Normal"/>
              <w:rPr>
                <w:rFonts w:cs="Arial"/>
                <w:sz w:val="22"/>
                <w:szCs w:val="22"/>
              </w:rPr>
            </w:pPr>
            <w:r>
              <w:rPr>
                <w:rFonts w:cs="Arial"/>
                <w:sz w:val="22"/>
                <w:szCs w:val="22"/>
              </w:rPr>
              <w:t>Experience of managing, motivating and coaching colleagues to effect high performance and a culture of personal responsibility.</w:t>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t>A proven record of establishing a positive performance culture that has delivered effective performance and continuous service improvement</w:t>
            </w:r>
          </w:p>
          <w:p>
            <w:pPr>
              <w:pStyle w:val="Normal"/>
              <w:rPr>
                <w:rFonts w:cs="Arial"/>
                <w:color w:val="808080"/>
                <w:sz w:val="22"/>
                <w:szCs w:val="22"/>
              </w:rPr>
            </w:pPr>
            <w:r>
              <w:rPr>
                <w:rFonts w:cs="Arial"/>
                <w:color w:val="808080"/>
                <w:sz w:val="22"/>
                <w:szCs w:val="22"/>
              </w:rPr>
            </w:r>
          </w:p>
          <w:p>
            <w:pPr>
              <w:pStyle w:val="Normal"/>
              <w:rPr>
                <w:rFonts w:cs="Arial"/>
                <w:sz w:val="22"/>
                <w:szCs w:val="22"/>
              </w:rPr>
            </w:pPr>
            <w:r>
              <w:rPr>
                <w:rFonts w:cs="Arial"/>
                <w:sz w:val="22"/>
                <w:szCs w:val="22"/>
              </w:rPr>
              <w:t xml:space="preserve">Experience of developing and implementing Performance frameworks and tools to measure outcomes </w:t>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t>Proven experience of working at senior level with a broad range of stakeholders, building consistently positive relationships, influencing senior decision makers and positively promoting organisational reputation and interests.</w:t>
            </w:r>
          </w:p>
          <w:p>
            <w:pPr>
              <w:pStyle w:val="Normal"/>
              <w:rPr>
                <w:rFonts w:cs="Arial"/>
                <w:sz w:val="22"/>
                <w:szCs w:val="22"/>
              </w:rPr>
            </w:pPr>
            <w:r>
              <w:rPr>
                <w:rFonts w:cs="Arial"/>
                <w:sz w:val="22"/>
                <w:szCs w:val="22"/>
              </w:rPr>
            </w:r>
          </w:p>
          <w:p>
            <w:pPr>
              <w:pStyle w:val="Header"/>
              <w:tabs>
                <w:tab w:val="clear" w:pos="4153"/>
                <w:tab w:val="clear" w:pos="8306"/>
              </w:tabs>
              <w:rPr>
                <w:rFonts w:cs="Arial"/>
                <w:szCs w:val="22"/>
              </w:rPr>
            </w:pPr>
            <w:r>
              <w:rPr>
                <w:rFonts w:cs="Arial"/>
                <w:szCs w:val="22"/>
              </w:rPr>
              <w:t>Demonstrable track record of working with a positive can-do attitude and willingness to embrace new work areas, skills and techniques.</w:t>
            </w:r>
          </w:p>
          <w:p>
            <w:pPr>
              <w:pStyle w:val="Header"/>
              <w:tabs>
                <w:tab w:val="clear" w:pos="4153"/>
                <w:tab w:val="clear" w:pos="8306"/>
              </w:tabs>
              <w:rPr>
                <w:rFonts w:cs="Arial"/>
                <w:szCs w:val="22"/>
              </w:rPr>
            </w:pPr>
            <w:r>
              <w:rPr>
                <w:rFonts w:cs="Arial"/>
                <w:szCs w:val="22"/>
              </w:rPr>
            </w:r>
          </w:p>
          <w:p>
            <w:pPr>
              <w:pStyle w:val="Normal"/>
              <w:rPr>
                <w:rFonts w:cs="Arial"/>
                <w:szCs w:val="22"/>
              </w:rPr>
            </w:pPr>
            <w:r>
              <w:rPr>
                <w:rFonts w:cs="Arial"/>
                <w:szCs w:val="22"/>
              </w:rPr>
              <w:t xml:space="preserve">Evidence of successful resource and financial management </w:t>
            </w:r>
          </w:p>
        </w:tc>
        <w:tc>
          <w:tcPr>
            <w:tcW w:w="3060" w:type="dxa"/>
            <w:tcBorders>
              <w:top w:val="single" w:sz="4" w:space="0" w:color="000000"/>
              <w:left w:val="single" w:sz="4" w:space="0" w:color="000000"/>
              <w:bottom w:val="single" w:sz="4" w:space="0" w:color="000000"/>
            </w:tcBorders>
            <w:shd w:fill="auto" w:val="clear"/>
          </w:tcPr>
          <w:p>
            <w:pPr>
              <w:pStyle w:val="Normal"/>
              <w:snapToGrid w:val="false"/>
              <w:rPr>
                <w:rFonts w:cs="Arial"/>
                <w:sz w:val="22"/>
                <w:szCs w:val="22"/>
              </w:rPr>
            </w:pPr>
            <w:r>
              <w:rPr>
                <w:rFonts w:cs="Arial"/>
                <w:sz w:val="22"/>
                <w:szCs w:val="22"/>
              </w:rPr>
            </w:r>
          </w:p>
          <w:p>
            <w:pPr>
              <w:pStyle w:val="Normal"/>
              <w:rPr>
                <w:rFonts w:cs="Arial"/>
                <w:sz w:val="22"/>
                <w:szCs w:val="22"/>
              </w:rPr>
            </w:pPr>
            <w:r>
              <w:rPr>
                <w:rFonts w:cs="Arial"/>
                <w:sz w:val="22"/>
                <w:szCs w:val="22"/>
              </w:rPr>
              <w:t>Experience of working in a Children’s Services environment</w:t>
            </w:r>
          </w:p>
          <w:p>
            <w:pPr>
              <w:pStyle w:val="Normal"/>
              <w:rPr>
                <w:rFonts w:cs="Arial"/>
                <w:sz w:val="22"/>
                <w:szCs w:val="22"/>
              </w:rPr>
            </w:pPr>
            <w:r>
              <w:rPr>
                <w:rFonts w:cs="Arial"/>
                <w:sz w:val="22"/>
                <w:szCs w:val="22"/>
              </w:rPr>
            </w:r>
          </w:p>
        </w:tc>
        <w:tc>
          <w:tcPr>
            <w:tcW w:w="1630"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t>AF / I</w:t>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rPr>
                <w:rFonts w:cs="Arial"/>
                <w:sz w:val="22"/>
                <w:szCs w:val="22"/>
              </w:rPr>
            </w:pPr>
            <w:r>
              <w:rPr>
                <w:rFonts w:cs="Arial"/>
                <w:sz w:val="22"/>
                <w:szCs w:val="22"/>
              </w:rPr>
            </w:r>
          </w:p>
          <w:p>
            <w:pPr>
              <w:pStyle w:val="Normal"/>
              <w:jc w:val="center"/>
              <w:rPr>
                <w:rFonts w:cs="Arial"/>
                <w:sz w:val="22"/>
                <w:szCs w:val="22"/>
              </w:rPr>
            </w:pPr>
            <w:r>
              <w:rPr>
                <w:rFonts w:cs="Arial"/>
                <w:sz w:val="22"/>
                <w:szCs w:val="22"/>
              </w:rPr>
              <w:t>AF / I</w:t>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t>AF / I</w:t>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t>AF / I</w:t>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t>AF / I</w:t>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t>AF/I</w:t>
            </w:r>
          </w:p>
        </w:tc>
      </w:tr>
      <w:tr>
        <w:trPr/>
        <w:tc>
          <w:tcPr>
            <w:tcW w:w="1799" w:type="dxa"/>
            <w:tcBorders>
              <w:top w:val="single" w:sz="4" w:space="0" w:color="000000"/>
              <w:left w:val="single" w:sz="4" w:space="0" w:color="000000"/>
              <w:bottom w:val="single" w:sz="4" w:space="0" w:color="000000"/>
            </w:tcBorders>
            <w:shd w:fill="00B3BE" w:val="clear"/>
          </w:tcPr>
          <w:p>
            <w:pPr>
              <w:pStyle w:val="Normal"/>
              <w:snapToGrid w:val="false"/>
              <w:rPr>
                <w:rFonts w:cs="Arial"/>
                <w:b/>
                <w:b/>
                <w:bCs/>
                <w:sz w:val="22"/>
                <w:szCs w:val="22"/>
              </w:rPr>
            </w:pPr>
            <w:r>
              <w:rPr>
                <w:rFonts w:cs="Arial"/>
                <w:b/>
                <w:bCs/>
                <w:sz w:val="22"/>
                <w:szCs w:val="22"/>
              </w:rPr>
            </w:r>
          </w:p>
          <w:p>
            <w:pPr>
              <w:pStyle w:val="Normal"/>
              <w:rPr>
                <w:rFonts w:cs="Arial"/>
                <w:b/>
                <w:b/>
                <w:bCs/>
                <w:sz w:val="22"/>
                <w:szCs w:val="22"/>
              </w:rPr>
            </w:pPr>
            <w:r>
              <w:rPr>
                <w:rFonts w:cs="Arial"/>
                <w:b/>
                <w:bCs/>
                <w:sz w:val="22"/>
                <w:szCs w:val="22"/>
              </w:rPr>
              <w:t>Skills &amp; Abilities</w:t>
            </w:r>
          </w:p>
          <w:p>
            <w:pPr>
              <w:pStyle w:val="Normal"/>
              <w:rPr>
                <w:rFonts w:cs="Arial"/>
                <w:b/>
                <w:b/>
                <w:bCs/>
                <w:sz w:val="22"/>
                <w:szCs w:val="22"/>
              </w:rPr>
            </w:pPr>
            <w:r>
              <w:rPr>
                <w:rFonts w:cs="Arial"/>
                <w:b/>
                <w:bCs/>
                <w:sz w:val="22"/>
                <w:szCs w:val="22"/>
              </w:rPr>
            </w:r>
          </w:p>
        </w:tc>
        <w:tc>
          <w:tcPr>
            <w:tcW w:w="3960" w:type="dxa"/>
            <w:tcBorders>
              <w:top w:val="single" w:sz="4" w:space="0" w:color="000000"/>
              <w:left w:val="single" w:sz="4" w:space="0" w:color="000000"/>
              <w:bottom w:val="single" w:sz="4" w:space="0" w:color="000000"/>
            </w:tcBorders>
            <w:shd w:fill="auto" w:val="clear"/>
          </w:tcPr>
          <w:p>
            <w:pPr>
              <w:pStyle w:val="Normal"/>
              <w:snapToGrid w:val="false"/>
              <w:rPr>
                <w:rFonts w:cs="Arial"/>
                <w:b/>
                <w:b/>
                <w:bCs/>
                <w:sz w:val="22"/>
                <w:szCs w:val="22"/>
              </w:rPr>
            </w:pPr>
            <w:r>
              <w:rPr>
                <w:rFonts w:cs="Arial"/>
                <w:b/>
                <w:bCs/>
                <w:sz w:val="22"/>
                <w:szCs w:val="22"/>
              </w:rPr>
            </w:r>
          </w:p>
          <w:p>
            <w:pPr>
              <w:pStyle w:val="Normal"/>
              <w:rPr>
                <w:rFonts w:cs="Arial"/>
                <w:sz w:val="22"/>
                <w:szCs w:val="22"/>
              </w:rPr>
            </w:pPr>
            <w:r>
              <w:rPr>
                <w:rFonts w:cs="Arial"/>
                <w:sz w:val="22"/>
                <w:szCs w:val="22"/>
              </w:rPr>
              <w:t>Ability to constructively engage a wide variety of stakeholders and have sophisticated negotiating skills to be able to challenge managers at the most senior levels to prompt robust performance and improvement conversations.</w:t>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t xml:space="preserve">Well-developed presentation, communication and interpersonal skills with an ability to explain complex information clearly and concisely to a variety of audiences </w:t>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t>Ability to take the lead in shaping and implementing a performance management framework for the portfolio of services, incorporating political, strategic and operational priorities.</w:t>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t>Able to work through problems, evaluate risks and offer practical solutions.</w:t>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t>High level persuading and influencing skills to bring about behavioural change and achieve desired results/outcomes as necessary</w:t>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t>Ability to utilise IT software and systems effectively within both an office environment (MS Office, Word, Excel, and PowerPoint) and for specialist BI and information purposes (CorVu, GI systems).</w:t>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t>Ability to work on own initiative, determining priorities for yourself and your team in order to meet important deadlines over the short, medium and long term on complex and potentially contentious activities.</w:t>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t>Ability to act as an ambassador for the team and borough in line with Oldham’s values and behaviours.</w:t>
            </w:r>
          </w:p>
          <w:p>
            <w:pPr>
              <w:pStyle w:val="Normal"/>
              <w:rPr>
                <w:rFonts w:cs="Arial"/>
                <w:sz w:val="22"/>
                <w:szCs w:val="22"/>
              </w:rPr>
            </w:pPr>
            <w:r>
              <w:rPr>
                <w:rFonts w:cs="Arial"/>
                <w:sz w:val="22"/>
                <w:szCs w:val="22"/>
              </w:rPr>
            </w:r>
          </w:p>
        </w:tc>
        <w:tc>
          <w:tcPr>
            <w:tcW w:w="3060" w:type="dxa"/>
            <w:tcBorders>
              <w:top w:val="single" w:sz="4" w:space="0" w:color="000000"/>
              <w:left w:val="single" w:sz="4" w:space="0" w:color="000000"/>
              <w:bottom w:val="single" w:sz="4" w:space="0" w:color="000000"/>
            </w:tcBorders>
            <w:shd w:fill="auto" w:val="clear"/>
          </w:tcPr>
          <w:p>
            <w:pPr>
              <w:pStyle w:val="Normal"/>
              <w:snapToGrid w:val="false"/>
              <w:ind w:left="360" w:right="0" w:hanging="0"/>
              <w:rPr>
                <w:rFonts w:cs="Arial"/>
                <w:sz w:val="22"/>
                <w:szCs w:val="22"/>
              </w:rPr>
            </w:pPr>
            <w:r>
              <w:rPr>
                <w:rFonts w:cs="Arial"/>
                <w:sz w:val="22"/>
                <w:szCs w:val="22"/>
              </w:rPr>
            </w:r>
          </w:p>
        </w:tc>
        <w:tc>
          <w:tcPr>
            <w:tcW w:w="1630"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t>AF/ I</w:t>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t>AF / I / T</w:t>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t>AF / I</w:t>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rPr>
                <w:rFonts w:cs="Arial"/>
                <w:sz w:val="22"/>
                <w:szCs w:val="22"/>
              </w:rPr>
            </w:pPr>
            <w:r>
              <w:rPr>
                <w:rFonts w:cs="Arial"/>
                <w:sz w:val="22"/>
                <w:szCs w:val="22"/>
              </w:rPr>
            </w:r>
          </w:p>
          <w:p>
            <w:pPr>
              <w:pStyle w:val="Normal"/>
              <w:jc w:val="center"/>
              <w:rPr>
                <w:rFonts w:cs="Arial"/>
                <w:sz w:val="22"/>
                <w:szCs w:val="22"/>
              </w:rPr>
            </w:pPr>
            <w:r>
              <w:rPr>
                <w:rFonts w:cs="Arial"/>
                <w:sz w:val="22"/>
                <w:szCs w:val="22"/>
              </w:rPr>
              <w:t>AF/ I</w:t>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t>AF/ I</w:t>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t>AF / I / T</w:t>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t>AF/ I</w:t>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t>AF/I</w:t>
            </w:r>
          </w:p>
          <w:p>
            <w:pPr>
              <w:pStyle w:val="Normal"/>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tc>
      </w:tr>
      <w:tr>
        <w:trPr/>
        <w:tc>
          <w:tcPr>
            <w:tcW w:w="1799" w:type="dxa"/>
            <w:tcBorders>
              <w:top w:val="single" w:sz="4" w:space="0" w:color="000000"/>
              <w:left w:val="single" w:sz="4" w:space="0" w:color="000000"/>
              <w:bottom w:val="single" w:sz="4" w:space="0" w:color="000000"/>
            </w:tcBorders>
            <w:shd w:fill="00B3BE" w:val="clear"/>
          </w:tcPr>
          <w:p>
            <w:pPr>
              <w:pStyle w:val="Normal"/>
              <w:snapToGrid w:val="false"/>
              <w:rPr>
                <w:rFonts w:cs="Arial"/>
                <w:b/>
                <w:b/>
                <w:bCs/>
                <w:sz w:val="22"/>
                <w:szCs w:val="22"/>
              </w:rPr>
            </w:pPr>
            <w:r>
              <w:rPr>
                <w:rFonts w:cs="Arial"/>
                <w:b/>
                <w:bCs/>
                <w:sz w:val="22"/>
                <w:szCs w:val="22"/>
              </w:rPr>
            </w:r>
          </w:p>
          <w:p>
            <w:pPr>
              <w:pStyle w:val="Normal"/>
              <w:rPr>
                <w:rFonts w:cs="Arial"/>
                <w:b/>
                <w:b/>
                <w:bCs/>
                <w:sz w:val="22"/>
                <w:szCs w:val="22"/>
              </w:rPr>
            </w:pPr>
            <w:r>
              <w:rPr>
                <w:rFonts w:cs="Arial"/>
                <w:b/>
                <w:bCs/>
                <w:sz w:val="22"/>
                <w:szCs w:val="22"/>
              </w:rPr>
              <w:t>Knowledge</w:t>
            </w:r>
          </w:p>
          <w:p>
            <w:pPr>
              <w:pStyle w:val="Normal"/>
              <w:rPr>
                <w:rFonts w:cs="Arial"/>
                <w:b/>
                <w:b/>
                <w:bCs/>
                <w:sz w:val="22"/>
                <w:szCs w:val="22"/>
              </w:rPr>
            </w:pPr>
            <w:r>
              <w:rPr>
                <w:rFonts w:cs="Arial"/>
                <w:b/>
                <w:bCs/>
                <w:sz w:val="22"/>
                <w:szCs w:val="22"/>
              </w:rPr>
            </w:r>
          </w:p>
        </w:tc>
        <w:tc>
          <w:tcPr>
            <w:tcW w:w="3960" w:type="dxa"/>
            <w:tcBorders>
              <w:top w:val="single" w:sz="4" w:space="0" w:color="000000"/>
              <w:left w:val="single" w:sz="4" w:space="0" w:color="000000"/>
              <w:bottom w:val="single" w:sz="4" w:space="0" w:color="000000"/>
            </w:tcBorders>
            <w:shd w:fill="auto" w:val="clear"/>
          </w:tcPr>
          <w:p>
            <w:pPr>
              <w:pStyle w:val="Normal"/>
              <w:snapToGrid w:val="false"/>
              <w:rPr>
                <w:rFonts w:cs="Arial"/>
                <w:b/>
                <w:b/>
                <w:bCs/>
                <w:sz w:val="22"/>
                <w:szCs w:val="22"/>
              </w:rPr>
            </w:pPr>
            <w:r>
              <w:rPr>
                <w:rFonts w:cs="Arial"/>
                <w:b/>
                <w:bCs/>
                <w:sz w:val="22"/>
                <w:szCs w:val="22"/>
              </w:rPr>
            </w:r>
          </w:p>
          <w:p>
            <w:pPr>
              <w:pStyle w:val="Normal"/>
              <w:rPr>
                <w:rFonts w:cs="Arial"/>
                <w:sz w:val="22"/>
                <w:szCs w:val="22"/>
              </w:rPr>
            </w:pPr>
            <w:r>
              <w:rPr>
                <w:rFonts w:cs="Arial"/>
                <w:sz w:val="22"/>
                <w:szCs w:val="22"/>
              </w:rPr>
              <w:t>Knowledge of key national children’s policy drivers, legislation and broader influences related to the role.</w:t>
            </w:r>
          </w:p>
          <w:p>
            <w:pPr>
              <w:pStyle w:val="Normal"/>
              <w:rPr>
                <w:rFonts w:cs="Arial"/>
                <w:sz w:val="22"/>
                <w:szCs w:val="22"/>
              </w:rPr>
            </w:pPr>
            <w:r>
              <w:rPr>
                <w:rFonts w:cs="Arial"/>
                <w:sz w:val="22"/>
                <w:szCs w:val="22"/>
              </w:rPr>
            </w:r>
          </w:p>
          <w:p>
            <w:pPr>
              <w:pStyle w:val="Normal"/>
              <w:spacing w:before="0" w:after="0"/>
              <w:contextualSpacing/>
              <w:rPr>
                <w:rFonts w:cs="Arial"/>
                <w:sz w:val="22"/>
                <w:szCs w:val="22"/>
              </w:rPr>
            </w:pPr>
            <w:r>
              <w:rPr>
                <w:rFonts w:cs="Arial"/>
                <w:sz w:val="22"/>
                <w:szCs w:val="22"/>
              </w:rPr>
              <w:t xml:space="preserve">Knowledge and understanding of performance management frameworks, tools, techniques and measures, public sector business planning and priority setting processes </w:t>
            </w:r>
          </w:p>
          <w:p>
            <w:pPr>
              <w:pStyle w:val="Normal"/>
              <w:spacing w:before="0" w:after="0"/>
              <w:contextualSpacing/>
              <w:rPr>
                <w:rFonts w:cs="Arial"/>
                <w:sz w:val="22"/>
                <w:szCs w:val="22"/>
              </w:rPr>
            </w:pPr>
            <w:r>
              <w:rPr>
                <w:rFonts w:cs="Arial"/>
                <w:sz w:val="22"/>
                <w:szCs w:val="22"/>
              </w:rPr>
            </w:r>
          </w:p>
          <w:p>
            <w:pPr>
              <w:pStyle w:val="Normal"/>
              <w:rPr>
                <w:rFonts w:cs="Arial"/>
                <w:sz w:val="22"/>
                <w:szCs w:val="22"/>
              </w:rPr>
            </w:pPr>
            <w:r>
              <w:rPr>
                <w:rFonts w:cs="Arial"/>
                <w:sz w:val="22"/>
                <w:szCs w:val="22"/>
              </w:rPr>
              <w:t>Knowledge of project/programme management techniques and their application in a business context</w:t>
            </w:r>
          </w:p>
          <w:p>
            <w:pPr>
              <w:pStyle w:val="Normal"/>
              <w:spacing w:before="0" w:after="0"/>
              <w:contextualSpacing/>
              <w:rPr>
                <w:rFonts w:cs="Arial"/>
                <w:sz w:val="22"/>
                <w:szCs w:val="22"/>
              </w:rPr>
            </w:pPr>
            <w:r>
              <w:rPr>
                <w:rFonts w:cs="Arial"/>
                <w:sz w:val="22"/>
                <w:szCs w:val="22"/>
              </w:rPr>
            </w:r>
          </w:p>
          <w:p>
            <w:pPr>
              <w:pStyle w:val="Normal"/>
              <w:rPr>
                <w:rFonts w:cs="Arial"/>
                <w:sz w:val="22"/>
                <w:szCs w:val="22"/>
              </w:rPr>
            </w:pPr>
            <w:r>
              <w:rPr>
                <w:rFonts w:cs="Arial"/>
                <w:sz w:val="22"/>
                <w:szCs w:val="22"/>
              </w:rPr>
              <w:t>Knowledge and understanding of the politically sensitive environment in which local authorities operate and particularly the role of locally elected politicians.</w:t>
            </w:r>
          </w:p>
          <w:p>
            <w:pPr>
              <w:pStyle w:val="Normal"/>
              <w:rPr>
                <w:rFonts w:cs="Arial"/>
                <w:sz w:val="22"/>
                <w:szCs w:val="22"/>
              </w:rPr>
            </w:pPr>
            <w:r>
              <w:rPr>
                <w:rFonts w:cs="Arial"/>
                <w:sz w:val="22"/>
                <w:szCs w:val="22"/>
              </w:rPr>
            </w:r>
          </w:p>
          <w:p>
            <w:pPr>
              <w:pStyle w:val="Normal"/>
              <w:spacing w:before="0" w:after="0"/>
              <w:contextualSpacing/>
              <w:rPr>
                <w:rFonts w:cs="Arial"/>
                <w:sz w:val="22"/>
                <w:szCs w:val="22"/>
              </w:rPr>
            </w:pPr>
            <w:r>
              <w:rPr>
                <w:rFonts w:cs="Arial"/>
                <w:sz w:val="22"/>
                <w:szCs w:val="22"/>
              </w:rPr>
              <w:t>Significant knowledge and understanding of the workings of public sector organisations, in particular Children’s Services, including their legal, financial, social and political context, political processes and the current issues faced in a multi-cultural area</w:t>
            </w:r>
          </w:p>
          <w:p>
            <w:pPr>
              <w:pStyle w:val="Normal"/>
              <w:rPr>
                <w:rFonts w:cs="Arial"/>
                <w:sz w:val="22"/>
                <w:szCs w:val="22"/>
                <w:lang w:val="en-US"/>
              </w:rPr>
            </w:pPr>
            <w:r>
              <w:rPr>
                <w:rFonts w:cs="Arial"/>
                <w:sz w:val="22"/>
                <w:szCs w:val="22"/>
                <w:lang w:val="en-US"/>
              </w:rPr>
            </w:r>
          </w:p>
        </w:tc>
        <w:tc>
          <w:tcPr>
            <w:tcW w:w="3060" w:type="dxa"/>
            <w:tcBorders>
              <w:top w:val="single" w:sz="4" w:space="0" w:color="000000"/>
              <w:left w:val="single" w:sz="4" w:space="0" w:color="000000"/>
              <w:bottom w:val="single" w:sz="4" w:space="0" w:color="000000"/>
            </w:tcBorders>
            <w:shd w:fill="auto" w:val="clear"/>
          </w:tcPr>
          <w:p>
            <w:pPr>
              <w:pStyle w:val="Normal"/>
              <w:snapToGrid w:val="false"/>
              <w:rPr>
                <w:rFonts w:cs="Arial"/>
                <w:sz w:val="22"/>
                <w:szCs w:val="22"/>
                <w:lang w:val="en-US"/>
              </w:rPr>
            </w:pPr>
            <w:r>
              <w:rPr>
                <w:rFonts w:cs="Arial"/>
                <w:sz w:val="22"/>
                <w:szCs w:val="22"/>
                <w:lang w:val="en-US"/>
              </w:rPr>
            </w:r>
          </w:p>
        </w:tc>
        <w:tc>
          <w:tcPr>
            <w:tcW w:w="1630"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t>AF/ I</w:t>
            </w:r>
          </w:p>
          <w:p>
            <w:pPr>
              <w:pStyle w:val="Normal"/>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t>AF / I</w:t>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t>AF/ I</w:t>
            </w:r>
          </w:p>
          <w:p>
            <w:pPr>
              <w:pStyle w:val="Normal"/>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t>AF / I</w:t>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t>AF / I</w:t>
            </w:r>
          </w:p>
        </w:tc>
      </w:tr>
      <w:tr>
        <w:trPr/>
        <w:tc>
          <w:tcPr>
            <w:tcW w:w="1799" w:type="dxa"/>
            <w:tcBorders>
              <w:top w:val="single" w:sz="4" w:space="0" w:color="000000"/>
              <w:left w:val="single" w:sz="4" w:space="0" w:color="000000"/>
              <w:bottom w:val="single" w:sz="4" w:space="0" w:color="000000"/>
            </w:tcBorders>
            <w:shd w:fill="00B3BE" w:val="clear"/>
          </w:tcPr>
          <w:p>
            <w:pPr>
              <w:pStyle w:val="Normal"/>
              <w:snapToGrid w:val="false"/>
              <w:rPr>
                <w:rFonts w:cs="Arial"/>
                <w:b/>
                <w:b/>
                <w:bCs/>
                <w:sz w:val="22"/>
                <w:szCs w:val="22"/>
              </w:rPr>
            </w:pPr>
            <w:r>
              <w:rPr>
                <w:rFonts w:cs="Arial"/>
                <w:b/>
                <w:bCs/>
                <w:sz w:val="22"/>
                <w:szCs w:val="22"/>
              </w:rPr>
            </w:r>
          </w:p>
          <w:p>
            <w:pPr>
              <w:pStyle w:val="TextBody"/>
              <w:rPr>
                <w:rFonts w:cs="Arial"/>
                <w:bCs/>
                <w:szCs w:val="22"/>
              </w:rPr>
            </w:pPr>
            <w:r>
              <w:rPr>
                <w:rFonts w:cs="Arial"/>
                <w:bCs/>
                <w:szCs w:val="22"/>
              </w:rPr>
              <w:t>Work Circumstances</w:t>
            </w:r>
          </w:p>
          <w:p>
            <w:pPr>
              <w:pStyle w:val="Normal"/>
              <w:rPr>
                <w:rFonts w:cs="Arial"/>
                <w:b/>
                <w:b/>
                <w:bCs/>
                <w:sz w:val="22"/>
                <w:szCs w:val="22"/>
              </w:rPr>
            </w:pPr>
            <w:r>
              <w:rPr>
                <w:rFonts w:cs="Arial"/>
                <w:b/>
                <w:bCs/>
                <w:sz w:val="22"/>
                <w:szCs w:val="22"/>
              </w:rPr>
            </w:r>
          </w:p>
        </w:tc>
        <w:tc>
          <w:tcPr>
            <w:tcW w:w="3960" w:type="dxa"/>
            <w:tcBorders>
              <w:top w:val="single" w:sz="4" w:space="0" w:color="000000"/>
              <w:left w:val="single" w:sz="4" w:space="0" w:color="000000"/>
              <w:bottom w:val="single" w:sz="4" w:space="0" w:color="000000"/>
            </w:tcBorders>
            <w:shd w:fill="auto" w:val="clear"/>
          </w:tcPr>
          <w:p>
            <w:pPr>
              <w:pStyle w:val="Normal"/>
              <w:tabs>
                <w:tab w:val="clear" w:pos="720"/>
                <w:tab w:val="left" w:pos="389" w:leader="none"/>
              </w:tabs>
              <w:overflowPunct w:val="true"/>
              <w:snapToGrid w:val="false"/>
              <w:textAlignment w:val="baseline"/>
              <w:rPr>
                <w:rFonts w:cs="Arial"/>
                <w:b/>
                <w:b/>
                <w:bCs/>
                <w:sz w:val="22"/>
                <w:szCs w:val="22"/>
              </w:rPr>
            </w:pPr>
            <w:r>
              <w:rPr>
                <w:rFonts w:cs="Arial"/>
                <w:b/>
                <w:bCs/>
                <w:sz w:val="22"/>
                <w:szCs w:val="22"/>
              </w:rPr>
            </w:r>
          </w:p>
          <w:p>
            <w:pPr>
              <w:pStyle w:val="Normal"/>
              <w:overflowPunct w:val="true"/>
              <w:textAlignment w:val="baseline"/>
              <w:rPr>
                <w:rFonts w:cs="Arial"/>
                <w:sz w:val="22"/>
                <w:szCs w:val="22"/>
              </w:rPr>
            </w:pPr>
            <w:r>
              <w:rPr>
                <w:rFonts w:cs="Arial"/>
                <w:sz w:val="22"/>
                <w:szCs w:val="22"/>
              </w:rPr>
              <w:t>Able to work flexibly to meet the demands of the service (including evening and weekend as necessary).</w:t>
            </w:r>
          </w:p>
          <w:p>
            <w:pPr>
              <w:pStyle w:val="Normal"/>
              <w:overflowPunct w:val="true"/>
              <w:textAlignment w:val="baseline"/>
              <w:rPr>
                <w:rFonts w:cs="Arial"/>
                <w:sz w:val="22"/>
                <w:szCs w:val="22"/>
              </w:rPr>
            </w:pPr>
            <w:r>
              <w:rPr>
                <w:rFonts w:cs="Arial"/>
                <w:sz w:val="22"/>
                <w:szCs w:val="22"/>
              </w:rPr>
            </w:r>
          </w:p>
        </w:tc>
        <w:tc>
          <w:tcPr>
            <w:tcW w:w="3060" w:type="dxa"/>
            <w:tcBorders>
              <w:top w:val="single" w:sz="4" w:space="0" w:color="000000"/>
              <w:left w:val="single" w:sz="4" w:space="0" w:color="000000"/>
              <w:bottom w:val="single" w:sz="4" w:space="0" w:color="000000"/>
            </w:tcBorders>
            <w:shd w:fill="auto" w:val="clear"/>
          </w:tcPr>
          <w:p>
            <w:pPr>
              <w:pStyle w:val="Normal"/>
              <w:snapToGrid w:val="false"/>
              <w:ind w:left="360" w:right="0" w:hanging="0"/>
              <w:rPr>
                <w:rFonts w:cs="Arial"/>
                <w:sz w:val="22"/>
                <w:szCs w:val="22"/>
              </w:rPr>
            </w:pPr>
            <w:r>
              <w:rPr>
                <w:rFonts w:cs="Arial"/>
                <w:sz w:val="22"/>
                <w:szCs w:val="22"/>
              </w:rPr>
            </w:r>
          </w:p>
        </w:tc>
        <w:tc>
          <w:tcPr>
            <w:tcW w:w="1630"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jc w:val="center"/>
              <w:rPr>
                <w:rFonts w:cs="Arial"/>
                <w:sz w:val="22"/>
                <w:szCs w:val="22"/>
              </w:rPr>
            </w:pPr>
            <w:r>
              <w:rPr>
                <w:rFonts w:cs="Arial"/>
                <w:sz w:val="22"/>
                <w:szCs w:val="22"/>
              </w:rPr>
            </w:r>
          </w:p>
          <w:p>
            <w:pPr>
              <w:pStyle w:val="Normal"/>
              <w:ind w:left="360" w:right="0" w:hanging="0"/>
              <w:jc w:val="center"/>
              <w:rPr>
                <w:rFonts w:cs="Arial"/>
                <w:sz w:val="22"/>
                <w:szCs w:val="22"/>
              </w:rPr>
            </w:pPr>
            <w:r>
              <w:rPr>
                <w:rFonts w:cs="Arial"/>
                <w:sz w:val="22"/>
                <w:szCs w:val="22"/>
              </w:rPr>
              <w:t xml:space="preserve">AF </w:t>
            </w:r>
          </w:p>
        </w:tc>
      </w:tr>
    </w:tbl>
    <w:p>
      <w:pPr>
        <w:pStyle w:val="Normal"/>
        <w:rPr>
          <w:rFonts w:cs="Arial"/>
          <w:sz w:val="22"/>
          <w:szCs w:val="22"/>
        </w:rPr>
      </w:pPr>
      <w:r>
        <w:rPr>
          <w:rFonts w:cs="Arial"/>
          <w:sz w:val="22"/>
          <w:szCs w:val="22"/>
        </w:rPr>
      </w:r>
    </w:p>
    <w:p>
      <w:pPr>
        <w:pStyle w:val="Normal"/>
        <w:jc w:val="both"/>
        <w:rPr>
          <w:rFonts w:cs="Arial"/>
          <w:b/>
          <w:b/>
          <w:bCs/>
          <w:sz w:val="22"/>
          <w:szCs w:val="22"/>
        </w:rPr>
      </w:pPr>
      <w:r>
        <w:rPr>
          <w:rFonts w:cs="Arial"/>
          <w:b/>
          <w:bCs/>
          <w:sz w:val="22"/>
          <w:szCs w:val="22"/>
        </w:rPr>
      </w:r>
    </w:p>
    <w:p>
      <w:pPr>
        <w:pStyle w:val="Normal"/>
        <w:jc w:val="both"/>
        <w:rPr/>
      </w:pPr>
      <w:r>
        <w:rPr>
          <w:rFonts w:cs="Arial"/>
          <w:i/>
          <w:sz w:val="22"/>
          <w:szCs w:val="22"/>
        </w:rPr>
        <w:t>Abbreviations:</w:t>
      </w:r>
      <w:r>
        <w:rPr>
          <w:rFonts w:cs="Arial"/>
          <w:sz w:val="22"/>
          <w:szCs w:val="22"/>
        </w:rPr>
        <w:t xml:space="preserve"> AF = Application Form; I = Interview; AC = Assessment Centre; T = Test</w:t>
      </w:r>
    </w:p>
    <w:p>
      <w:pPr>
        <w:pStyle w:val="Normal"/>
        <w:jc w:val="both"/>
        <w:rPr>
          <w:rFonts w:cs="Arial"/>
          <w:b/>
          <w:b/>
          <w:bCs/>
          <w:sz w:val="22"/>
          <w:szCs w:val="22"/>
        </w:rPr>
      </w:pPr>
      <w:r>
        <w:rPr>
          <w:rFonts w:cs="Arial"/>
          <w:b/>
          <w:bCs/>
          <w:sz w:val="22"/>
          <w:szCs w:val="22"/>
        </w:rPr>
      </w:r>
    </w:p>
    <w:p>
      <w:pPr>
        <w:pStyle w:val="Normal"/>
        <w:jc w:val="both"/>
        <w:rPr/>
      </w:pPr>
      <w:r>
        <w:rPr>
          <w:rFonts w:cs="Arial"/>
          <w:b/>
          <w:bCs/>
          <w:sz w:val="22"/>
          <w:szCs w:val="22"/>
        </w:rPr>
        <w:t xml:space="preserve">NB. - Any candidate that meets the criteria of our </w:t>
      </w:r>
      <w:r>
        <w:rPr>
          <w:rFonts w:cs="Arial"/>
          <w:b/>
          <w:bCs/>
          <w:color w:val="0563C1"/>
          <w:sz w:val="22"/>
          <w:szCs w:val="22"/>
          <w:u w:val="single"/>
        </w:rPr>
        <w:t>Guaranteed Assessment Scheme</w:t>
      </w:r>
      <w:r>
        <w:rPr>
          <w:rFonts w:cs="Arial"/>
          <w:b/>
          <w:bCs/>
          <w:sz w:val="22"/>
          <w:szCs w:val="22"/>
        </w:rPr>
        <w:t xml:space="preserve"> and meets the essential criteria of the role, will be guaranteed the first stage of assessment (whether that is an interview or another assessment, as appropriate).</w:t>
      </w:r>
    </w:p>
    <w:p>
      <w:pPr>
        <w:pStyle w:val="Normal"/>
        <w:jc w:val="both"/>
        <w:rPr>
          <w:rFonts w:cs="Arial"/>
          <w:b/>
          <w:b/>
          <w:bCs/>
          <w:sz w:val="22"/>
          <w:szCs w:val="22"/>
        </w:rPr>
      </w:pPr>
      <w:r>
        <w:rPr>
          <w:rFonts w:cs="Arial"/>
          <w:b/>
          <w:bCs/>
          <w:sz w:val="22"/>
          <w:szCs w:val="22"/>
        </w:rPr>
      </w:r>
    </w:p>
    <w:p>
      <w:pPr>
        <w:pStyle w:val="Normal"/>
        <w:jc w:val="both"/>
        <w:rPr>
          <w:rFonts w:cs="Arial"/>
          <w:b/>
          <w:b/>
          <w:bCs/>
          <w:sz w:val="22"/>
          <w:szCs w:val="22"/>
        </w:rPr>
      </w:pPr>
      <w:r>
        <w:rPr>
          <w:rFonts w:cs="Arial"/>
          <w:b/>
          <w:bCs/>
          <w:sz w:val="22"/>
          <w:szCs w:val="22"/>
        </w:rPr>
        <w:t>Our Guaranteed Assessment Scheme supports candidates with disabilities, have previously been in or currently in care, those that are carers, and those who have served in the Armed Forces as a regular, reserve or cadet.</w:t>
      </w:r>
      <w:bookmarkStart w:id="2" w:name="_Hlk190765446"/>
      <w:bookmarkEnd w:id="2"/>
    </w:p>
    <w:p>
      <w:pPr>
        <w:pStyle w:val="Normal"/>
        <w:jc w:val="both"/>
        <w:rPr/>
      </w:pPr>
      <w:r>
        <w:rPr/>
      </w:r>
    </w:p>
    <w:sectPr>
      <w:headerReference w:type="default" r:id="rId2"/>
      <w:headerReference w:type="first" r:id="rId3"/>
      <w:type w:val="nextPage"/>
      <w:pgSz w:w="11906" w:h="16838"/>
      <w:pgMar w:left="1440" w:right="1440" w:header="567" w:top="624" w:footer="0" w:bottom="1440" w:gutter="0"/>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ourier New">
    <w:charset w:val="01"/>
    <w:family w:val="modern"/>
    <w:pitch w:val="default"/>
  </w:font>
  <w:font w:name="Wingdings">
    <w:charset w:val="02"/>
    <w:family w:val="auto"/>
    <w:pitch w:val="variable"/>
  </w:font>
  <w:font w:name="Palatino">
    <w:charset w:val="00"/>
    <w:family w:val="roman"/>
    <w:pitch w:val="variable"/>
  </w:font>
  <w:font w:name="Liberation Sans">
    <w:altName w:val="Arial"/>
    <w:charset w:val="00"/>
    <w:family w:val="swiss"/>
    <w:pitch w:val="variable"/>
  </w:font>
  <w:font w:name="Calibri">
    <w:charset w:val="00"/>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spacing w:lineRule="auto" w:line="264"/>
      <w:rPr/>
    </w:pPr>
    <w:r>
      <w:rPr/>
    </w:r>
  </w:p>
  <w:p>
    <w:pPr>
      <w:pStyle w:val="Header"/>
      <w:tabs>
        <w:tab w:val="clear" w:pos="4153"/>
        <w:tab w:val="clear" w:pos="8306"/>
        <w:tab w:val="left" w:pos="8565" w:leader="none"/>
      </w:tabs>
      <w:rPr/>
    </w:pPr>
    <w:r>
      <w:rPr/>
      <w:tab/>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decimal"/>
      <w:lvlText w:val="%1."/>
      <w:lvlJc w:val="left"/>
      <w:pPr>
        <w:tabs>
          <w:tab w:val="num" w:pos="720"/>
        </w:tabs>
        <w:ind w:left="720" w:hanging="360"/>
      </w:pPr>
      <w:rPr/>
    </w:lvl>
    <w:lvl w:ilvl="1">
      <w:start w:val="1"/>
      <w:numFmt w:val="lowerLetter"/>
      <w:lvlText w:val="%2."/>
      <w:lvlJc w:val="left"/>
      <w:pPr>
        <w:tabs>
          <w:tab w:val="num" w:pos="1440"/>
        </w:tabs>
        <w:ind w:left="1440" w:hanging="360"/>
      </w:pPr>
      <w:rPr/>
    </w:lvl>
    <w:lvl w:ilvl="2">
      <w:start w:val="1"/>
      <w:numFmt w:val="lowerRoman"/>
      <w:lvlText w:val="%3."/>
      <w:lvlJc w:val="right"/>
      <w:pPr>
        <w:tabs>
          <w:tab w:val="num" w:pos="2160"/>
        </w:tabs>
        <w:ind w:left="2160" w:hanging="180"/>
      </w:pPr>
      <w:rPr/>
    </w:lvl>
    <w:lvl w:ilvl="3">
      <w:start w:val="1"/>
      <w:numFmt w:val="decimal"/>
      <w:lvlText w:val="%4."/>
      <w:lvlJc w:val="left"/>
      <w:pPr>
        <w:tabs>
          <w:tab w:val="num" w:pos="2880"/>
        </w:tabs>
        <w:ind w:left="2880" w:hanging="360"/>
      </w:pPr>
      <w:rPr/>
    </w:lvl>
    <w:lvl w:ilvl="4">
      <w:start w:val="1"/>
      <w:numFmt w:val="lowerLetter"/>
      <w:lvlText w:val="%5."/>
      <w:lvlJc w:val="left"/>
      <w:pPr>
        <w:tabs>
          <w:tab w:val="num" w:pos="3600"/>
        </w:tabs>
        <w:ind w:left="3600" w:hanging="360"/>
      </w:pPr>
      <w:rPr/>
    </w:lvl>
    <w:lvl w:ilvl="5">
      <w:start w:val="1"/>
      <w:numFmt w:val="lowerRoman"/>
      <w:lvlText w:val="%6."/>
      <w:lvlJc w:val="right"/>
      <w:pPr>
        <w:tabs>
          <w:tab w:val="num" w:pos="4320"/>
        </w:tabs>
        <w:ind w:left="4320" w:hanging="180"/>
      </w:pPr>
      <w:rPr/>
    </w:lvl>
    <w:lvl w:ilvl="6">
      <w:start w:val="1"/>
      <w:numFmt w:val="decimal"/>
      <w:lvlText w:val="%7."/>
      <w:lvlJc w:val="left"/>
      <w:pPr>
        <w:tabs>
          <w:tab w:val="num" w:pos="5040"/>
        </w:tabs>
        <w:ind w:left="5040" w:hanging="360"/>
      </w:pPr>
      <w:rPr/>
    </w:lvl>
    <w:lvl w:ilvl="7">
      <w:start w:val="1"/>
      <w:numFmt w:val="lowerLetter"/>
      <w:lvlText w:val="%8."/>
      <w:lvlJc w:val="left"/>
      <w:pPr>
        <w:tabs>
          <w:tab w:val="num" w:pos="5760"/>
        </w:tabs>
        <w:ind w:left="5760" w:hanging="360"/>
      </w:pPr>
      <w:rPr/>
    </w:lvl>
    <w:lvl w:ilvl="8">
      <w:start w:val="1"/>
      <w:numFmt w:val="lowerRoman"/>
      <w:lvlText w:val="%9."/>
      <w:lvlJc w:val="right"/>
      <w:pPr>
        <w:tabs>
          <w:tab w:val="num" w:pos="6480"/>
        </w:tabs>
        <w:ind w:left="6480" w:hanging="180"/>
      </w:pPr>
      <w:rPr/>
    </w:lvl>
  </w:abstractNum>
  <w:abstractNum w:abstractNumId="3">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Cs w:val="24"/>
        <w:lang w:val="en-US" w:eastAsia="zh-CN" w:bidi="hi-IN"/>
      </w:rPr>
    </w:rPrDefault>
    <w:pPrDefault>
      <w:pPr/>
    </w:pPrDefault>
  </w:docDefaults>
  <w:style w:type="paragraph" w:styleId="Normal">
    <w:name w:val="Normal"/>
    <w:qFormat/>
    <w:pPr>
      <w:widowControl/>
      <w:suppressAutoHyphens w:val="true"/>
      <w:bidi w:val="0"/>
      <w:spacing w:before="0" w:after="0"/>
      <w:jc w:val="left"/>
    </w:pPr>
    <w:rPr>
      <w:rFonts w:ascii="Arial" w:hAnsi="Arial" w:eastAsia="Times New Roman" w:cs="Times New Roman"/>
      <w:color w:val="auto"/>
      <w:kern w:val="0"/>
      <w:sz w:val="24"/>
      <w:szCs w:val="24"/>
      <w:lang w:val="en-GB" w:eastAsia="en-US" w:bidi="ar-SA"/>
    </w:rPr>
  </w:style>
  <w:style w:type="paragraph" w:styleId="Heading1">
    <w:name w:val="Heading 1"/>
    <w:basedOn w:val="Normal"/>
    <w:next w:val="Normal"/>
    <w:qFormat/>
    <w:pPr>
      <w:keepNext w:val="true"/>
      <w:numPr>
        <w:ilvl w:val="0"/>
        <w:numId w:val="1"/>
      </w:numPr>
      <w:spacing w:lineRule="auto" w:line="264"/>
      <w:outlineLvl w:val="0"/>
    </w:pPr>
    <w:rPr>
      <w:b/>
      <w:bCs/>
      <w:sz w:val="22"/>
      <w:szCs w:val="20"/>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rFonts w:ascii="Symbol" w:hAnsi="Symbol" w:cs="Symbol"/>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3z0">
    <w:name w:val="WW8Num3z0"/>
    <w:qFormat/>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DefaultParagraphFont">
    <w:name w:val="Default Paragraph Font"/>
    <w:qFormat/>
    <w:rPr/>
  </w:style>
  <w:style w:type="character" w:styleId="EndnoteTextChar">
    <w:name w:val="Endnote Text Char"/>
    <w:qFormat/>
    <w:rPr>
      <w:rFonts w:ascii="Palatino" w:hAnsi="Palatino" w:cs="Palatino"/>
      <w:sz w:val="24"/>
      <w:lang w:eastAsia="en-US"/>
    </w:rPr>
  </w:style>
  <w:style w:type="character" w:styleId="HeaderChar">
    <w:name w:val="Header Char"/>
    <w:qFormat/>
    <w:rPr>
      <w:rFonts w:ascii="Arial" w:hAnsi="Arial" w:cs="Arial"/>
      <w:sz w:val="22"/>
      <w:lang w:eastAsia="en-US"/>
    </w:rPr>
  </w:style>
  <w:style w:type="character" w:styleId="Normaltextrun">
    <w:name w:val="normaltextrun"/>
    <w:basedOn w:val="DefaultParagraphFont"/>
    <w:qFormat/>
    <w:rPr/>
  </w:style>
  <w:style w:type="character" w:styleId="Eop">
    <w:name w:val="eop"/>
    <w:basedOn w:val="DefaultParagraphFont"/>
    <w:qFormat/>
    <w:rPr/>
  </w:style>
  <w:style w:type="character" w:styleId="CommentTextChar">
    <w:name w:val="Comment Text Char"/>
    <w:qFormat/>
    <w:rPr>
      <w:lang w:eastAsia="en-US"/>
    </w:rPr>
  </w:style>
  <w:style w:type="character" w:styleId="HeaderChar1">
    <w:name w:val="Header Char1"/>
    <w:qFormat/>
    <w:rPr>
      <w:rFonts w:ascii="Arial" w:hAnsi="Arial" w:cs="Arial"/>
      <w:sz w:val="22"/>
      <w:lang w:eastAsia="en-US"/>
    </w:rPr>
  </w:style>
  <w:style w:type="character" w:styleId="InternetLink">
    <w:name w:val="Internet Link"/>
    <w:basedOn w:val="DefaultParagraphFont"/>
    <w:rPr>
      <w:color w:val="0563C1"/>
      <w:u w:val="single"/>
    </w:rPr>
  </w:style>
  <w:style w:type="character" w:styleId="UnresolvedMention">
    <w:name w:val="Unresolved Mention"/>
    <w:basedOn w:val="DefaultParagraphFont"/>
    <w:qFormat/>
    <w:rPr>
      <w:color w:val="605E5C"/>
      <w:shd w:fill="E1DFDD" w:val="clear"/>
    </w:rPr>
  </w:style>
  <w:style w:type="character" w:styleId="FollowedHyperlink">
    <w:name w:val="FollowedHyperlink"/>
    <w:basedOn w:val="DefaultParagraphFont"/>
    <w:qFormat/>
    <w:rPr>
      <w:color w:val="954F72"/>
      <w:u w:val="single"/>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rPr>
      <w:b/>
      <w:sz w:val="22"/>
      <w:szCs w:val="20"/>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Endnote">
    <w:name w:val="Endnote Text"/>
    <w:basedOn w:val="Normal"/>
    <w:pPr>
      <w:overflowPunct w:val="true"/>
      <w:textAlignment w:val="baseline"/>
    </w:pPr>
    <w:rPr>
      <w:rFonts w:ascii="Palatino" w:hAnsi="Palatino" w:cs="Palatino"/>
      <w:szCs w:val="20"/>
    </w:rPr>
  </w:style>
  <w:style w:type="paragraph" w:styleId="HeaderandFooter">
    <w:name w:val="Header and Footer"/>
    <w:basedOn w:val="Normal"/>
    <w:qFormat/>
    <w:pPr/>
    <w:rPr/>
  </w:style>
  <w:style w:type="paragraph" w:styleId="Header">
    <w:name w:val="Header"/>
    <w:basedOn w:val="Normal"/>
    <w:pPr>
      <w:tabs>
        <w:tab w:val="clear" w:pos="720"/>
        <w:tab w:val="center" w:pos="4153" w:leader="none"/>
        <w:tab w:val="right" w:pos="8306" w:leader="none"/>
      </w:tabs>
    </w:pPr>
    <w:rPr>
      <w:sz w:val="22"/>
      <w:szCs w:val="20"/>
    </w:rPr>
  </w:style>
  <w:style w:type="paragraph" w:styleId="TextBodyIndent">
    <w:name w:val="Body Text Indent"/>
    <w:basedOn w:val="Normal"/>
    <w:pPr>
      <w:spacing w:before="0" w:after="120"/>
      <w:ind w:left="283" w:right="0" w:hanging="0"/>
    </w:pPr>
    <w:rPr/>
  </w:style>
  <w:style w:type="paragraph" w:styleId="ListParagraph">
    <w:name w:val="List Paragraph"/>
    <w:basedOn w:val="Normal"/>
    <w:qFormat/>
    <w:pPr>
      <w:spacing w:lineRule="auto" w:line="276" w:before="0" w:after="200"/>
      <w:ind w:left="720" w:right="0" w:hanging="0"/>
      <w:contextualSpacing/>
    </w:pPr>
    <w:rPr>
      <w:rFonts w:ascii="Calibri" w:hAnsi="Calibri" w:eastAsia="Calibri" w:cs="Calibri"/>
      <w:sz w:val="22"/>
      <w:szCs w:val="22"/>
    </w:rPr>
  </w:style>
  <w:style w:type="paragraph" w:styleId="Paragraph">
    <w:name w:val="paragraph"/>
    <w:basedOn w:val="Normal"/>
    <w:qFormat/>
    <w:pPr>
      <w:spacing w:before="280" w:after="280"/>
    </w:pPr>
    <w:rPr>
      <w:rFonts w:ascii="Times New Roman" w:hAnsi="Times New Roman" w:cs="Times New Roman"/>
      <w:lang w:eastAsia="en-GB"/>
    </w:rPr>
  </w:style>
  <w:style w:type="paragraph" w:styleId="Annotationtext">
    <w:name w:val="annotation text"/>
    <w:basedOn w:val="Normal"/>
    <w:qFormat/>
    <w:pPr/>
    <w:rPr>
      <w:rFonts w:ascii="Times New Roman" w:hAnsi="Times New Roman" w:cs="Times New Roman"/>
      <w:sz w:val="20"/>
      <w:szCs w:val="20"/>
    </w:rPr>
  </w:style>
  <w:style w:type="paragraph" w:styleId="Revision">
    <w:name w:val="Revision"/>
    <w:qFormat/>
    <w:pPr>
      <w:widowControl/>
      <w:suppressAutoHyphens w:val="true"/>
      <w:bidi w:val="0"/>
      <w:spacing w:before="0" w:after="0"/>
      <w:jc w:val="left"/>
    </w:pPr>
    <w:rPr>
      <w:rFonts w:ascii="Arial" w:hAnsi="Arial" w:eastAsia="Times New Roman" w:cs="Times New Roman"/>
      <w:color w:val="auto"/>
      <w:kern w:val="0"/>
      <w:sz w:val="24"/>
      <w:szCs w:val="24"/>
      <w:lang w:val="en-GB" w:eastAsia="en-US" w:bidi="ar-SA"/>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0</TotalTime>
  <Application>LibreOffice/6.3.4.2$Windows_X86_64 LibreOffice_project/60da17e045e08f1793c57c00ba83cdfce946d0aa</Application>
  <Company>OMBC</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2026-08-05T14:38:00Z</dcterms:created>
  <dc:creator>OMBC</dc:creator>
  <dc:description/>
  <dc:language>en-US</dc:language>
  <cp:lastModifiedBy>Ian Robinson (HR)</cp:lastModifiedBy>
  <cp:lastPrinted>1995-11-21T17:41:00Z</cp:lastPrinted>
  <dcterms:modified xsi:type="dcterms:W3CDTF">2026-08-05T14:38:00Z</dcterms:modified>
  <cp:revision>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OMBC</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