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  <w:drawing>
          <wp:anchor behindDoc="1" distT="0" distB="0" distL="114300" distR="114300" simplePos="0" locked="0" layoutInCell="1" allowOverlap="1" relativeHeight="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060" cy="23272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7" r="-7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left" w:pos="384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margin">
                  <wp:posOffset>-6850380</wp:posOffset>
                </wp:positionH>
                <wp:positionV relativeFrom="paragraph">
                  <wp:posOffset>2920365</wp:posOffset>
                </wp:positionV>
                <wp:extent cx="6851015" cy="131318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440" cy="131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-539.4pt;margin-top:229.95pt;width:539.35pt;height:103.3pt;mso-position-horizontal-relative:margin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val="en-US" w:eastAsia="zh-CN" w:bidi="hi-IN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114300" simplePos="0" locked="0" layoutInCell="1" allowOverlap="1" relativeHeight="9">
                <wp:simplePos x="0" y="0"/>
                <wp:positionH relativeFrom="margin">
                  <wp:posOffset>-6850380</wp:posOffset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right"/>
                              <w:rPr>
                                <w:rFonts w:cs="Arial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cs="Arial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Procurement and Contracts Manager</w:t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>
                                <w:rFonts w:ascii="Open Sans" w:hAnsi="Open Sans" w:cs="Open Sans"/>
                                <w:b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b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39.4pt;height:103.35pt;mso-wrap-distance-left:0pt;mso-wrap-distance-right:9pt;mso-wrap-distance-top:5.7pt;mso-wrap-distance-bottom:5.7pt;margin-top:229.95pt;mso-position-vertical-relative:text;margin-left:-539.4pt;mso-position-horizontal-relative:margin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jc w:val="right"/>
                        <w:rPr>
                          <w:rFonts w:cs="Arial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cs="Arial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48"/>
                          <w:szCs w:val="48"/>
                        </w:rPr>
                        <w:t>Procurement and Contracts Manager</w:t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pStyle w:val="FrameContents"/>
                        <w:jc w:val="right"/>
                        <w:rPr>
                          <w:rFonts w:ascii="Open Sans" w:hAnsi="Open Sans" w:cs="Open Sans"/>
                          <w:b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cs="Open Sans" w:ascii="Open Sans" w:hAnsi="Open Sans"/>
                          <w:b/>
                          <w:color w:val="000000"/>
                          <w:sz w:val="48"/>
                          <w:szCs w:val="4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1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5855"/>
        <w:gridCol w:w="10"/>
      </w:tblGrid>
      <w:tr>
        <w:trPr>
          <w:trHeight w:val="781" w:hRule="atLeast"/>
        </w:trPr>
        <w:tc>
          <w:tcPr>
            <w:tcW w:w="9205" w:type="dxa"/>
            <w:gridSpan w:val="2"/>
            <w:tcBorders>
              <w:bottom w:val="single" w:sz="4" w:space="0" w:color="808080"/>
            </w:tcBorders>
            <w:shd w:fill="002060" w:val="clear"/>
            <w:vAlign w:val="center"/>
          </w:tcPr>
          <w:p>
            <w:pPr>
              <w:pStyle w:val="Heading1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FFFFFF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FFFFFF"/>
                <w:sz w:val="24"/>
                <w:szCs w:val="24"/>
              </w:rPr>
              <w:t>Job Description</w:t>
            </w:r>
          </w:p>
        </w:tc>
      </w:tr>
      <w:tr>
        <w:trPr>
          <w:trHeight w:val="659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Procurement and Contracts Manager</w:t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434343"/>
                <w:lang w:val="en-US"/>
              </w:rPr>
            </w:pPr>
            <w:r>
              <w:rPr>
                <w:rFonts w:cs="Calibri" w:ascii="Calibri" w:hAnsi="Calibri"/>
                <w:color w:val="434343"/>
                <w:lang w:val="en-US"/>
              </w:rPr>
              <w:t xml:space="preserve">NJC Points 37-40 (£48,226 - £51,356 per annum FTE) </w:t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Full-time/Full-Year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702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Initially based at Spring Brook Upper Site (Central Office) with regular travel across at sites in the New Bridge Group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Chief Finance Officer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N/A – may become a requirement as Trust grows</w:t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cs="Calibri" w:ascii="Calibri" w:hAnsi="Calibri"/>
                <w:color w:val="000000"/>
                <w:szCs w:val="24"/>
              </w:rPr>
              <w:t>Accountable to: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Chief Executive Officer </w:t>
            </w:r>
          </w:p>
        </w:tc>
      </w:tr>
      <w:tr>
        <w:trPr>
          <w:trHeight w:val="706" w:hRule="atLeast"/>
        </w:trPr>
        <w:tc>
          <w:tcPr>
            <w:tcW w:w="3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EAEAEA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26 working weeks (for new employees)</w:t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72" w:hRule="atLeast"/>
        </w:trPr>
        <w:tc>
          <w:tcPr>
            <w:tcW w:w="10495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>Overall Purpose of the Job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eastAsia="Calibri" w:cs="Calibri"/>
          <w:kern w:val="2"/>
        </w:rPr>
      </w:pPr>
      <w:r>
        <w:rPr>
          <w:rFonts w:eastAsia="Calibri" w:cs="Calibri" w:ascii="Calibri" w:hAnsi="Calibri"/>
          <w:kern w:val="2"/>
        </w:rPr>
        <w:t>To lead and deliver an effective, compliant and value-driven procurement function across the Trust, ensuring best use of public funds while supporting operational and educational priorities.</w:t>
      </w:r>
    </w:p>
    <w:p>
      <w:pPr>
        <w:pStyle w:val="Normal"/>
        <w:rPr>
          <w:rFonts w:ascii="Calibri" w:hAnsi="Calibri" w:eastAsia="Calibri" w:cs="Calibri"/>
          <w:kern w:val="2"/>
        </w:rPr>
      </w:pPr>
      <w:r>
        <w:rPr>
          <w:rFonts w:eastAsia="Calibri" w:cs="Calibri" w:ascii="Calibri" w:hAnsi="Calibri"/>
          <w:kern w:val="2"/>
        </w:rPr>
      </w:r>
    </w:p>
    <w:p>
      <w:pPr>
        <w:pStyle w:val="Normal"/>
        <w:rPr>
          <w:rFonts w:ascii="Calibri" w:hAnsi="Calibri" w:eastAsia="Calibri" w:cs="Calibri"/>
          <w:kern w:val="2"/>
        </w:rPr>
      </w:pPr>
      <w:r>
        <w:rPr>
          <w:rFonts w:eastAsia="Calibri" w:cs="Calibri" w:ascii="Calibri" w:hAnsi="Calibri"/>
          <w:kern w:val="2"/>
        </w:rPr>
        <w:t>The role will provide strategic oversight and hands-on delivery of procurement, contract management and supplier engagement across the MAT.</w:t>
      </w:r>
    </w:p>
    <w:p>
      <w:pPr>
        <w:pStyle w:val="Normal"/>
        <w:rPr>
          <w:rFonts w:ascii="Calibri" w:hAnsi="Calibri" w:cs="Calibri"/>
          <w:lang w:eastAsia="en-GB"/>
        </w:rPr>
      </w:pPr>
      <w:r>
        <w:rPr>
          <w:rFonts w:cs="Calibri" w:ascii="Calibri" w:hAnsi="Calibri"/>
          <w:lang w:eastAsia="en-GB"/>
        </w:rPr>
      </w:r>
    </w:p>
    <w:tbl>
      <w:tblPr>
        <w:tblW w:w="10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5"/>
      </w:tblGrid>
      <w:tr>
        <w:trPr>
          <w:trHeight w:val="567" w:hRule="atLeast"/>
        </w:trPr>
        <w:tc>
          <w:tcPr>
            <w:tcW w:w="10495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 xml:space="preserve">Key Responsibilities </w:t>
            </w:r>
          </w:p>
        </w:tc>
      </w:tr>
    </w:tbl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Procurement Strategy &amp; Development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Develop and implement a Trust-wide procurement strategy aligned to financial and operational priorities</w:t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Identify opportunities for cost savings, efficiencies and service improvements</w:t>
      </w:r>
    </w:p>
    <w:p>
      <w:pPr>
        <w:pStyle w:val="NoSpacing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Support long-term financial sustainability through effective procurement planning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Operational Procurement Delivery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Lead and manage procurement activity across all schools and central services</w:t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Deliver end-to-end procurement processes (tendering, evaluation, contract award)</w:t>
      </w:r>
    </w:p>
    <w:p>
      <w:pPr>
        <w:pStyle w:val="NoSpacing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Provide hands-on support for high-value or complex procurements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Compliance &amp; Governance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Ensure compliance with the Procurement Act 2023, Academy Trust Handbook requirements and internal financial regulations and audit standards</w:t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Develop and maintain procurement policies, procedures and templates</w:t>
      </w:r>
    </w:p>
    <w:p>
      <w:pPr>
        <w:pStyle w:val="NoSpacing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>Support internal and external audit processes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Contract &amp; Supplier Management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Establish and maintain a central contract register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Monitor supplier performance and contract compliance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Lead contract negotiations and renewals</w:t>
      </w:r>
    </w:p>
    <w:p>
      <w:pPr>
        <w:pStyle w:val="NoSpacing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Manage supplier relationships to ensure quality and value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Stakeholder Support &amp; Advice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Act as the Trust’s professional lead on procurement</w:t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Advise Headteachers/Heads of Service and budget holders on procurement best practice</w:t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Support schools/central services with specification development and purchasing decisions</w:t>
      </w:r>
    </w:p>
    <w:p>
      <w:pPr>
        <w:pStyle w:val="NoSpacing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Influence stakeholders to ensure compliance and value for money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Financial Efficiency &amp; Value for Money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Identify and deliver savings and cost avoidance opportunities</w:t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Benchmark costs and services across the Trust and externally</w:t>
      </w:r>
    </w:p>
    <w:p>
      <w:pPr>
        <w:pStyle w:val="NoSpacing"/>
        <w:numPr>
          <w:ilvl w:val="0"/>
          <w:numId w:val="13"/>
        </w:numPr>
        <w:rPr>
          <w:rFonts w:cs="Calibri"/>
        </w:rPr>
      </w:pPr>
      <w:r>
        <w:rPr>
          <w:rFonts w:cs="Calibri"/>
        </w:rPr>
        <w:t>Promote collaborative procurement and economies of scale</w:t>
      </w:r>
    </w:p>
    <w:p>
      <w:pPr>
        <w:pStyle w:val="NoSpacing"/>
        <w:ind w:left="720" w:right="0" w:hanging="0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Systems &amp; Data Management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Develop and maintain procurement tracking and reporting systems</w:t>
      </w:r>
    </w:p>
    <w:p>
      <w:pPr>
        <w:pStyle w:val="NoSpacing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Analyse spend data to inform decision-making</w:t>
      </w:r>
    </w:p>
    <w:p>
      <w:pPr>
        <w:pStyle w:val="NoSpacing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Produce reports for Trust Leadership, School Leadership and Trustees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Supplier Frameworks &amp; Partnerships</w:t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Utilise and manage frameworks (e.g. CCS, YPO, ESPO or equivalents)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Establish preferred supplier lists where appropriate</w:t>
      </w:r>
    </w:p>
    <w:p>
      <w:pPr>
        <w:pStyle w:val="NoSpacing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Explore partnership opportunities with other MATs or public bodies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Future Development of Function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Build procurement capability across the Trust</w:t>
      </w:r>
    </w:p>
    <w:p>
      <w:pPr>
        <w:pStyle w:val="NoSpacing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Contribute to business cases for future system or staffing investment</w:t>
      </w:r>
    </w:p>
    <w:p>
      <w:pPr>
        <w:pStyle w:val="NoSpacing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Support embedding a culture of commercial awareness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rPr>
          <w:rFonts w:cs="Calibri"/>
          <w:b/>
          <w:b/>
          <w:bCs/>
        </w:rPr>
      </w:pPr>
      <w:r>
        <w:rPr>
          <w:rFonts w:cs="Calibri"/>
          <w:b/>
          <w:bCs/>
        </w:rPr>
        <w:t>General Duties</w:t>
      </w:r>
    </w:p>
    <w:p>
      <w:pPr>
        <w:pStyle w:val="NoSpacing"/>
        <w:rPr>
          <w:rFonts w:cs="Calibri"/>
        </w:rPr>
      </w:pPr>
      <w:r>
        <w:rPr>
          <w:rFonts w:cs="Calibri"/>
        </w:rPr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Demonstrate commitment to the Trust’s values, promoting equality, diversity and inclusion in all aspects of work</w:t>
      </w:r>
    </w:p>
    <w:p>
      <w:pPr>
        <w:pStyle w:val="NoSpacing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Support safeguarding by ensuring procurement practices are compliant with statutory and Trust standards</w:t>
      </w:r>
    </w:p>
    <w:p>
      <w:pPr>
        <w:pStyle w:val="Normal"/>
        <w:numPr>
          <w:ilvl w:val="0"/>
          <w:numId w:val="8"/>
        </w:numPr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Ensure compliance with GDPR and data protection</w:t>
      </w:r>
    </w:p>
    <w:p>
      <w:pPr>
        <w:pStyle w:val="Normal"/>
        <w:rPr>
          <w:rFonts w:ascii="Calibri" w:hAnsi="Calibri" w:cs="Calibri"/>
          <w:lang w:eastAsia="en-GB"/>
        </w:rPr>
      </w:pPr>
      <w:r>
        <w:rPr>
          <w:rFonts w:cs="Calibri" w:ascii="Calibri" w:hAnsi="Calibri"/>
          <w:lang w:eastAsia="en-GB"/>
        </w:rPr>
      </w:r>
    </w:p>
    <w:tbl>
      <w:tblPr>
        <w:tblW w:w="103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3"/>
      </w:tblGrid>
      <w:tr>
        <w:trPr>
          <w:trHeight w:val="501" w:hRule="atLeast"/>
        </w:trPr>
        <w:tc>
          <w:tcPr>
            <w:tcW w:w="1035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>
                <w:rFonts w:ascii="Calibri" w:hAnsi="Calibri" w:cs="Calibri"/>
                <w:color w:val="FFFFFF"/>
              </w:rPr>
            </w:pPr>
            <w:r>
              <w:rPr>
                <w:rFonts w:cs="Calibri" w:ascii="Calibri" w:hAnsi="Calibri"/>
                <w:color w:val="FFFFFF"/>
              </w:rPr>
              <w:t>Other Duties</w:t>
            </w:r>
          </w:p>
        </w:tc>
      </w:tr>
    </w:tbl>
    <w:p>
      <w:pPr>
        <w:pStyle w:val="Normal"/>
        <w:overflowPunct w:val="tru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  <w:t xml:space="preserve">This job description is not intended to be all-inclusive, and the job holder may be asked to perform </w:t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  <w:t>other duties commensurate with the post as directed by the CFO to meet the needs of the organisation.</w:t>
      </w:r>
    </w:p>
    <w:p>
      <w:pPr>
        <w:pStyle w:val="Normal"/>
        <w:overflowPunct w:val="true"/>
        <w:rPr>
          <w:rFonts w:ascii="Calibri" w:hAnsi="Calibri" w:cs="Calibri"/>
          <w:color w:val="0D0D0D"/>
        </w:rPr>
      </w:pPr>
      <w:r>
        <w:rPr>
          <w:rFonts w:cs="Calibri" w:ascii="Calibri" w:hAnsi="Calibri"/>
          <w:color w:val="0D0D0D"/>
        </w:rPr>
      </w:r>
    </w:p>
    <w:tbl>
      <w:tblPr>
        <w:tblW w:w="103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3"/>
      </w:tblGrid>
      <w:tr>
        <w:trPr>
          <w:trHeight w:val="568" w:hRule="atLeast"/>
        </w:trPr>
        <w:tc>
          <w:tcPr>
            <w:tcW w:w="1035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fill="00469B" w:val="clear"/>
            <w:vAlign w:val="center"/>
          </w:tcPr>
          <w:p>
            <w:pPr>
              <w:pStyle w:val="Normal"/>
              <w:tabs>
                <w:tab w:val="clear" w:pos="720"/>
                <w:tab w:val="left" w:pos="6562" w:leader="none"/>
              </w:tabs>
              <w:rPr/>
            </w:pPr>
            <w:r>
              <w:rPr>
                <w:rFonts w:eastAsia="Calibri" w:cs="Calibri" w:ascii="Calibri" w:hAnsi="Calibri"/>
                <w:color w:val="FFFFFF"/>
              </w:rPr>
              <w:t xml:space="preserve"> </w:t>
            </w:r>
            <w:r>
              <w:rPr>
                <w:rFonts w:cs="Calibri" w:ascii="Calibri" w:hAnsi="Calibri"/>
                <w:color w:val="FFFFFF"/>
              </w:rPr>
              <w:t>Equipment, Tools, Physical or Special Requirements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Cross-site travel will be required.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Adoption of professional standards of behaviour and appearance at all times in line with the organisation’s expectations and protocols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Enhanced DBS required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49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4"/>
        <w:gridCol w:w="2627"/>
      </w:tblGrid>
      <w:tr>
        <w:trPr>
          <w:trHeight w:val="570" w:hRule="atLeast"/>
        </w:trPr>
        <w:tc>
          <w:tcPr>
            <w:tcW w:w="10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0055A5" w:val="clear"/>
            <w:vAlign w:val="center"/>
          </w:tcPr>
          <w:p>
            <w:pPr>
              <w:pStyle w:val="Heading1"/>
              <w:rPr>
                <w:rFonts w:ascii="Calibri" w:hAnsi="Calibri" w:cs="Calibri"/>
                <w:i w:val="false"/>
                <w:i w:val="false"/>
                <w:color w:val="FFFFFF"/>
              </w:rPr>
            </w:pPr>
            <w:r>
              <w:rPr>
                <w:rFonts w:cs="Calibri" w:ascii="Calibri" w:hAnsi="Calibri"/>
                <w:i w:val="false"/>
                <w:color w:val="FFFFFF"/>
              </w:rPr>
              <w:t>Person Specification</w:t>
            </w:r>
          </w:p>
        </w:tc>
      </w:tr>
      <w:tr>
        <w:trPr>
          <w:trHeight w:val="402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F7F7F" w:val="clear"/>
            <w:vAlign w:val="center"/>
          </w:tcPr>
          <w:p>
            <w:pPr>
              <w:pStyle w:val="Heading1"/>
              <w:jc w:val="left"/>
              <w:rPr/>
            </w:pPr>
            <w:r>
              <w:rPr>
                <w:rFonts w:cs="Calibri" w:ascii="Calibri" w:hAnsi="Calibri"/>
                <w:b w:val="false"/>
                <w:i w:val="false"/>
                <w:color w:val="FFFFFF"/>
              </w:rPr>
              <w:t xml:space="preserve">Selection Criteria (Essential Criteria </w:t>
            </w:r>
            <w:r>
              <w:rPr>
                <w:rFonts w:cs="Calibri" w:ascii="Calibri" w:hAnsi="Calibri"/>
                <w:bCs w:val="false"/>
                <w:i w:val="false"/>
                <w:color w:val="FFFFFF"/>
              </w:rPr>
              <w:t>emboldened</w:t>
            </w:r>
            <w:r>
              <w:rPr>
                <w:rFonts w:cs="Calibri" w:ascii="Calibri" w:hAnsi="Calibri"/>
                <w:b w:val="false"/>
                <w:i w:val="false"/>
                <w:color w:val="FFFFFF"/>
              </w:rPr>
              <w:t xml:space="preserve">) 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F7F7F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i w:val="false"/>
                <w:i w:val="false"/>
                <w:color w:val="FFFFFF"/>
              </w:rPr>
            </w:pPr>
            <w:r>
              <w:rPr>
                <w:rFonts w:cs="Calibri" w:ascii="Calibri" w:hAnsi="Calibri"/>
                <w:b w:val="false"/>
                <w:i w:val="false"/>
                <w:color w:val="FFFFFF"/>
              </w:rPr>
              <w:t>Assessed By</w:t>
            </w:r>
          </w:p>
        </w:tc>
      </w:tr>
      <w:tr>
        <w:trPr>
          <w:trHeight w:val="408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i w:val="false"/>
                <w:i w:val="false"/>
                <w:color w:val="00469B"/>
              </w:rPr>
            </w:pPr>
            <w:r>
              <w:rPr>
                <w:rFonts w:cs="Calibri" w:ascii="Calibri" w:hAnsi="Calibri"/>
                <w:i w:val="false"/>
                <w:color w:val="00469B"/>
              </w:rPr>
              <w:t>Education, Qualifications &amp; Training</w:t>
            </w:r>
          </w:p>
        </w:tc>
      </w:tr>
      <w:tr>
        <w:trPr>
          <w:trHeight w:val="871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 xml:space="preserve">Relevant qualification or significant experience in procurement, finance or commercial management (or significant experience)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 xml:space="preserve">CIPS qualification (Level 4+ desirable)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 w:val="false"/>
                <w:b w:val="false"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kern w:val="2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Application Form/Interview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  <w:tr>
        <w:trPr>
          <w:trHeight w:val="408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Knowledge &amp; Experience</w:t>
            </w:r>
          </w:p>
        </w:tc>
      </w:tr>
      <w:tr>
        <w:trPr>
          <w:trHeight w:val="558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Experience of procurement in a public sector or regulated environment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Experience managing tenders and contracts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Experience delivering value for money and cost savings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Experience advising non-specialist stakeholders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 w:val="false"/>
                <w:b w:val="false"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kern w:val="2"/>
                <w:sz w:val="22"/>
                <w:szCs w:val="22"/>
              </w:rPr>
              <w:t>Experience in education or similar sector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  <w:tr>
        <w:trPr>
          <w:trHeight w:val="399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Skills and Abilities</w:t>
            </w:r>
          </w:p>
        </w:tc>
      </w:tr>
      <w:tr>
        <w:trPr>
          <w:trHeight w:val="4233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Strong understanding of procurement regulations and compliance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Commercial awareness and negotiation skills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Contract management expertise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Data analysis and financial awareness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56" w:before="0" w:after="160"/>
              <w:contextualSpacing/>
              <w:rPr>
                <w:rFonts w:ascii="Calibri" w:hAnsi="Calibri" w:eastAsia="Calibri" w:cs="Calibri"/>
                <w:bCs/>
                <w:kern w:val="2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Cs/>
                <w:kern w:val="2"/>
                <w:sz w:val="22"/>
                <w:szCs w:val="22"/>
              </w:rPr>
              <w:t>Ability to manage multiple projects across sites</w:t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Certificates / Checks</w:t>
            </w:r>
          </w:p>
        </w:tc>
      </w:tr>
      <w:tr>
        <w:trPr>
          <w:trHeight w:val="450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 xml:space="preserve">Personal Qualities </w:t>
            </w:r>
          </w:p>
        </w:tc>
      </w:tr>
      <w:tr>
        <w:trPr>
          <w:trHeight w:val="1045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extBody"/>
              <w:snapToGrid w:val="false"/>
              <w:rPr>
                <w:rFonts w:ascii="Calibri" w:hAnsi="Calibri" w:eastAsia="Calibri" w:cs="Calibri"/>
                <w:kern w:val="2"/>
              </w:rPr>
            </w:pPr>
            <w:r>
              <w:rPr>
                <w:rFonts w:eastAsia="Calibri" w:cs="Calibri" w:ascii="Calibri" w:hAnsi="Calibri"/>
                <w:kern w:val="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rFonts w:ascii="Calibri" w:hAnsi="Calibri" w:eastAsia="Calibri" w:cs="Calibri"/>
                <w:b/>
                <w:b/>
                <w:bCs/>
                <w:kern w:val="2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</w:rPr>
              <w:t>Strong integrity and attention to detail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rFonts w:ascii="Calibri" w:hAnsi="Calibri" w:eastAsia="Calibri" w:cs="Calibri"/>
                <w:b/>
                <w:b/>
                <w:bCs/>
                <w:kern w:val="2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</w:rPr>
              <w:t>Influencing skills without reliance on authority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rFonts w:ascii="Calibri" w:hAnsi="Calibri" w:eastAsia="Calibri" w:cs="Calibri"/>
                <w:b/>
                <w:b/>
                <w:bCs/>
                <w:kern w:val="2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</w:rPr>
              <w:t>Proactive and solution-focused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rFonts w:ascii="Calibri" w:hAnsi="Calibri" w:eastAsia="Calibri" w:cs="Calibri"/>
                <w:b/>
                <w:b/>
                <w:bCs/>
                <w:kern w:val="2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</w:rPr>
              <w:t>Collaborative and service-oriented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 w:leader="none"/>
              </w:tabs>
              <w:rPr>
                <w:rFonts w:ascii="Calibri" w:hAnsi="Calibri" w:eastAsia="Calibri" w:cs="Calibri"/>
                <w:b/>
                <w:b/>
                <w:bCs/>
                <w:kern w:val="2"/>
              </w:rPr>
            </w:pPr>
            <w:r>
              <w:rPr>
                <w:rFonts w:eastAsia="Calibri" w:cs="Calibri" w:ascii="Calibri" w:hAnsi="Calibri"/>
                <w:b/>
                <w:bCs/>
                <w:kern w:val="2"/>
              </w:rPr>
              <w:t>Commitment to supporting SEN environments</w:t>
            </w:r>
          </w:p>
          <w:p>
            <w:pPr>
              <w:pStyle w:val="Default"/>
              <w:ind w:left="720" w:right="0" w:hanging="0"/>
              <w:rPr>
                <w:rFonts w:ascii="Calibri" w:hAnsi="Calibri" w:cs="Calibri"/>
                <w:sz w:val="29"/>
                <w:szCs w:val="29"/>
              </w:rPr>
            </w:pPr>
            <w:r>
              <w:rPr>
                <w:rFonts w:cs="Calibri" w:ascii="Calibri" w:hAnsi="Calibri"/>
                <w:sz w:val="29"/>
                <w:szCs w:val="29"/>
              </w:rPr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Heading1"/>
              <w:snapToGrid w:val="false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9"/>
                <w:szCs w:val="29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  <w:sz w:val="29"/>
                <w:szCs w:val="29"/>
              </w:rPr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auto"/>
              </w:rPr>
              <w:t>Certificates / Checks</w:t>
            </w:r>
          </w:p>
        </w:tc>
      </w:tr>
      <w:tr>
        <w:trPr>
          <w:trHeight w:val="430" w:hRule="atLeast"/>
        </w:trPr>
        <w:tc>
          <w:tcPr>
            <w:tcW w:w="10361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  <w:vAlign w:val="center"/>
          </w:tcPr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469B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469B"/>
              </w:rPr>
              <w:t>Work circumstances</w:t>
            </w:r>
          </w:p>
        </w:tc>
      </w:tr>
      <w:tr>
        <w:trPr>
          <w:trHeight w:val="1042" w:hRule="atLeast"/>
        </w:trPr>
        <w:tc>
          <w:tcPr>
            <w:tcW w:w="7734" w:type="dxa"/>
            <w:tcBorders>
              <w:top w:val="single" w:sz="4" w:space="0" w:color="A6A6A6"/>
              <w:lef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Normal"/>
              <w:snapToGrid w:val="false"/>
              <w:ind w:left="334" w:right="0" w:hanging="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To work flexibly as the workload demands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To travel and work at other sites within the New Bridge Group as may be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/>
              <w:ind w:left="694" w:right="0" w:hanging="360"/>
              <w:rPr>
                <w:rFonts w:ascii="Calibri" w:hAnsi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color w:val="000000"/>
                <w:sz w:val="22"/>
                <w:szCs w:val="22"/>
              </w:rPr>
              <w:t>Occasional out of hours working to support trust/school meetings where required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2627" w:type="dxa"/>
            <w:tcBorders>
              <w:top w:val="single" w:sz="4" w:space="0" w:color="A6A6A6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FFFFFF" w:val="clear"/>
          </w:tcPr>
          <w:p>
            <w:pPr>
              <w:pStyle w:val="Heading1"/>
              <w:snapToGrid w:val="false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</w:r>
          </w:p>
          <w:p>
            <w:pPr>
              <w:pStyle w:val="Heading1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</w:rPr>
              <w:t>Application Form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Interview &amp; Selection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Certificates / Checks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709" w:top="766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rebuchet MS">
    <w:charset w:val="00"/>
    <w:family w:val="roman"/>
    <w:pitch w:val="variable"/>
  </w:font>
  <w:font w:name="Palatino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Unicode MS"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7700" cy="5256530"/>
          <wp:effectExtent l="0" t="0" r="0" b="0"/>
          <wp:wrapNone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25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" w:cs=""/>
      <w:b/>
      <w:bCs/>
      <w:color w:val="4F81BD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Normalc71">
    <w:name w:val="normal-c71"/>
    <w:qFormat/>
    <w:rPr>
      <w:rFonts w:ascii="Trebuchet MS" w:hAnsi="Trebuchet MS" w:cs="Trebuchet MS"/>
      <w:b/>
      <w:bCs/>
      <w:color w:val="2C3651"/>
      <w:sz w:val="24"/>
      <w:szCs w:val="24"/>
    </w:rPr>
  </w:style>
  <w:style w:type="character" w:styleId="Normalc81">
    <w:name w:val="normal-c81"/>
    <w:qFormat/>
    <w:rPr>
      <w:rFonts w:ascii="Trebuchet MS" w:hAnsi="Trebuchet MS" w:cs="Trebuchet MS"/>
      <w:color w:val="2C3651"/>
      <w:sz w:val="24"/>
      <w:szCs w:val="24"/>
    </w:rPr>
  </w:style>
  <w:style w:type="character" w:styleId="Normalc51">
    <w:name w:val="normal-c51"/>
    <w:qFormat/>
    <w:rPr>
      <w:rFonts w:ascii="Trebuchet MS" w:hAnsi="Trebuchet MS" w:cs="Trebuchet MS"/>
      <w:sz w:val="20"/>
      <w:szCs w:val="20"/>
    </w:rPr>
  </w:style>
  <w:style w:type="character" w:styleId="Heading5Char">
    <w:name w:val="Heading 5 Char"/>
    <w:basedOn w:val="DefaultParagraphFont"/>
    <w:qFormat/>
    <w:rPr>
      <w:b/>
      <w:bCs/>
      <w:sz w:val="28"/>
      <w:szCs w:val="24"/>
      <w:lang w:eastAsia="en-US"/>
    </w:rPr>
  </w:style>
  <w:style w:type="character" w:styleId="Heading1Char">
    <w:name w:val="Heading 1 Char"/>
    <w:qFormat/>
    <w:rPr>
      <w:b/>
      <w:bCs/>
      <w:i/>
      <w:iCs/>
      <w:color w:val="000080"/>
      <w:sz w:val="24"/>
      <w:szCs w:val="24"/>
      <w:lang w:val="en-US" w:eastAsia="en-US"/>
    </w:rPr>
  </w:style>
  <w:style w:type="character" w:styleId="TitleChar">
    <w:name w:val="Title Char"/>
    <w:basedOn w:val="DefaultParagraphFont"/>
    <w:qFormat/>
    <w:rPr>
      <w:b/>
      <w:bCs/>
      <w:sz w:val="28"/>
      <w:szCs w:val="24"/>
      <w:lang w:eastAsia="en-US"/>
    </w:rPr>
  </w:style>
  <w:style w:type="character" w:styleId="BodyText2Char">
    <w:name w:val="Body Text 2 Char"/>
    <w:basedOn w:val="DefaultParagraphFont"/>
    <w:qFormat/>
    <w:rPr>
      <w:sz w:val="22"/>
      <w:lang w:eastAsia="en-US"/>
    </w:rPr>
  </w:style>
  <w:style w:type="character" w:styleId="EndnoteTextChar">
    <w:name w:val="Endnote Text Char"/>
    <w:basedOn w:val="DefaultParagraphFont"/>
    <w:qFormat/>
    <w:rPr>
      <w:rFonts w:ascii="Palatino" w:hAnsi="Palatino" w:cs="Palatino"/>
      <w:sz w:val="24"/>
      <w:lang w:eastAsia="en-US"/>
    </w:rPr>
  </w:style>
  <w:style w:type="character" w:styleId="Heading3Char">
    <w:name w:val="Heading 3 Char"/>
    <w:basedOn w:val="DefaultParagraphFont"/>
    <w:qFormat/>
    <w:rPr>
      <w:rFonts w:ascii="Cambria" w:hAnsi="Cambria" w:eastAsia="" w:cs=""/>
      <w:b/>
      <w:bCs/>
      <w:color w:val="4F81BD"/>
      <w:sz w:val="22"/>
      <w:szCs w:val="22"/>
      <w:lang w:eastAsia="en-US"/>
    </w:rPr>
  </w:style>
  <w:style w:type="character" w:styleId="HeaderChar">
    <w:name w:val="Header Char"/>
    <w:basedOn w:val="DefaultParagraphFont"/>
    <w:qFormat/>
    <w:rPr>
      <w:rFonts w:ascii="Arial" w:hAnsi="Arial" w:eastAsia="Calibri" w:cs="Arial"/>
      <w:sz w:val="22"/>
      <w:szCs w:val="22"/>
      <w:lang w:eastAsia="en-US"/>
    </w:rPr>
  </w:style>
  <w:style w:type="character" w:styleId="FooterChar">
    <w:name w:val="Footer Char"/>
    <w:basedOn w:val="DefaultParagraphFont"/>
    <w:qFormat/>
    <w:rPr>
      <w:rFonts w:ascii="Arial" w:hAnsi="Arial" w:eastAsia="Calibri" w:cs="Arial"/>
      <w:sz w:val="22"/>
      <w:szCs w:val="22"/>
      <w:lang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  <w:lang w:val="en-US" w:eastAsia="en-US"/>
    </w:rPr>
  </w:style>
  <w:style w:type="character" w:styleId="Heading2Char">
    <w:name w:val="Heading 2 Char"/>
    <w:basedOn w:val="DefaultParagraphFont"/>
    <w:qFormat/>
    <w:rPr>
      <w:rFonts w:ascii="Arial" w:hAnsi="Arial" w:eastAsia="Calibri" w:cs="Arial"/>
      <w:b/>
      <w:bCs/>
      <w:i/>
      <w:iCs/>
      <w:sz w:val="28"/>
      <w:szCs w:val="2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bCs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p2">
    <w:name w:val="normal-p2"/>
    <w:basedOn w:val="Normal"/>
    <w:qFormat/>
    <w:pPr>
      <w:jc w:val="both"/>
    </w:pPr>
    <w:rPr>
      <w:color w:val="000000"/>
      <w:lang w:eastAsia="en-GB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Title">
    <w:name w:val="Title"/>
    <w:basedOn w:val="Normal"/>
    <w:next w:val="TextBody"/>
    <w:qFormat/>
    <w:pPr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BodyText2">
    <w:name w:val="Body Text 2"/>
    <w:basedOn w:val="Normal"/>
    <w:qFormat/>
    <w:pPr>
      <w:overflowPunct w:val="true"/>
      <w:ind w:left="720" w:right="0" w:hanging="0"/>
    </w:pPr>
    <w:rPr>
      <w:rFonts w:ascii="Times New Roman" w:hAnsi="Times New Roman" w:eastAsia="Times New Roman" w:cs="Times New Roman"/>
      <w:szCs w:val="20"/>
    </w:rPr>
  </w:style>
  <w:style w:type="paragraph" w:styleId="Normalweb1">
    <w:name w:val="normalweb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ascii="Helvetica;Arial" w:hAnsi="Helvetica;Arial" w:eastAsia="" w:cs="Helvetica;Arial"/>
      <w:b/>
      <w:sz w:val="24"/>
      <w:szCs w:val="24"/>
    </w:rPr>
  </w:style>
  <w:style w:type="paragraph" w:styleId="NormalArial">
    <w:name w:val="Normal + Arial"/>
    <w:basedOn w:val="Normal"/>
    <w:qFormat/>
    <w:pPr/>
    <w:rPr>
      <w:rFonts w:eastAsia="Times New Roman" w:cs="Arial"/>
      <w:sz w:val="24"/>
      <w:szCs w:val="24"/>
      <w:lang w:eastAsia="en-GB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eastAsia="Times New Roman" w:cs="Palatino"/>
      <w:sz w:val="24"/>
      <w:szCs w:val="20"/>
    </w:rPr>
  </w:style>
  <w:style w:type="paragraph" w:styleId="Xmsonormal">
    <w:name w:val="x_msonormal"/>
    <w:basedOn w:val="Normal"/>
    <w:qFormat/>
    <w:pPr/>
    <w:rPr>
      <w:rFonts w:ascii="Calibri" w:hAnsi="Calibri" w:eastAsia="Calibri" w:cs="Calibri"/>
      <w:lang w:eastAsia="en-GB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Xxmsonormal">
    <w:name w:val="x_x_msonormal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Courier New"/>
      <w:sz w:val="20"/>
      <w:szCs w:val="20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56</TotalTime>
  <Application>LibreOffice/6.3.4.2$Windows_X86_64 LibreOffice_project/60da17e045e08f1793c57c00ba83cdfce946d0aa</Application>
  <Company>Park Dean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2026-03-31T12:38:00Z</dcterms:created>
  <dc:creator>rita</dc:creator>
  <dc:description/>
  <dc:language>en-US</dc:language>
  <cp:lastModifiedBy>Kayleigh Davies</cp:lastModifiedBy>
  <cp:lastPrinted>1995-11-21T17:41:00Z</cp:lastPrinted>
  <dcterms:modified xsi:type="dcterms:W3CDTF">2026-03-31T13:33:00Z</dcterms:modified>
  <cp:revision>52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Park Dean School</vt:lpwstr>
  </property>
  <property fmtid="{D5CDD505-2E9C-101B-9397-08002B2CF9AE}" pid="4" name="ContentTypeId">
    <vt:lpwstr>0x01010068FC329BFBC0404093046BD6DA930BDA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