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Heading1"/>
        <w:spacing w:lineRule="auto" w:line="240"/>
        <w:rPr>
          <w:sz w:val="24"/>
          <w:szCs w:val="24"/>
        </w:rPr>
      </w:pPr>
      <w:r>
        <w:rPr>
          <w:sz w:val="24"/>
          <w:szCs w:val="24"/>
        </w:rPr>
      </w:r>
    </w:p>
    <w:p>
      <w:pPr>
        <w:pStyle w:val="Normal"/>
        <w:jc w:val="center"/>
        <w:rPr>
          <w:b/>
          <w:b/>
          <w:bCs/>
          <w:u w:val="single"/>
        </w:rPr>
      </w:pPr>
      <w:r>
        <w:rPr>
          <w:b/>
          <w:bCs/>
          <w:u w:val="single"/>
        </w:rPr>
        <w:t>OLDHAM COUNCIL</w:t>
      </w:r>
    </w:p>
    <w:p>
      <w:pPr>
        <w:pStyle w:val="Normal"/>
        <w:jc w:val="center"/>
        <w:rPr>
          <w:b/>
          <w:b/>
          <w:bCs/>
          <w:u w:val="single"/>
        </w:rPr>
      </w:pPr>
      <w:r>
        <w:rPr>
          <w:b/>
          <w:bCs/>
          <w:u w:val="single"/>
        </w:rPr>
      </w:r>
    </w:p>
    <w:p>
      <w:pPr>
        <w:pStyle w:val="Normal"/>
        <w:jc w:val="center"/>
        <w:rPr>
          <w:b/>
          <w:b/>
          <w:bCs/>
          <w:u w:val="single"/>
        </w:rPr>
      </w:pPr>
      <w:r>
        <w:rPr>
          <w:b/>
          <w:bCs/>
          <w:u w:val="single"/>
        </w:rPr>
        <w:t>JOB DESCRIPTION</w:t>
      </w:r>
    </w:p>
    <w:p>
      <w:pPr>
        <w:pStyle w:val="Normal"/>
        <w:jc w:val="center"/>
        <w:rPr>
          <w:b/>
          <w:b/>
          <w:bCs/>
          <w:u w:val="single"/>
        </w:rPr>
      </w:pPr>
      <w:r>
        <w:rPr>
          <w:b/>
          <w:bCs/>
          <w:u w:val="single"/>
        </w:rPr>
      </w:r>
    </w:p>
    <w:p>
      <w:pPr>
        <w:pStyle w:val="Normal"/>
        <w:jc w:val="center"/>
        <w:rPr>
          <w:b/>
          <w:b/>
          <w:bCs/>
          <w:sz w:val="22"/>
          <w:szCs w:val="22"/>
          <w:u w:val="single"/>
        </w:rPr>
      </w:pPr>
      <w:r>
        <w:rPr>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Project/Programme Support Officer</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snapToGrid w:val="false"/>
              <w:rPr>
                <w:sz w:val="22"/>
                <w:szCs w:val="22"/>
              </w:rPr>
            </w:pPr>
            <w:r>
              <w:rPr>
                <w:sz w:val="22"/>
                <w:szCs w:val="22"/>
              </w:rPr>
            </w:r>
          </w:p>
        </w:tc>
        <w:tc>
          <w:tcPr>
            <w:tcW w:w="2179"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color w:val="FFFFFF"/>
                <w:sz w:val="22"/>
                <w:szCs w:val="22"/>
              </w:rPr>
            </w:pPr>
            <w:r>
              <w:rPr>
                <w:color w:val="FFFFFF"/>
                <w:sz w:val="22"/>
                <w:szCs w:val="22"/>
              </w:rPr>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szCs w:val="22"/>
              </w:rPr>
            </w:pPr>
            <w:r>
              <w:rPr>
                <w:szCs w:val="22"/>
              </w:rPr>
              <w:t>Grade 5</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b/>
                <w:b/>
                <w:color w:val="FFFFFF"/>
                <w:szCs w:val="22"/>
              </w:rPr>
            </w:pPr>
            <w:r>
              <w:rPr>
                <w:b/>
                <w:color w:val="FFFFFF"/>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szCs w:val="22"/>
              </w:rPr>
            </w:pPr>
            <w:r>
              <w:rPr>
                <w:szCs w:val="22"/>
              </w:rPr>
              <w:t>PROb</w:t>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bCs/>
                <w:sz w:val="22"/>
                <w:szCs w:val="22"/>
              </w:rPr>
            </w:pPr>
            <w:r>
              <w:rPr>
                <w:rFonts w:cs="Arial"/>
                <w:b/>
                <w:bCs/>
                <w:sz w:val="22"/>
                <w:szCs w:val="22"/>
              </w:rPr>
              <w:t>Job Purpose:</w:t>
            </w:r>
          </w:p>
          <w:p>
            <w:pPr>
              <w:pStyle w:val="Normal"/>
              <w:jc w:val="both"/>
              <w:rPr>
                <w:rFonts w:cs="Arial"/>
                <w:bCs/>
                <w:sz w:val="22"/>
                <w:szCs w:val="22"/>
              </w:rPr>
            </w:pPr>
            <w:r>
              <w:rPr>
                <w:rFonts w:cs="Arial"/>
                <w:bCs/>
                <w:sz w:val="22"/>
                <w:szCs w:val="22"/>
              </w:rPr>
            </w:r>
          </w:p>
          <w:p>
            <w:pPr>
              <w:pStyle w:val="Normal"/>
              <w:jc w:val="both"/>
              <w:rPr/>
            </w:pPr>
            <w:r>
              <w:rPr>
                <w:rFonts w:cs="Arial"/>
                <w:bCs/>
                <w:sz w:val="22"/>
                <w:szCs w:val="22"/>
              </w:rPr>
              <w:t>To provide project and organisational support to the Assistant Director, analysing and interpreting different data to use in project planning and delivery, plus undertaking co-ordinating and monitoring activities relating to the work of the</w:t>
            </w:r>
            <w:r>
              <w:rPr>
                <w:rFonts w:cs="Arial"/>
                <w:b/>
                <w:sz w:val="22"/>
                <w:szCs w:val="22"/>
              </w:rPr>
              <w:t xml:space="preserve"> </w:t>
            </w:r>
            <w:r>
              <w:rPr>
                <w:rFonts w:cs="Arial"/>
                <w:bCs/>
                <w:sz w:val="22"/>
                <w:szCs w:val="22"/>
              </w:rPr>
              <w:t>Statutory Inquiry into Grooming Gangs.  This could be across more than one project or programme.</w:t>
            </w:r>
          </w:p>
          <w:p>
            <w:pPr>
              <w:pStyle w:val="Normal"/>
              <w:jc w:val="both"/>
              <w:rPr>
                <w:rFonts w:cs="Arial"/>
                <w:sz w:val="22"/>
                <w:szCs w:val="22"/>
              </w:rPr>
            </w:pPr>
            <w:r>
              <w:rPr>
                <w:rFonts w:cs="Arial"/>
                <w:sz w:val="22"/>
                <w:szCs w:val="22"/>
              </w:rPr>
            </w:r>
          </w:p>
        </w:tc>
      </w:tr>
    </w:tbl>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539"/>
        <w:gridCol w:w="9910"/>
      </w:tblGrid>
      <w:tr>
        <w:trPr>
          <w:trHeight w:val="390"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ListParagraph"/>
              <w:spacing w:lineRule="auto" w:line="240" w:before="0" w:after="0"/>
              <w:ind w:left="0" w:right="0" w:hanging="0"/>
              <w:contextualSpacing/>
              <w:jc w:val="both"/>
              <w:rPr>
                <w:rFonts w:ascii="Arial" w:hAnsi="Arial" w:cs="Arial"/>
                <w:b/>
                <w:b/>
                <w:color w:val="FFFFFF"/>
              </w:rPr>
            </w:pPr>
            <w:r>
              <w:rPr>
                <w:rFonts w:cs="Arial" w:ascii="Arial" w:hAnsi="Arial"/>
                <w:b/>
                <w:color w:val="FFFFFF"/>
              </w:rPr>
              <w:t>General Project Tasks:</w:t>
            </w:r>
          </w:p>
        </w:tc>
      </w:tr>
      <w:tr>
        <w:trPr>
          <w:trHeight w:val="390" w:hRule="atLeast"/>
        </w:trPr>
        <w:tc>
          <w:tcPr>
            <w:tcW w:w="539" w:type="dxa"/>
            <w:tcBorders>
              <w:top w:val="single" w:sz="4" w:space="0" w:color="000000"/>
              <w:left w:val="single" w:sz="4" w:space="0" w:color="000000"/>
            </w:tcBorders>
            <w:shd w:fill="auto" w:val="clear"/>
          </w:tcPr>
          <w:p>
            <w:pPr>
              <w:pStyle w:val="Endnote"/>
              <w:snapToGrid w:val="false"/>
              <w:jc w:val="both"/>
              <w:rPr>
                <w:rFonts w:ascii="Arial" w:hAnsi="Arial" w:cs="Arial"/>
                <w:sz w:val="22"/>
                <w:szCs w:val="22"/>
              </w:rPr>
            </w:pPr>
            <w:r>
              <w:rPr>
                <w:rFonts w:cs="Arial" w:ascii="Arial" w:hAnsi="Arial"/>
                <w:sz w:val="22"/>
                <w:szCs w:val="22"/>
              </w:rPr>
            </w:r>
          </w:p>
          <w:p>
            <w:pPr>
              <w:pStyle w:val="Endnote"/>
              <w:jc w:val="both"/>
              <w:rPr>
                <w:rFonts w:ascii="Arial" w:hAnsi="Arial" w:cs="Arial"/>
                <w:sz w:val="22"/>
                <w:szCs w:val="22"/>
              </w:rPr>
            </w:pPr>
            <w:r>
              <w:rPr>
                <w:rFonts w:cs="Arial" w:ascii="Arial" w:hAnsi="Arial"/>
                <w:sz w:val="22"/>
                <w:szCs w:val="22"/>
              </w:rPr>
              <w:t>1.</w:t>
            </w:r>
          </w:p>
        </w:tc>
        <w:tc>
          <w:tcPr>
            <w:tcW w:w="9910" w:type="dxa"/>
            <w:tcBorders>
              <w:top w:val="single" w:sz="4" w:space="0" w:color="000000"/>
              <w:right w:val="single" w:sz="4" w:space="0" w:color="000000"/>
            </w:tcBorders>
            <w:shd w:fill="auto" w:val="clear"/>
          </w:tcPr>
          <w:p>
            <w:pPr>
              <w:pStyle w:val="Normal"/>
              <w:snapToGrid w:val="false"/>
              <w:spacing w:before="0" w:after="0"/>
              <w:contextualSpacing/>
              <w:jc w:val="both"/>
              <w:rPr>
                <w:rFonts w:eastAsia="Calibri" w:cs="Arial"/>
                <w:sz w:val="22"/>
                <w:szCs w:val="22"/>
              </w:rPr>
            </w:pPr>
            <w:r>
              <w:rPr>
                <w:rFonts w:eastAsia="Calibri" w:cs="Arial"/>
                <w:sz w:val="22"/>
                <w:szCs w:val="22"/>
              </w:rPr>
            </w:r>
          </w:p>
          <w:p>
            <w:pPr>
              <w:pStyle w:val="Normal"/>
              <w:spacing w:before="0" w:after="0"/>
              <w:contextualSpacing/>
              <w:jc w:val="both"/>
              <w:rPr>
                <w:rFonts w:eastAsia="Calibri" w:cs="Arial"/>
                <w:sz w:val="22"/>
                <w:szCs w:val="22"/>
              </w:rPr>
            </w:pPr>
            <w:r>
              <w:rPr>
                <w:rFonts w:eastAsia="Calibri" w:cs="Arial"/>
                <w:sz w:val="22"/>
                <w:szCs w:val="22"/>
              </w:rPr>
              <w:t>Contribute to the creation and upkeep of a range of project documentation and reports, and ensure where possible, that they are accurate and up to date, including monitoring version control.</w:t>
            </w:r>
          </w:p>
          <w:p>
            <w:pPr>
              <w:pStyle w:val="Normal"/>
              <w:spacing w:before="0" w:after="0"/>
              <w:contextualSpacing/>
              <w:jc w:val="both"/>
              <w:rPr>
                <w:rFonts w:eastAsia="Calibri" w:cs="Arial"/>
                <w:sz w:val="22"/>
                <w:szCs w:val="22"/>
              </w:rPr>
            </w:pPr>
            <w:r>
              <w:rPr>
                <w:rFonts w:eastAsia="Calibri" w:cs="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2.</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Tracking and reporting on risks and issues connected with the project, as written in the associated project documentation, and escalate issues as required.</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3.</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Monitor project timescales, record the achievement of project milestones, issue reminders to prompt others when the agreed actions are pending/ overdue, and escalate delays as appropriate.</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4.</w:t>
            </w:r>
          </w:p>
        </w:tc>
        <w:tc>
          <w:tcPr>
            <w:tcW w:w="9910" w:type="dxa"/>
            <w:tcBorders>
              <w:right w:val="single" w:sz="4" w:space="0" w:color="000000"/>
            </w:tcBorders>
            <w:shd w:fill="auto" w:val="clear"/>
          </w:tcPr>
          <w:p>
            <w:pPr>
              <w:pStyle w:val="Normal"/>
              <w:spacing w:before="0" w:after="0"/>
              <w:contextualSpacing/>
              <w:jc w:val="both"/>
              <w:rPr>
                <w:rFonts w:eastAsia="Calibri" w:cs="Arial"/>
                <w:sz w:val="22"/>
                <w:szCs w:val="22"/>
              </w:rPr>
            </w:pPr>
            <w:r>
              <w:rPr>
                <w:rFonts w:eastAsia="Calibri" w:cs="Arial"/>
                <w:sz w:val="22"/>
                <w:szCs w:val="22"/>
              </w:rPr>
              <w:t>Contribute to project communication activities, for example, contributing to and preparing documents and materials for briefings, presentations and training.</w:t>
            </w:r>
          </w:p>
          <w:p>
            <w:pPr>
              <w:pStyle w:val="Normal"/>
              <w:spacing w:before="0" w:after="0"/>
              <w:contextualSpacing/>
              <w:jc w:val="both"/>
              <w:rPr>
                <w:rFonts w:eastAsia="Calibri" w:cs="Arial"/>
                <w:sz w:val="22"/>
                <w:szCs w:val="22"/>
              </w:rPr>
            </w:pPr>
            <w:r>
              <w:rPr>
                <w:rFonts w:eastAsia="Calibri" w:cs="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5.</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 xml:space="preserve">Be the point of contact for the project team, giving information and advice connected to the project as requested, and directing queries/requests to the appropriate member of the project team as required. </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6.</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 xml:space="preserve">Undertake a range of activities connected to data and information required at all stages of the project including research, collation, cleansing, auditing, processing, analysing and interpretation, where the data could require investigation and the information could be interpreted in different ways.  </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7.</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Support with financial processing activities connected to the project, for example, ordering of goods and services, monitoring budget spend and producing straightforward financial information.</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8.</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Support change management activities so outcomes of the project are embedded in new working practices, where applicable, for example, collating flowcharts or process maps, or offering assistance to others during the transition period via email or telephone.</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9.</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 xml:space="preserve">Contribute to project review, closure and evaluation activities, such as monitoring project performance indicators, identifying and measuring benefits realised, and supporting the completion of project evaluation documents. </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10.</w:t>
            </w:r>
          </w:p>
        </w:tc>
        <w:tc>
          <w:tcPr>
            <w:tcW w:w="9910" w:type="dxa"/>
            <w:tcBorders>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Undertake any associated administrative duties as required, including organising servicing and participating in any project related meetings or events, including agendas, minutes and any additional supporting paperwork that may be required.</w:t>
            </w:r>
          </w:p>
          <w:p>
            <w:pPr>
              <w:pStyle w:val="Endnote"/>
              <w:jc w:val="both"/>
              <w:rPr>
                <w:rFonts w:ascii="Arial" w:hAnsi="Arial" w:cs="Arial"/>
                <w:sz w:val="22"/>
                <w:szCs w:val="22"/>
              </w:rPr>
            </w:pPr>
            <w:r>
              <w:rPr>
                <w:rFonts w:cs="Arial" w:ascii="Arial" w:hAnsi="Arial"/>
                <w:sz w:val="22"/>
                <w:szCs w:val="22"/>
              </w:rPr>
            </w:r>
          </w:p>
        </w:tc>
      </w:tr>
      <w:tr>
        <w:trPr>
          <w:trHeight w:val="390" w:hRule="atLeast"/>
        </w:trPr>
        <w:tc>
          <w:tcPr>
            <w:tcW w:w="539" w:type="dxa"/>
            <w:tcBorders>
              <w:left w:val="single" w:sz="4" w:space="0" w:color="000000"/>
              <w:bottom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11.</w:t>
            </w:r>
          </w:p>
        </w:tc>
        <w:tc>
          <w:tcPr>
            <w:tcW w:w="9910" w:type="dxa"/>
            <w:tcBorders>
              <w:bottom w:val="single" w:sz="4" w:space="0" w:color="000000"/>
              <w:right w:val="single" w:sz="4" w:space="0" w:color="000000"/>
            </w:tcBorders>
            <w:shd w:fill="auto" w:val="clear"/>
          </w:tcPr>
          <w:p>
            <w:pPr>
              <w:pStyle w:val="Endnote"/>
              <w:jc w:val="both"/>
              <w:rPr>
                <w:rFonts w:ascii="Arial" w:hAnsi="Arial" w:cs="Arial"/>
                <w:sz w:val="22"/>
                <w:szCs w:val="22"/>
              </w:rPr>
            </w:pPr>
            <w:r>
              <w:rPr>
                <w:rFonts w:cs="Arial" w:ascii="Arial" w:hAnsi="Arial"/>
                <w:sz w:val="22"/>
                <w:szCs w:val="22"/>
              </w:rPr>
              <w:t>Oversee the work of business support allocated to the project, including giving instructions and checking work has been completed to set deadlines and required quality standards.</w:t>
            </w:r>
          </w:p>
          <w:p>
            <w:pPr>
              <w:pStyle w:val="Endnote"/>
              <w:jc w:val="both"/>
              <w:rPr>
                <w:rFonts w:ascii="Arial" w:hAnsi="Arial" w:cs="Arial"/>
                <w:sz w:val="22"/>
                <w:szCs w:val="22"/>
              </w:rPr>
            </w:pPr>
            <w:r>
              <w:rPr>
                <w:rFonts w:cs="Arial" w:ascii="Arial" w:hAnsi="Arial"/>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2.</w:t>
            </w:r>
          </w:p>
        </w:tc>
        <w:tc>
          <w:tcPr>
            <w:tcW w:w="9927" w:type="dxa"/>
            <w:tcBorders>
              <w:right w:val="single" w:sz="4" w:space="0" w:color="000000"/>
            </w:tcBorders>
            <w:shd w:fill="auto" w:val="clear"/>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3.</w:t>
            </w:r>
          </w:p>
        </w:tc>
        <w:tc>
          <w:tcPr>
            <w:tcW w:w="9927" w:type="dxa"/>
            <w:tcBorders>
              <w:right w:val="single" w:sz="4" w:space="0" w:color="000000"/>
            </w:tcBorders>
            <w:shd w:fill="auto" w:val="clear"/>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4.</w:t>
            </w:r>
          </w:p>
        </w:tc>
        <w:tc>
          <w:tcPr>
            <w:tcW w:w="9927" w:type="dxa"/>
            <w:tcBorders>
              <w:right w:val="single" w:sz="4" w:space="0" w:color="000000"/>
            </w:tcBorders>
            <w:shd w:fill="auto" w:val="clear"/>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sz w:val="22"/>
                <w:szCs w:val="22"/>
              </w:rPr>
            </w:pPr>
            <w:r>
              <w:rPr>
                <w:sz w:val="22"/>
                <w:szCs w:val="22"/>
              </w:rPr>
              <w:t>5.</w:t>
            </w:r>
          </w:p>
        </w:tc>
        <w:tc>
          <w:tcPr>
            <w:tcW w:w="9927" w:type="dxa"/>
            <w:tcBorders>
              <w:bottom w:val="single" w:sz="4" w:space="0" w:color="000000"/>
              <w:right w:val="single" w:sz="4" w:space="0" w:color="000000"/>
            </w:tcBorders>
            <w:shd w:fill="auto" w:val="clear"/>
          </w:tcPr>
          <w:p>
            <w:pPr>
              <w:pStyle w:val="Normal"/>
              <w:jc w:val="both"/>
              <w:rPr>
                <w:sz w:val="22"/>
                <w:szCs w:val="22"/>
              </w:rPr>
            </w:pPr>
            <w:r>
              <w:rPr>
                <w:sz w:val="22"/>
                <w:szCs w:val="22"/>
              </w:rPr>
              <w:t>Undertake any additional duties commensurate with the level of the post.</w:t>
            </w:r>
          </w:p>
          <w:p>
            <w:pPr>
              <w:pStyle w:val="Normal"/>
              <w:jc w:val="both"/>
              <w:rPr>
                <w:b/>
                <w:b/>
                <w:sz w:val="22"/>
                <w:szCs w:val="22"/>
              </w:rPr>
            </w:pPr>
            <w:r>
              <w:rPr>
                <w:b/>
                <w:sz w:val="22"/>
                <w:szCs w:val="22"/>
              </w:rPr>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b/>
                <w:b/>
                <w:sz w:val="22"/>
                <w:szCs w:val="22"/>
              </w:rPr>
            </w:pPr>
            <w:r>
              <w:rPr>
                <w:b/>
                <w:sz w:val="22"/>
                <w:szCs w:val="22"/>
              </w:rPr>
              <w:t>Contacts:</w:t>
            </w:r>
          </w:p>
          <w:p>
            <w:pPr>
              <w:pStyle w:val="Normal"/>
              <w:jc w:val="both"/>
              <w:rPr>
                <w:b/>
                <w:b/>
                <w:sz w:val="22"/>
                <w:szCs w:val="22"/>
              </w:rPr>
            </w:pPr>
            <w:r>
              <w:rPr>
                <w:b/>
                <w:sz w:val="22"/>
                <w:szCs w:val="22"/>
              </w:rPr>
            </w:r>
          </w:p>
          <w:p>
            <w:pPr>
              <w:pStyle w:val="Normal"/>
              <w:jc w:val="both"/>
              <w:rPr>
                <w:sz w:val="22"/>
                <w:szCs w:val="22"/>
              </w:rPr>
            </w:pPr>
            <w:r>
              <w:rPr>
                <w:sz w:val="22"/>
                <w:szCs w:val="22"/>
              </w:rPr>
              <w:t>Colleagues with own team, and the rest of the Council, internal and external customers including the public, partner organisations, for example; the NHS or First Choice Homes Oldham.</w:t>
            </w:r>
          </w:p>
          <w:p>
            <w:pPr>
              <w:pStyle w:val="Normal"/>
              <w:jc w:val="both"/>
              <w:rPr>
                <w:sz w:val="22"/>
                <w:szCs w:val="22"/>
              </w:rPr>
            </w:pPr>
            <w:r>
              <w:rPr>
                <w:sz w:val="22"/>
                <w:szCs w:val="22"/>
              </w:rPr>
            </w:r>
          </w:p>
        </w:tc>
      </w:tr>
    </w:tbl>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b/>
                <w:b/>
                <w:sz w:val="22"/>
                <w:szCs w:val="22"/>
              </w:rPr>
            </w:pPr>
            <w:r>
              <w:rPr>
                <w:b/>
                <w:sz w:val="22"/>
                <w:szCs w:val="22"/>
              </w:rPr>
              <w:t xml:space="preserve">Responsible to:  </w:t>
            </w:r>
          </w:p>
          <w:p>
            <w:pPr>
              <w:pStyle w:val="Normal"/>
              <w:rPr>
                <w:sz w:val="22"/>
                <w:szCs w:val="22"/>
              </w:rPr>
            </w:pPr>
            <w:r>
              <w:rPr>
                <w:sz w:val="22"/>
                <w:szCs w:val="22"/>
              </w:rPr>
            </w:r>
          </w:p>
        </w:tc>
        <w:tc>
          <w:tcPr>
            <w:tcW w:w="8343" w:type="dxa"/>
            <w:tcBorders>
              <w:top w:val="single" w:sz="4" w:space="0" w:color="000000"/>
              <w:right w:val="single" w:sz="4" w:space="0" w:color="000000"/>
            </w:tcBorders>
            <w:shd w:fill="auto" w:val="clear"/>
          </w:tcPr>
          <w:p>
            <w:pPr>
              <w:pStyle w:val="TextBody"/>
              <w:rPr>
                <w:b w:val="false"/>
                <w:b w:val="false"/>
                <w:szCs w:val="22"/>
              </w:rPr>
            </w:pPr>
            <w:r>
              <w:rPr>
                <w:b w:val="false"/>
                <w:szCs w:val="22"/>
              </w:rPr>
              <w:t>Project Manager</w:t>
            </w:r>
          </w:p>
        </w:tc>
      </w:tr>
      <w:tr>
        <w:trPr>
          <w:trHeight w:val="517" w:hRule="atLeast"/>
        </w:trPr>
        <w:tc>
          <w:tcPr>
            <w:tcW w:w="2106" w:type="dxa"/>
            <w:tcBorders>
              <w:left w:val="single" w:sz="4" w:space="0" w:color="000000"/>
              <w:bottom w:val="single" w:sz="4" w:space="0" w:color="000000"/>
            </w:tcBorders>
            <w:shd w:fill="auto" w:val="clear"/>
          </w:tcPr>
          <w:p>
            <w:pPr>
              <w:pStyle w:val="Normal"/>
              <w:rPr>
                <w:b/>
                <w:b/>
                <w:sz w:val="22"/>
                <w:szCs w:val="22"/>
              </w:rPr>
            </w:pPr>
            <w:r>
              <w:rPr>
                <w:b/>
                <w:sz w:val="22"/>
                <w:szCs w:val="22"/>
              </w:rPr>
              <w:t>Responsible for:</w:t>
            </w:r>
          </w:p>
        </w:tc>
        <w:tc>
          <w:tcPr>
            <w:tcW w:w="8343" w:type="dxa"/>
            <w:tcBorders>
              <w:bottom w:val="single" w:sz="4" w:space="0" w:color="000000"/>
              <w:right w:val="single" w:sz="4" w:space="0" w:color="000000"/>
            </w:tcBorders>
            <w:shd w:fill="auto" w:val="clear"/>
          </w:tcPr>
          <w:p>
            <w:pPr>
              <w:pStyle w:val="Normal"/>
              <w:rPr>
                <w:sz w:val="22"/>
                <w:szCs w:val="22"/>
              </w:rPr>
            </w:pPr>
            <w:r>
              <w:rPr>
                <w:sz w:val="22"/>
                <w:szCs w:val="22"/>
              </w:rPr>
              <w:t>Not applicable</w:t>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b/>
                <w:b/>
                <w:sz w:val="22"/>
                <w:szCs w:val="22"/>
              </w:rPr>
            </w:pPr>
            <w:r>
              <w:rPr>
                <w:b/>
                <w:sz w:val="22"/>
                <w:szCs w:val="22"/>
              </w:rPr>
              <w:t>Special Conditions:</w:t>
            </w:r>
          </w:p>
          <w:p>
            <w:pPr>
              <w:pStyle w:val="Normal"/>
              <w:rPr>
                <w:b/>
                <w:b/>
                <w:sz w:val="22"/>
                <w:szCs w:val="22"/>
              </w:rPr>
            </w:pPr>
            <w:r>
              <w:rPr>
                <w:b/>
                <w:sz w:val="22"/>
                <w:szCs w:val="22"/>
              </w:rPr>
            </w:r>
          </w:p>
          <w:p>
            <w:pPr>
              <w:pStyle w:val="Normal"/>
              <w:rPr>
                <w:sz w:val="22"/>
                <w:szCs w:val="22"/>
              </w:rPr>
            </w:pPr>
            <w:r>
              <w:rPr>
                <w:sz w:val="22"/>
                <w:szCs w:val="22"/>
              </w:rPr>
              <w:t>None</w:t>
            </w:r>
          </w:p>
          <w:p>
            <w:pPr>
              <w:pStyle w:val="Normal"/>
              <w:rPr>
                <w:sz w:val="22"/>
                <w:szCs w:val="22"/>
              </w:rPr>
            </w:pPr>
            <w:r>
              <w:rPr>
                <w:sz w:val="22"/>
                <w:szCs w:val="22"/>
              </w:rPr>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b/>
                <w:b/>
                <w:color w:val="FFFFFF"/>
                <w:sz w:val="22"/>
                <w:szCs w:val="22"/>
              </w:rPr>
            </w:pPr>
            <w:r>
              <w:rPr>
                <w:b/>
                <w:color w:val="FFFFFF"/>
                <w:sz w:val="22"/>
                <w:szCs w:val="22"/>
              </w:rPr>
              <w:t>Values and Behaviours:</w:t>
            </w:r>
          </w:p>
          <w:p>
            <w:pPr>
              <w:pStyle w:val="Normal"/>
              <w:rPr>
                <w:b/>
                <w:b/>
                <w:color w:val="FFFFFF"/>
                <w:sz w:val="22"/>
                <w:szCs w:val="22"/>
              </w:rPr>
            </w:pPr>
            <w:r>
              <w:rPr>
                <w:b/>
                <w:color w:val="FFFFFF"/>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80"/>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numPr>
                <w:ilvl w:val="0"/>
                <w:numId w:val="3"/>
              </w:numPr>
              <w:spacing w:before="280" w:after="0"/>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spacing w:before="0" w:after="0"/>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3"/>
              </w:numPr>
              <w:spacing w:before="0" w:after="0"/>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spacing w:before="0" w:after="0"/>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3"/>
              </w:numPr>
              <w:spacing w:before="0" w:after="0"/>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3"/>
              </w:numPr>
              <w:spacing w:before="0" w:after="0"/>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3"/>
              </w:numPr>
              <w:spacing w:before="0" w:after="280"/>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2"/>
                <w:szCs w:val="22"/>
              </w:rPr>
            </w:pPr>
            <w:r>
              <w:rPr>
                <w:sz w:val="22"/>
                <w:szCs w:val="22"/>
              </w:rPr>
            </w:r>
          </w:p>
          <w:p>
            <w:pPr>
              <w:pStyle w:val="Normal"/>
              <w:rPr>
                <w:sz w:val="22"/>
                <w:szCs w:val="20"/>
                <w:lang w:val="en"/>
              </w:rPr>
            </w:pPr>
            <w:r>
              <w:rPr>
                <w:sz w:val="22"/>
                <w:szCs w:val="20"/>
                <w:lang w:val="en"/>
              </w:rPr>
              <w:t>Internally we’ve translated these values into five Co-operative behaviours which outline the priority areas of focus for staff at all levels.</w:t>
            </w:r>
          </w:p>
          <w:p>
            <w:pPr>
              <w:pStyle w:val="Normal"/>
              <w:rPr>
                <w:sz w:val="22"/>
                <w:szCs w:val="22"/>
              </w:rPr>
            </w:pPr>
            <w:r>
              <w:rPr>
                <w:sz w:val="22"/>
                <w:szCs w:val="22"/>
              </w:rPr>
            </w:r>
          </w:p>
          <w:p>
            <w:pPr>
              <w:pStyle w:val="Normal"/>
              <w:numPr>
                <w:ilvl w:val="0"/>
                <w:numId w:val="2"/>
              </w:numPr>
              <w:rPr>
                <w:sz w:val="22"/>
                <w:szCs w:val="22"/>
              </w:rPr>
            </w:pPr>
            <w:r>
              <w:rPr>
                <w:sz w:val="22"/>
                <w:szCs w:val="22"/>
              </w:rPr>
              <w:t>Work with a Resident Focus</w:t>
            </w:r>
          </w:p>
          <w:p>
            <w:pPr>
              <w:pStyle w:val="Normal"/>
              <w:numPr>
                <w:ilvl w:val="0"/>
                <w:numId w:val="2"/>
              </w:numPr>
              <w:rPr>
                <w:sz w:val="22"/>
                <w:szCs w:val="22"/>
              </w:rPr>
            </w:pPr>
            <w:r>
              <w:rPr>
                <w:sz w:val="22"/>
                <w:szCs w:val="22"/>
              </w:rPr>
              <w:t>Support Local Leaders</w:t>
            </w:r>
          </w:p>
          <w:p>
            <w:pPr>
              <w:pStyle w:val="Normal"/>
              <w:numPr>
                <w:ilvl w:val="0"/>
                <w:numId w:val="2"/>
              </w:numPr>
              <w:rPr>
                <w:sz w:val="22"/>
                <w:szCs w:val="22"/>
              </w:rPr>
            </w:pPr>
            <w:r>
              <w:rPr>
                <w:sz w:val="22"/>
                <w:szCs w:val="22"/>
              </w:rPr>
              <w:t>Committed to the Borough</w:t>
            </w:r>
          </w:p>
          <w:p>
            <w:pPr>
              <w:pStyle w:val="Normal"/>
              <w:numPr>
                <w:ilvl w:val="0"/>
                <w:numId w:val="2"/>
              </w:numPr>
              <w:rPr>
                <w:sz w:val="22"/>
                <w:szCs w:val="22"/>
              </w:rPr>
            </w:pPr>
            <w:r>
              <w:rPr>
                <w:sz w:val="22"/>
                <w:szCs w:val="22"/>
              </w:rPr>
              <w:t>Take Ownership and Drive Change</w:t>
            </w:r>
          </w:p>
          <w:p>
            <w:pPr>
              <w:pStyle w:val="Normal"/>
              <w:numPr>
                <w:ilvl w:val="0"/>
                <w:numId w:val="2"/>
              </w:numPr>
              <w:rPr>
                <w:sz w:val="22"/>
                <w:szCs w:val="22"/>
              </w:rPr>
            </w:pPr>
            <w:r>
              <w:rPr>
                <w:sz w:val="22"/>
                <w:szCs w:val="22"/>
              </w:rPr>
              <w:t xml:space="preserve">Deliver High Performance </w:t>
            </w:r>
          </w:p>
          <w:p>
            <w:pPr>
              <w:pStyle w:val="Normal"/>
              <w:rPr>
                <w:sz w:val="22"/>
                <w:szCs w:val="22"/>
              </w:rPr>
            </w:pPr>
            <w:r>
              <w:rPr>
                <w:sz w:val="22"/>
                <w:szCs w:val="22"/>
              </w:rPr>
            </w:r>
          </w:p>
          <w:p>
            <w:pPr>
              <w:pStyle w:val="Normal"/>
              <w:rPr>
                <w:sz w:val="22"/>
                <w:szCs w:val="22"/>
              </w:rPr>
            </w:pPr>
            <w:r>
              <w:rPr>
                <w:sz w:val="22"/>
                <w:szCs w:val="22"/>
              </w:rPr>
              <w:t>More information around our Values and Behaviours can be found on our Greater.Jobs pages.</w:t>
            </w:r>
          </w:p>
          <w:p>
            <w:pPr>
              <w:pStyle w:val="Normal"/>
              <w:rPr>
                <w:b/>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February 2017</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Corrina Sutton</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Reward &amp; Recognition Strategic Lead</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bl>
    <w:p>
      <w:pPr>
        <w:pStyle w:val="Normal"/>
        <w:jc w:val="center"/>
        <w:rPr>
          <w:b/>
          <w:b/>
          <w:bCs/>
          <w:u w:val="single"/>
        </w:rPr>
      </w:pPr>
      <w:r>
        <w:br w:type="page"/>
      </w:r>
      <w:r>
        <w:rPr>
          <w:b/>
          <w:bCs/>
          <w:u w:val="single"/>
        </w:rPr>
        <w:t>OLDHAM COUNCIL</w:t>
      </w:r>
    </w:p>
    <w:p>
      <w:pPr>
        <w:pStyle w:val="Normal"/>
        <w:jc w:val="center"/>
        <w:rPr>
          <w:b/>
          <w:b/>
          <w:bCs/>
          <w:u w:val="single"/>
        </w:rPr>
      </w:pPr>
      <w:r>
        <w:rPr>
          <w:b/>
          <w:bCs/>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Normal"/>
        <w:jc w:val="center"/>
        <w:rPr>
          <w:b/>
          <w:b/>
          <w:bCs/>
          <w:u w:val="single"/>
        </w:rPr>
      </w:pPr>
      <w:r>
        <w:rPr>
          <w:b/>
          <w:bCs/>
          <w:u w:val="single"/>
        </w:rPr>
        <w:t>PERSON SPECIFICATION</w:t>
      </w:r>
    </w:p>
    <w:p>
      <w:pPr>
        <w:pStyle w:val="Normal"/>
        <w:rPr>
          <w:bCs/>
        </w:rPr>
      </w:pPr>
      <w:r>
        <w:rPr>
          <w:bCs/>
        </w:rPr>
      </w:r>
    </w:p>
    <w:p>
      <w:pPr>
        <w:pStyle w:val="Normal"/>
        <w:ind w:left="0" w:right="-514" w:hanging="0"/>
        <w:rPr/>
      </w:pPr>
      <w:r>
        <w:rPr>
          <w:b/>
          <w:bCs/>
          <w:sz w:val="22"/>
          <w:szCs w:val="22"/>
        </w:rPr>
        <w:t>Job Title:</w:t>
      </w:r>
      <w:r>
        <w:rPr>
          <w:bCs/>
          <w:sz w:val="22"/>
          <w:szCs w:val="22"/>
        </w:rPr>
        <w:t xml:space="preserve">  Project/Programme Support Officer</w:t>
      </w:r>
    </w:p>
    <w:p>
      <w:pPr>
        <w:pStyle w:val="Normal"/>
        <w:rPr/>
      </w:pPr>
      <w:r>
        <w:rPr/>
      </w:r>
    </w:p>
    <w:tbl>
      <w:tblPr>
        <w:tblW w:w="10449" w:type="dxa"/>
        <w:jc w:val="left"/>
        <w:tblInd w:w="-617" w:type="dxa"/>
        <w:tblCellMar>
          <w:top w:w="0" w:type="dxa"/>
          <w:left w:w="108" w:type="dxa"/>
          <w:bottom w:w="0" w:type="dxa"/>
          <w:right w:w="108" w:type="dxa"/>
        </w:tblCellMar>
      </w:tblPr>
      <w:tblGrid>
        <w:gridCol w:w="1799"/>
        <w:gridCol w:w="3960"/>
        <w:gridCol w:w="3182"/>
        <w:gridCol w:w="1508"/>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rPr>
            </w:pPr>
            <w:r>
              <w:rPr>
                <w:b/>
                <w:bCs/>
                <w:color w:val="FFFFFF"/>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(Essential)</w:t>
            </w:r>
          </w:p>
        </w:tc>
        <w:tc>
          <w:tcPr>
            <w:tcW w:w="3182"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(Desirable)</w:t>
            </w:r>
          </w:p>
          <w:p>
            <w:pPr>
              <w:pStyle w:val="Normal"/>
              <w:jc w:val="center"/>
              <w:rPr>
                <w:b/>
                <w:b/>
                <w:bCs/>
                <w:color w:val="FFFFFF"/>
              </w:rPr>
            </w:pPr>
            <w:r>
              <w:rPr>
                <w:b/>
                <w:bCs/>
                <w:color w:val="FFFFFF"/>
              </w:rPr>
            </w:r>
          </w:p>
        </w:tc>
        <w:tc>
          <w:tcPr>
            <w:tcW w:w="1508"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Education &amp; Qualifications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b/>
                <w:b/>
                <w:bCs/>
                <w:color w:val="FFFFFF"/>
                <w:sz w:val="22"/>
                <w:szCs w:val="22"/>
              </w:rPr>
            </w:pPr>
            <w:r>
              <w:rPr>
                <w:b/>
                <w:bCs/>
                <w:color w:val="FFFFFF"/>
                <w:sz w:val="22"/>
                <w:szCs w:val="22"/>
              </w:rPr>
            </w:r>
          </w:p>
          <w:p>
            <w:pPr>
              <w:pStyle w:val="Header"/>
              <w:tabs>
                <w:tab w:val="clear" w:pos="4153"/>
                <w:tab w:val="clear" w:pos="8306"/>
              </w:tabs>
              <w:rPr>
                <w:szCs w:val="22"/>
              </w:rPr>
            </w:pPr>
            <w:r>
              <w:rPr>
                <w:szCs w:val="22"/>
              </w:rPr>
              <w:t>Literacy and numeracy sufficient to undertake the tasks and duties of the role</w:t>
            </w:r>
          </w:p>
          <w:p>
            <w:pPr>
              <w:pStyle w:val="Header"/>
              <w:tabs>
                <w:tab w:val="clear" w:pos="4153"/>
                <w:tab w:val="clear" w:pos="8306"/>
              </w:tabs>
              <w:rPr>
                <w:szCs w:val="22"/>
              </w:rPr>
            </w:pPr>
            <w:r>
              <w:rPr>
                <w:szCs w:val="22"/>
              </w:rPr>
            </w:r>
          </w:p>
        </w:tc>
        <w:tc>
          <w:tcPr>
            <w:tcW w:w="3182"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szCs w:val="22"/>
              </w:rPr>
            </w:pPr>
            <w:r>
              <w:rPr>
                <w:szCs w:val="22"/>
              </w:rPr>
            </w:r>
          </w:p>
          <w:p>
            <w:pPr>
              <w:pStyle w:val="Header"/>
              <w:tabs>
                <w:tab w:val="clear" w:pos="4153"/>
                <w:tab w:val="clear" w:pos="8306"/>
              </w:tabs>
              <w:rPr>
                <w:szCs w:val="22"/>
              </w:rPr>
            </w:pPr>
            <w:r>
              <w:rPr>
                <w:szCs w:val="22"/>
              </w:rPr>
              <w:t xml:space="preserve">Prince 2 Foundation Certificate </w:t>
            </w:r>
          </w:p>
          <w:p>
            <w:pPr>
              <w:pStyle w:val="Header"/>
              <w:tabs>
                <w:tab w:val="clear" w:pos="4153"/>
                <w:tab w:val="clear" w:pos="8306"/>
              </w:tabs>
              <w:rPr>
                <w:szCs w:val="22"/>
              </w:rPr>
            </w:pPr>
            <w:r>
              <w:rPr>
                <w:szCs w:val="22"/>
              </w:rPr>
              <w:t>(bring to interview if achieved)</w:t>
            </w:r>
          </w:p>
        </w:tc>
        <w:tc>
          <w:tcPr>
            <w:tcW w:w="1508"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szCs w:val="22"/>
              </w:rPr>
            </w:pPr>
            <w:r>
              <w:rPr>
                <w:szCs w:val="22"/>
              </w:rPr>
            </w:r>
          </w:p>
          <w:p>
            <w:pPr>
              <w:pStyle w:val="Header"/>
              <w:tabs>
                <w:tab w:val="clear" w:pos="4153"/>
                <w:tab w:val="clear" w:pos="8306"/>
              </w:tabs>
              <w:jc w:val="center"/>
              <w:rPr>
                <w:szCs w:val="22"/>
              </w:rPr>
            </w:pPr>
            <w:r>
              <w:rPr>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Experience</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b/>
                <w:b/>
                <w:bCs/>
                <w:color w:val="FFFFFF"/>
                <w:sz w:val="22"/>
                <w:szCs w:val="22"/>
              </w:rPr>
            </w:pPr>
            <w:r>
              <w:rPr>
                <w:b/>
                <w:bCs/>
                <w:color w:val="FFFFFF"/>
                <w:sz w:val="22"/>
                <w:szCs w:val="22"/>
              </w:rPr>
            </w:r>
          </w:p>
          <w:p>
            <w:pPr>
              <w:pStyle w:val="Normal"/>
              <w:rPr>
                <w:sz w:val="22"/>
                <w:szCs w:val="22"/>
              </w:rPr>
            </w:pPr>
            <w:r>
              <w:rPr>
                <w:sz w:val="22"/>
                <w:szCs w:val="22"/>
              </w:rPr>
              <w:t>Experience of undertaking a range of co-ordination and monitoring activities to support others to successfully deliver projects and/or programmes of work</w:t>
            </w:r>
          </w:p>
          <w:p>
            <w:pPr>
              <w:pStyle w:val="Normal"/>
              <w:rPr>
                <w:sz w:val="22"/>
                <w:szCs w:val="22"/>
              </w:rPr>
            </w:pPr>
            <w:r>
              <w:rPr>
                <w:sz w:val="22"/>
                <w:szCs w:val="22"/>
              </w:rPr>
            </w:r>
          </w:p>
          <w:p>
            <w:pPr>
              <w:pStyle w:val="Normal"/>
              <w:rPr>
                <w:sz w:val="22"/>
                <w:szCs w:val="22"/>
              </w:rPr>
            </w:pPr>
            <w:r>
              <w:rPr>
                <w:sz w:val="22"/>
                <w:szCs w:val="22"/>
              </w:rPr>
              <w:t>Experience of researching, collating, processing and analysing information/data of potentially complex data sets to support project planning and delivery activities</w:t>
            </w:r>
          </w:p>
          <w:p>
            <w:pPr>
              <w:pStyle w:val="Normal"/>
              <w:rPr>
                <w:sz w:val="22"/>
                <w:szCs w:val="22"/>
              </w:rPr>
            </w:pPr>
            <w:r>
              <w:rPr>
                <w:sz w:val="22"/>
                <w:szCs w:val="22"/>
              </w:rPr>
            </w:r>
          </w:p>
          <w:p>
            <w:pPr>
              <w:pStyle w:val="Normal"/>
              <w:rPr>
                <w:sz w:val="22"/>
                <w:szCs w:val="22"/>
              </w:rPr>
            </w:pPr>
            <w:r>
              <w:rPr>
                <w:sz w:val="22"/>
                <w:szCs w:val="22"/>
              </w:rPr>
              <w:t>Experience of giving advice and guidance tailored to the situation and appropriate to the relevant audience</w:t>
            </w:r>
          </w:p>
          <w:p>
            <w:pPr>
              <w:pStyle w:val="Normal"/>
              <w:rPr>
                <w:sz w:val="22"/>
                <w:szCs w:val="22"/>
              </w:rPr>
            </w:pPr>
            <w:r>
              <w:rPr>
                <w:sz w:val="22"/>
                <w:szCs w:val="22"/>
              </w:rPr>
            </w:r>
          </w:p>
          <w:p>
            <w:pPr>
              <w:pStyle w:val="Normal"/>
              <w:rPr>
                <w:sz w:val="22"/>
                <w:szCs w:val="22"/>
              </w:rPr>
            </w:pPr>
            <w:r>
              <w:rPr>
                <w:sz w:val="22"/>
                <w:szCs w:val="22"/>
              </w:rPr>
              <w:t>Experience of ordering goods and services, the payment of invoices and following financial policies and procedures to undertake financial processing activities</w:t>
            </w:r>
          </w:p>
          <w:p>
            <w:pPr>
              <w:pStyle w:val="Normal"/>
              <w:rPr>
                <w:sz w:val="22"/>
                <w:szCs w:val="22"/>
              </w:rPr>
            </w:pPr>
            <w:r>
              <w:rPr>
                <w:sz w:val="22"/>
                <w:szCs w:val="22"/>
              </w:rPr>
            </w:r>
          </w:p>
          <w:p>
            <w:pPr>
              <w:pStyle w:val="Normal"/>
              <w:rPr>
                <w:sz w:val="22"/>
                <w:szCs w:val="22"/>
              </w:rPr>
            </w:pPr>
            <w:r>
              <w:rPr>
                <w:sz w:val="22"/>
                <w:szCs w:val="22"/>
              </w:rPr>
              <w:t>Experience of maintaining and updating a variety of systems including spreadsheets and databases</w:t>
            </w:r>
          </w:p>
          <w:p>
            <w:pPr>
              <w:pStyle w:val="Normal"/>
              <w:rPr>
                <w:sz w:val="22"/>
                <w:szCs w:val="22"/>
              </w:rPr>
            </w:pPr>
            <w:r>
              <w:rPr>
                <w:sz w:val="22"/>
                <w:szCs w:val="22"/>
              </w:rPr>
            </w:r>
          </w:p>
        </w:tc>
        <w:tc>
          <w:tcPr>
            <w:tcW w:w="3182" w:type="dxa"/>
            <w:tcBorders>
              <w:top w:val="single" w:sz="4" w:space="0" w:color="000000"/>
              <w:left w:val="single" w:sz="4" w:space="0" w:color="000000"/>
              <w:bottom w:val="single" w:sz="4" w:space="0" w:color="000000"/>
            </w:tcBorders>
            <w:shd w:fill="auto" w:val="clear"/>
          </w:tcPr>
          <w:p>
            <w:pPr>
              <w:pStyle w:val="Normal"/>
              <w:snapToGrid w:val="false"/>
              <w:rPr>
                <w:sz w:val="22"/>
                <w:szCs w:val="22"/>
              </w:rPr>
            </w:pPr>
            <w:r>
              <w:rPr>
                <w:sz w:val="22"/>
                <w:szCs w:val="22"/>
              </w:rPr>
            </w:r>
          </w:p>
          <w:p>
            <w:pPr>
              <w:pStyle w:val="Normal"/>
              <w:rPr>
                <w:sz w:val="22"/>
                <w:szCs w:val="22"/>
              </w:rPr>
            </w:pPr>
            <w:r>
              <w:rPr>
                <w:sz w:val="22"/>
                <w:szCs w:val="22"/>
              </w:rPr>
              <w:t>Experience of giving instructions to others and checking work for completion to deadlines at the required quality standards</w:t>
            </w:r>
          </w:p>
        </w:tc>
        <w:tc>
          <w:tcPr>
            <w:tcW w:w="150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Skills &amp; Abilities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b/>
                <w:b/>
                <w:bCs/>
                <w:color w:val="FFFFFF"/>
                <w:sz w:val="22"/>
                <w:szCs w:val="22"/>
              </w:rPr>
            </w:pPr>
            <w:r>
              <w:rPr>
                <w:b/>
                <w:bCs/>
                <w:color w:val="FFFFFF"/>
                <w:sz w:val="22"/>
                <w:szCs w:val="22"/>
              </w:rPr>
            </w:r>
          </w:p>
          <w:p>
            <w:pPr>
              <w:pStyle w:val="Normal"/>
              <w:rPr>
                <w:sz w:val="22"/>
                <w:szCs w:val="22"/>
              </w:rPr>
            </w:pPr>
            <w:r>
              <w:rPr>
                <w:sz w:val="22"/>
                <w:szCs w:val="22"/>
              </w:rPr>
              <w:t>Interpersonal skills to establish and maintain professional relationships with others at all levels within the organisation to encourage and persuade other to engage with progressing the objectives of the project</w:t>
            </w:r>
          </w:p>
          <w:p>
            <w:pPr>
              <w:pStyle w:val="Normal"/>
              <w:rPr>
                <w:sz w:val="22"/>
                <w:szCs w:val="22"/>
              </w:rPr>
            </w:pPr>
            <w:r>
              <w:rPr>
                <w:sz w:val="22"/>
                <w:szCs w:val="22"/>
              </w:rPr>
            </w:r>
          </w:p>
          <w:p>
            <w:pPr>
              <w:pStyle w:val="Normal"/>
              <w:rPr>
                <w:sz w:val="22"/>
                <w:szCs w:val="22"/>
              </w:rPr>
            </w:pPr>
            <w:r>
              <w:rPr>
                <w:sz w:val="22"/>
                <w:szCs w:val="22"/>
              </w:rPr>
              <w:t>Communication skills to write straightforward reports and other documentation appropriate to the intended audience</w:t>
            </w:r>
          </w:p>
          <w:p>
            <w:pPr>
              <w:pStyle w:val="Normal"/>
              <w:rPr>
                <w:sz w:val="22"/>
                <w:szCs w:val="22"/>
              </w:rPr>
            </w:pPr>
            <w:r>
              <w:rPr>
                <w:sz w:val="22"/>
                <w:szCs w:val="22"/>
              </w:rPr>
            </w:r>
          </w:p>
          <w:p>
            <w:pPr>
              <w:pStyle w:val="Normal"/>
              <w:rPr>
                <w:sz w:val="22"/>
                <w:szCs w:val="22"/>
              </w:rPr>
            </w:pPr>
            <w:r>
              <w:rPr>
                <w:sz w:val="22"/>
                <w:szCs w:val="22"/>
              </w:rPr>
              <w:t>Organisational skills to prioritise own workload taking into account potentially conflicting deadlines</w:t>
            </w:r>
          </w:p>
          <w:p>
            <w:pPr>
              <w:pStyle w:val="Normal"/>
              <w:rPr>
                <w:sz w:val="22"/>
                <w:szCs w:val="22"/>
              </w:rPr>
            </w:pPr>
            <w:r>
              <w:rPr>
                <w:sz w:val="22"/>
                <w:szCs w:val="22"/>
              </w:rPr>
            </w:r>
          </w:p>
          <w:p>
            <w:pPr>
              <w:pStyle w:val="Normal"/>
              <w:rPr>
                <w:sz w:val="22"/>
                <w:szCs w:val="22"/>
              </w:rPr>
            </w:pPr>
            <w:r>
              <w:rPr>
                <w:sz w:val="22"/>
                <w:szCs w:val="22"/>
              </w:rPr>
              <w:t>Teamwork skills to support and encourage other team members to achieve common goals to the required quality standards</w:t>
            </w:r>
          </w:p>
          <w:p>
            <w:pPr>
              <w:pStyle w:val="Normal"/>
              <w:rPr>
                <w:sz w:val="22"/>
                <w:szCs w:val="22"/>
              </w:rPr>
            </w:pPr>
            <w:r>
              <w:rPr>
                <w:sz w:val="22"/>
                <w:szCs w:val="22"/>
              </w:rPr>
            </w:r>
          </w:p>
          <w:p>
            <w:pPr>
              <w:pStyle w:val="Normal"/>
              <w:rPr>
                <w:sz w:val="22"/>
                <w:szCs w:val="22"/>
              </w:rPr>
            </w:pPr>
            <w:r>
              <w:rPr>
                <w:sz w:val="22"/>
                <w:szCs w:val="22"/>
              </w:rPr>
              <w:t>Initiative to respond to unanticipated problems which may be outside of current procedures, where decisions could be made without reference to a line manager</w:t>
            </w:r>
          </w:p>
          <w:p>
            <w:pPr>
              <w:pStyle w:val="Normal"/>
              <w:rPr>
                <w:sz w:val="22"/>
                <w:szCs w:val="22"/>
              </w:rPr>
            </w:pPr>
            <w:r>
              <w:rPr>
                <w:sz w:val="22"/>
                <w:szCs w:val="22"/>
              </w:rPr>
            </w:r>
          </w:p>
          <w:p>
            <w:pPr>
              <w:pStyle w:val="Normal"/>
              <w:rPr>
                <w:sz w:val="22"/>
                <w:szCs w:val="22"/>
              </w:rPr>
            </w:pPr>
            <w:r>
              <w:rPr>
                <w:sz w:val="22"/>
                <w:szCs w:val="22"/>
              </w:rPr>
              <w:t>Able to concentrate, be methodical and have attention to detail over tasks relating to data and reports</w:t>
            </w:r>
          </w:p>
          <w:p>
            <w:pPr>
              <w:pStyle w:val="Normal"/>
              <w:rPr>
                <w:rFonts w:eastAsia="Arial" w:cs="Arial"/>
                <w:sz w:val="22"/>
                <w:szCs w:val="22"/>
              </w:rPr>
            </w:pPr>
            <w:r>
              <w:rPr>
                <w:rFonts w:eastAsia="Arial" w:cs="Arial"/>
                <w:sz w:val="22"/>
                <w:szCs w:val="22"/>
              </w:rPr>
              <w:t xml:space="preserve"> </w:t>
            </w:r>
          </w:p>
        </w:tc>
        <w:tc>
          <w:tcPr>
            <w:tcW w:w="3182" w:type="dxa"/>
            <w:tcBorders>
              <w:top w:val="single" w:sz="4" w:space="0" w:color="000000"/>
              <w:left w:val="single" w:sz="4" w:space="0" w:color="000000"/>
              <w:bottom w:val="single" w:sz="4" w:space="0" w:color="000000"/>
            </w:tcBorders>
            <w:shd w:fill="auto" w:val="clear"/>
          </w:tcPr>
          <w:p>
            <w:pPr>
              <w:pStyle w:val="Normal"/>
              <w:snapToGrid w:val="false"/>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tc>
        <w:tc>
          <w:tcPr>
            <w:tcW w:w="150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rPr>
                <w:rFonts w:ascii="Gautami" w:hAnsi="Gautami" w:cs="Gautami"/>
                <w:sz w:val="22"/>
                <w:szCs w:val="22"/>
              </w:rPr>
            </w:pPr>
            <w:r>
              <w:rPr>
                <w:rFonts w:cs="Gautami" w:ascii="Gautami" w:hAnsi="Gautami"/>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ascii="Gautami" w:hAnsi="Gautami" w:cs="Gautami"/>
                <w:b/>
                <w:b/>
                <w:bCs/>
                <w:sz w:val="22"/>
                <w:szCs w:val="22"/>
              </w:rPr>
            </w:pPr>
            <w:r>
              <w:rPr>
                <w:rFonts w:cs="Gautami" w:ascii="Gautami" w:hAnsi="Gautami"/>
                <w:b/>
                <w:bCs/>
                <w:sz w:val="22"/>
                <w:szCs w:val="22"/>
              </w:rPr>
            </w:r>
          </w:p>
          <w:p>
            <w:pPr>
              <w:pStyle w:val="Normal"/>
              <w:rPr>
                <w:b/>
                <w:b/>
                <w:bCs/>
                <w:color w:val="FFFFFF"/>
                <w:sz w:val="22"/>
                <w:szCs w:val="22"/>
              </w:rPr>
            </w:pPr>
            <w:r>
              <w:rPr>
                <w:b/>
                <w:bCs/>
                <w:color w:val="FFFFFF"/>
                <w:sz w:val="22"/>
                <w:szCs w:val="22"/>
              </w:rPr>
              <w:t>Knowledge</w:t>
            </w:r>
          </w:p>
          <w:p>
            <w:pPr>
              <w:pStyle w:val="Normal"/>
              <w:rPr>
                <w:b/>
                <w:b/>
                <w:bCs/>
                <w:sz w:val="22"/>
                <w:szCs w:val="22"/>
              </w:rPr>
            </w:pPr>
            <w:r>
              <w:rPr>
                <w:b/>
                <w:bCs/>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b/>
                <w:b/>
                <w:bCs/>
                <w:sz w:val="22"/>
                <w:szCs w:val="22"/>
              </w:rPr>
            </w:pPr>
            <w:r>
              <w:rPr>
                <w:b/>
                <w:bCs/>
                <w:sz w:val="22"/>
                <w:szCs w:val="22"/>
              </w:rPr>
            </w:r>
          </w:p>
          <w:p>
            <w:pPr>
              <w:pStyle w:val="Normal"/>
              <w:rPr>
                <w:sz w:val="22"/>
                <w:szCs w:val="22"/>
                <w:lang w:val="en-US"/>
              </w:rPr>
            </w:pPr>
            <w:r>
              <w:rPr>
                <w:sz w:val="22"/>
                <w:szCs w:val="22"/>
                <w:lang w:val="en-US"/>
              </w:rPr>
              <w:t>Understanding of the project support requirements that could be undertaken at different stages over the project lifestyle</w:t>
            </w:r>
          </w:p>
          <w:p>
            <w:pPr>
              <w:pStyle w:val="Normal"/>
              <w:rPr>
                <w:sz w:val="22"/>
                <w:szCs w:val="22"/>
              </w:rPr>
            </w:pPr>
            <w:r>
              <w:rPr>
                <w:sz w:val="22"/>
                <w:szCs w:val="22"/>
              </w:rPr>
            </w:r>
          </w:p>
          <w:p>
            <w:pPr>
              <w:pStyle w:val="Normal"/>
              <w:rPr>
                <w:sz w:val="22"/>
                <w:szCs w:val="22"/>
              </w:rPr>
            </w:pPr>
            <w:r>
              <w:rPr>
                <w:sz w:val="22"/>
                <w:szCs w:val="22"/>
              </w:rPr>
              <w:t>Awareness of the background, context and subject matter of the project</w:t>
            </w:r>
          </w:p>
        </w:tc>
        <w:tc>
          <w:tcPr>
            <w:tcW w:w="3182"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50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rPr>
                <w:sz w:val="22"/>
                <w:szCs w:val="22"/>
              </w:rPr>
            </w:pPr>
            <w:r>
              <w:rPr>
                <w:sz w:val="22"/>
                <w:szCs w:val="22"/>
              </w:rPr>
            </w:r>
          </w:p>
          <w:p>
            <w:pPr>
              <w:pStyle w:val="Normal"/>
              <w:jc w:val="center"/>
              <w:rPr>
                <w:sz w:val="22"/>
                <w:szCs w:val="22"/>
              </w:rPr>
            </w:pPr>
            <w:r>
              <w:rPr>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Work Circumstances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tabs>
                <w:tab w:val="clear" w:pos="720"/>
                <w:tab w:val="left" w:pos="389" w:leader="none"/>
              </w:tabs>
              <w:overflowPunct w:val="true"/>
              <w:snapToGrid w:val="false"/>
              <w:textAlignment w:val="baseline"/>
              <w:rPr>
                <w:b/>
                <w:b/>
                <w:bCs/>
                <w:color w:val="FFFFFF"/>
                <w:sz w:val="22"/>
                <w:szCs w:val="22"/>
              </w:rPr>
            </w:pPr>
            <w:r>
              <w:rPr>
                <w:b/>
                <w:bCs/>
                <w:color w:val="FFFFFF"/>
                <w:sz w:val="22"/>
                <w:szCs w:val="22"/>
              </w:rPr>
            </w:r>
          </w:p>
          <w:p>
            <w:pPr>
              <w:pStyle w:val="Normal"/>
              <w:rPr>
                <w:sz w:val="22"/>
                <w:szCs w:val="22"/>
              </w:rPr>
            </w:pPr>
            <w:r>
              <w:rPr>
                <w:sz w:val="22"/>
                <w:szCs w:val="22"/>
              </w:rPr>
              <w:t>Able to work flexibly to meet the needs of the service including at different locations</w:t>
            </w:r>
          </w:p>
        </w:tc>
        <w:tc>
          <w:tcPr>
            <w:tcW w:w="3182" w:type="dxa"/>
            <w:tcBorders>
              <w:top w:val="single" w:sz="4" w:space="0" w:color="000000"/>
              <w:left w:val="single" w:sz="4" w:space="0" w:color="000000"/>
              <w:bottom w:val="single" w:sz="4" w:space="0" w:color="000000"/>
            </w:tcBorders>
            <w:shd w:fill="auto" w:val="clear"/>
          </w:tcPr>
          <w:p>
            <w:pPr>
              <w:pStyle w:val="Normal"/>
              <w:snapToGrid w:val="false"/>
              <w:rPr>
                <w:rFonts w:ascii="Gautami" w:hAnsi="Gautami" w:cs="Gautami"/>
                <w:sz w:val="22"/>
                <w:szCs w:val="22"/>
              </w:rPr>
            </w:pPr>
            <w:r>
              <w:rPr>
                <w:rFonts w:cs="Gautami" w:ascii="Gautami" w:hAnsi="Gautami"/>
                <w:sz w:val="22"/>
                <w:szCs w:val="22"/>
              </w:rPr>
            </w:r>
          </w:p>
        </w:tc>
        <w:tc>
          <w:tcPr>
            <w:tcW w:w="150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ascii="Gautami" w:hAnsi="Gautami" w:cs="Gautami"/>
                <w:sz w:val="22"/>
                <w:szCs w:val="22"/>
              </w:rPr>
            </w:pPr>
            <w:r>
              <w:rPr>
                <w:rFonts w:cs="Gautami" w:ascii="Gautami" w:hAnsi="Gautami"/>
                <w:sz w:val="22"/>
                <w:szCs w:val="22"/>
              </w:rPr>
            </w:r>
          </w:p>
          <w:p>
            <w:pPr>
              <w:pStyle w:val="Normal"/>
              <w:jc w:val="center"/>
              <w:rPr>
                <w:sz w:val="22"/>
                <w:szCs w:val="22"/>
              </w:rPr>
            </w:pPr>
            <w:r>
              <w:rPr>
                <w:sz w:val="22"/>
                <w:szCs w:val="22"/>
              </w:rPr>
              <w:t>Interview</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T = Test; P = Presentation; R = References;</w:t>
      </w:r>
    </w:p>
    <w:p>
      <w:pPr>
        <w:pStyle w:val="Normal"/>
        <w:rPr>
          <w:sz w:val="22"/>
          <w:szCs w:val="22"/>
        </w:rPr>
      </w:pPr>
      <w:r>
        <w:rPr>
          <w:sz w:val="22"/>
          <w:szCs w:val="22"/>
        </w:rPr>
      </w:r>
    </w:p>
    <w:p>
      <w:pPr>
        <w:pStyle w:val="Normal"/>
        <w:jc w:val="both"/>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jc w:val="both"/>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alloonTextChar">
    <w:name w:val="Balloon Text Char"/>
    <w:qFormat/>
    <w:rPr>
      <w:rFonts w:ascii="Tahoma" w:hAnsi="Tahoma" w:cs="Tahoma"/>
      <w:sz w:val="16"/>
      <w:szCs w:val="16"/>
      <w:lang w:eastAsia="en-US"/>
    </w:rPr>
  </w:style>
  <w:style w:type="character" w:styleId="InternetLink">
    <w:name w:val="Internet Link"/>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