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rPr>
          <w:rFonts w:cs="Arial"/>
          <w:sz w:val="22"/>
          <w:szCs w:val="22"/>
        </w:rPr>
      </w:pPr>
      <w:r>
        <w:rPr>
          <w:rFonts w:cs="Arial"/>
          <w:sz w:val="22"/>
          <w:szCs w:val="22"/>
        </w:rPr>
      </w:r>
    </w:p>
    <w:p>
      <w:pPr>
        <w:pStyle w:val="Heading1"/>
        <w:spacing w:lineRule="auto" w:line="240"/>
        <w:rPr>
          <w:rFonts w:cs="Arial"/>
          <w:sz w:val="22"/>
          <w:szCs w:val="22"/>
        </w:rPr>
      </w:pPr>
      <w:r>
        <w:rPr>
          <w:rFonts w:cs="Arial"/>
          <w:sz w:val="22"/>
          <w:szCs w:val="22"/>
        </w:rPr>
      </w:r>
    </w:p>
    <w:p>
      <w:pPr>
        <w:pStyle w:val="Normal"/>
        <w:jc w:val="center"/>
        <w:rPr>
          <w:rFonts w:cs="Arial"/>
          <w:b/>
          <w:b/>
          <w:bCs/>
          <w:sz w:val="22"/>
          <w:szCs w:val="22"/>
          <w:u w:val="single"/>
        </w:rPr>
      </w:pPr>
      <w:r>
        <w:rPr>
          <w:rFonts w:cs="Arial"/>
          <w:b/>
          <w:bCs/>
          <w:sz w:val="22"/>
          <w:szCs w:val="22"/>
          <w:u w:val="single"/>
        </w:rPr>
        <w:t>OLDHAM COUNCIL</w:t>
      </w:r>
    </w:p>
    <w:p>
      <w:pPr>
        <w:pStyle w:val="Normal"/>
        <w:jc w:val="center"/>
        <w:rPr>
          <w:rFonts w:cs="Arial"/>
          <w:b/>
          <w:b/>
          <w:bCs/>
          <w:sz w:val="22"/>
          <w:szCs w:val="22"/>
          <w:u w:val="single"/>
        </w:rPr>
      </w:pPr>
      <w:r>
        <w:rPr>
          <w:rFonts w:cs="Arial"/>
          <w:b/>
          <w:bCs/>
          <w:sz w:val="22"/>
          <w:szCs w:val="22"/>
          <w:u w:val="single"/>
        </w:rPr>
      </w:r>
    </w:p>
    <w:p>
      <w:pPr>
        <w:pStyle w:val="Normal"/>
        <w:jc w:val="center"/>
        <w:rPr>
          <w:rFonts w:cs="Arial"/>
          <w:b/>
          <w:b/>
          <w:bCs/>
          <w:sz w:val="22"/>
          <w:szCs w:val="22"/>
          <w:u w:val="single"/>
        </w:rPr>
      </w:pPr>
      <w:r>
        <w:rPr>
          <w:rFonts w:cs="Arial"/>
          <w:b/>
          <w:bCs/>
          <w:sz w:val="22"/>
          <w:szCs w:val="22"/>
          <w:u w:val="single"/>
        </w:rPr>
        <w:t>JOB DESCRIPTION</w:t>
      </w:r>
    </w:p>
    <w:p>
      <w:pPr>
        <w:pStyle w:val="Normal"/>
        <w:jc w:val="center"/>
        <w:rPr>
          <w:rFonts w:cs="Arial"/>
          <w:b/>
          <w:b/>
          <w:bCs/>
          <w:sz w:val="22"/>
          <w:szCs w:val="22"/>
          <w:u w:val="single"/>
        </w:rPr>
      </w:pPr>
      <w:r>
        <w:rPr>
          <w:rFonts w:cs="Arial"/>
          <w:b/>
          <w:bCs/>
          <w:sz w:val="22"/>
          <w:szCs w:val="22"/>
          <w:u w:val="single"/>
        </w:rPr>
      </w:r>
    </w:p>
    <w:tbl>
      <w:tblPr>
        <w:tblW w:w="10449" w:type="dxa"/>
        <w:jc w:val="left"/>
        <w:tblInd w:w="-717" w:type="dxa"/>
        <w:tblCellMar>
          <w:top w:w="0" w:type="dxa"/>
          <w:left w:w="108" w:type="dxa"/>
          <w:bottom w:w="0" w:type="dxa"/>
          <w:right w:w="108" w:type="dxa"/>
        </w:tblCellMar>
      </w:tblPr>
      <w:tblGrid>
        <w:gridCol w:w="1451"/>
        <w:gridCol w:w="8998"/>
      </w:tblGrid>
      <w:tr>
        <w:trPr/>
        <w:tc>
          <w:tcPr>
            <w:tcW w:w="1451" w:type="dxa"/>
            <w:tcBorders>
              <w:top w:val="single" w:sz="4" w:space="0" w:color="000000"/>
              <w:left w:val="single" w:sz="4" w:space="0" w:color="000000"/>
              <w:bottom w:val="single" w:sz="4" w:space="0" w:color="000000"/>
            </w:tcBorders>
            <w:shd w:fill="00B3BE" w:val="clear"/>
          </w:tcPr>
          <w:p>
            <w:pPr>
              <w:pStyle w:val="Normal"/>
              <w:rPr>
                <w:rFonts w:cs="Arial"/>
                <w:b/>
                <w:b/>
                <w:sz w:val="22"/>
                <w:szCs w:val="22"/>
              </w:rPr>
            </w:pPr>
            <w:r>
              <w:rPr>
                <w:rFonts w:cs="Arial"/>
                <w:b/>
                <w:sz w:val="22"/>
                <w:szCs w:val="22"/>
              </w:rPr>
              <w:t xml:space="preserve">Job Title: </w:t>
            </w:r>
          </w:p>
          <w:p>
            <w:pPr>
              <w:pStyle w:val="Normal"/>
              <w:rPr>
                <w:rFonts w:cs="Arial"/>
                <w:sz w:val="22"/>
                <w:szCs w:val="22"/>
              </w:rPr>
            </w:pPr>
            <w:r>
              <w:rPr>
                <w:rFonts w:cs="Arial"/>
                <w:sz w:val="22"/>
                <w:szCs w:val="22"/>
              </w:rPr>
            </w:r>
          </w:p>
        </w:tc>
        <w:tc>
          <w:tcPr>
            <w:tcW w:w="8998" w:type="dxa"/>
            <w:tcBorders>
              <w:top w:val="single" w:sz="4" w:space="0" w:color="000000"/>
              <w:left w:val="single" w:sz="4" w:space="0" w:color="000000"/>
              <w:bottom w:val="single" w:sz="4" w:space="0" w:color="000000"/>
              <w:right w:val="single" w:sz="4" w:space="0" w:color="000000"/>
            </w:tcBorders>
            <w:shd w:fill="auto" w:val="clear"/>
          </w:tcPr>
          <w:p>
            <w:pPr>
              <w:pStyle w:val="Endnote"/>
              <w:rPr>
                <w:rFonts w:ascii="Arial" w:hAnsi="Arial" w:cs="Arial"/>
                <w:sz w:val="22"/>
                <w:szCs w:val="22"/>
              </w:rPr>
            </w:pPr>
            <w:r>
              <w:rPr>
                <w:rFonts w:cs="Arial" w:ascii="Arial" w:hAnsi="Arial"/>
                <w:sz w:val="22"/>
                <w:szCs w:val="22"/>
              </w:rPr>
              <w:t>Family Help Engagement Officer</w:t>
            </w:r>
          </w:p>
        </w:tc>
      </w:tr>
    </w:tbl>
    <w:p>
      <w:pPr>
        <w:pStyle w:val="Normal"/>
        <w:rPr>
          <w:rFonts w:cs="Arial"/>
          <w:b/>
          <w:b/>
          <w:bCs/>
          <w:sz w:val="22"/>
          <w:szCs w:val="22"/>
          <w:u w:val="single"/>
        </w:rPr>
      </w:pPr>
      <w:r>
        <w:rPr>
          <w:rFonts w:cs="Arial"/>
          <w:b/>
          <w:bCs/>
          <w:sz w:val="22"/>
          <w:szCs w:val="22"/>
          <w:u w:val="single"/>
        </w:rPr>
      </w:r>
    </w:p>
    <w:tbl>
      <w:tblPr>
        <w:tblW w:w="10449" w:type="dxa"/>
        <w:jc w:val="left"/>
        <w:tblInd w:w="-717" w:type="dxa"/>
        <w:tblCellMar>
          <w:top w:w="0" w:type="dxa"/>
          <w:left w:w="108" w:type="dxa"/>
          <w:bottom w:w="0" w:type="dxa"/>
          <w:right w:w="108" w:type="dxa"/>
        </w:tblCellMar>
      </w:tblPr>
      <w:tblGrid>
        <w:gridCol w:w="1575"/>
        <w:gridCol w:w="2745"/>
        <w:gridCol w:w="2179"/>
        <w:gridCol w:w="3950"/>
      </w:tblGrid>
      <w:tr>
        <w:trPr/>
        <w:tc>
          <w:tcPr>
            <w:tcW w:w="1575" w:type="dxa"/>
            <w:tcBorders>
              <w:top w:val="single" w:sz="4" w:space="0" w:color="000000"/>
              <w:left w:val="single" w:sz="4" w:space="0" w:color="000000"/>
              <w:bottom w:val="single" w:sz="4" w:space="0" w:color="000000"/>
            </w:tcBorders>
            <w:shd w:fill="00B3BE" w:val="clear"/>
          </w:tcPr>
          <w:p>
            <w:pPr>
              <w:pStyle w:val="Normal"/>
              <w:rPr/>
            </w:pPr>
            <w:r>
              <w:rPr>
                <w:rFonts w:cs="Arial"/>
                <w:b/>
                <w:sz w:val="22"/>
                <w:szCs w:val="22"/>
              </w:rPr>
              <w:t>Directorate:</w:t>
            </w:r>
            <w:r>
              <w:rPr>
                <w:rFonts w:cs="Arial"/>
                <w:sz w:val="22"/>
                <w:szCs w:val="22"/>
              </w:rPr>
              <w:t xml:space="preserve">  </w:t>
            </w:r>
          </w:p>
        </w:tc>
        <w:tc>
          <w:tcPr>
            <w:tcW w:w="2745" w:type="dxa"/>
            <w:tcBorders>
              <w:top w:val="single" w:sz="4" w:space="0" w:color="000000"/>
              <w:left w:val="single" w:sz="4" w:space="0" w:color="000000"/>
              <w:bottom w:val="single" w:sz="4" w:space="0" w:color="000000"/>
            </w:tcBorders>
            <w:shd w:fill="auto" w:val="clear"/>
          </w:tcPr>
          <w:p>
            <w:pPr>
              <w:pStyle w:val="Normal"/>
              <w:rPr>
                <w:rFonts w:cs="Arial"/>
                <w:sz w:val="22"/>
                <w:szCs w:val="22"/>
              </w:rPr>
            </w:pPr>
            <w:r>
              <w:rPr>
                <w:rFonts w:cs="Arial"/>
                <w:sz w:val="22"/>
                <w:szCs w:val="22"/>
              </w:rPr>
              <w:t>Children and Young People</w:t>
            </w:r>
          </w:p>
        </w:tc>
        <w:tc>
          <w:tcPr>
            <w:tcW w:w="2179" w:type="dxa"/>
            <w:tcBorders>
              <w:top w:val="single" w:sz="4" w:space="0" w:color="000000"/>
              <w:left w:val="single" w:sz="4" w:space="0" w:color="000000"/>
              <w:bottom w:val="single" w:sz="4" w:space="0" w:color="000000"/>
            </w:tcBorders>
            <w:shd w:fill="00B3BE" w:val="clear"/>
          </w:tcPr>
          <w:p>
            <w:pPr>
              <w:pStyle w:val="Normal"/>
              <w:rPr/>
            </w:pPr>
            <w:r>
              <w:rPr>
                <w:rFonts w:cs="Arial"/>
                <w:b/>
                <w:sz w:val="22"/>
                <w:szCs w:val="22"/>
              </w:rPr>
              <w:t>Division/Section:</w:t>
            </w:r>
            <w:r>
              <w:rPr>
                <w:rFonts w:cs="Arial"/>
                <w:sz w:val="22"/>
                <w:szCs w:val="22"/>
              </w:rPr>
              <w:t xml:space="preserve"> </w:t>
            </w:r>
          </w:p>
          <w:p>
            <w:pPr>
              <w:pStyle w:val="Normal"/>
              <w:rPr>
                <w:rFonts w:cs="Arial"/>
                <w:sz w:val="22"/>
                <w:szCs w:val="22"/>
              </w:rPr>
            </w:pPr>
            <w:r>
              <w:rPr>
                <w:rFonts w:cs="Arial"/>
                <w:sz w:val="22"/>
                <w:szCs w:val="22"/>
              </w:rPr>
            </w:r>
          </w:p>
        </w:tc>
        <w:tc>
          <w:tcPr>
            <w:tcW w:w="3950" w:type="dxa"/>
            <w:tcBorders>
              <w:top w:val="single" w:sz="4" w:space="0" w:color="000000"/>
              <w:left w:val="single" w:sz="4" w:space="0" w:color="000000"/>
              <w:bottom w:val="single" w:sz="4" w:space="0" w:color="000000"/>
              <w:right w:val="single" w:sz="4" w:space="0" w:color="000000"/>
            </w:tcBorders>
            <w:shd w:fill="auto" w:val="clear"/>
          </w:tcPr>
          <w:p>
            <w:pPr>
              <w:pStyle w:val="Normal"/>
              <w:rPr>
                <w:rFonts w:cs="Arial"/>
                <w:sz w:val="22"/>
                <w:szCs w:val="22"/>
              </w:rPr>
            </w:pPr>
            <w:r>
              <w:rPr>
                <w:rFonts w:cs="Arial"/>
                <w:sz w:val="22"/>
                <w:szCs w:val="22"/>
              </w:rPr>
              <w:t>Family Help</w:t>
            </w:r>
          </w:p>
        </w:tc>
      </w:tr>
      <w:tr>
        <w:trPr/>
        <w:tc>
          <w:tcPr>
            <w:tcW w:w="1575" w:type="dxa"/>
            <w:tcBorders>
              <w:top w:val="single" w:sz="4" w:space="0" w:color="000000"/>
              <w:left w:val="single" w:sz="4" w:space="0" w:color="000000"/>
              <w:bottom w:val="single" w:sz="4" w:space="0" w:color="000000"/>
            </w:tcBorders>
            <w:shd w:fill="00B3BE" w:val="clear"/>
          </w:tcPr>
          <w:p>
            <w:pPr>
              <w:pStyle w:val="Normal"/>
              <w:rPr>
                <w:rFonts w:cs="Arial"/>
                <w:b/>
                <w:b/>
                <w:sz w:val="22"/>
                <w:szCs w:val="22"/>
              </w:rPr>
            </w:pPr>
            <w:r>
              <w:rPr>
                <w:rFonts w:cs="Arial"/>
                <w:b/>
                <w:sz w:val="22"/>
                <w:szCs w:val="22"/>
              </w:rPr>
              <w:t xml:space="preserve">Grade:  </w:t>
            </w:r>
          </w:p>
          <w:p>
            <w:pPr>
              <w:pStyle w:val="Normal"/>
              <w:rPr>
                <w:rFonts w:cs="Arial"/>
                <w:sz w:val="22"/>
                <w:szCs w:val="22"/>
              </w:rPr>
            </w:pPr>
            <w:r>
              <w:rPr>
                <w:rFonts w:cs="Arial"/>
                <w:sz w:val="22"/>
                <w:szCs w:val="22"/>
              </w:rPr>
            </w:r>
          </w:p>
        </w:tc>
        <w:tc>
          <w:tcPr>
            <w:tcW w:w="2745" w:type="dxa"/>
            <w:tcBorders>
              <w:top w:val="single" w:sz="4" w:space="0" w:color="000000"/>
              <w:left w:val="single" w:sz="4" w:space="0" w:color="000000"/>
              <w:bottom w:val="single" w:sz="4" w:space="0" w:color="000000"/>
            </w:tcBorders>
            <w:shd w:fill="auto" w:val="clear"/>
          </w:tcPr>
          <w:p>
            <w:pPr>
              <w:pStyle w:val="Header"/>
              <w:tabs>
                <w:tab w:val="clear" w:pos="4153"/>
                <w:tab w:val="clear" w:pos="8306"/>
              </w:tabs>
              <w:rPr>
                <w:rFonts w:cs="Arial"/>
              </w:rPr>
            </w:pPr>
            <w:r>
              <w:rPr>
                <w:rFonts w:cs="Arial"/>
              </w:rPr>
              <w:t xml:space="preserve">5 </w:t>
            </w:r>
          </w:p>
        </w:tc>
        <w:tc>
          <w:tcPr>
            <w:tcW w:w="2179" w:type="dxa"/>
            <w:tcBorders>
              <w:top w:val="single" w:sz="4" w:space="0" w:color="000000"/>
              <w:left w:val="single" w:sz="4" w:space="0" w:color="000000"/>
              <w:bottom w:val="single" w:sz="4" w:space="0" w:color="000000"/>
            </w:tcBorders>
            <w:shd w:fill="00B3BE" w:val="clear"/>
          </w:tcPr>
          <w:p>
            <w:pPr>
              <w:pStyle w:val="Header"/>
              <w:tabs>
                <w:tab w:val="clear" w:pos="4153"/>
                <w:tab w:val="clear" w:pos="8306"/>
              </w:tabs>
              <w:rPr>
                <w:rFonts w:cs="Arial"/>
                <w:b/>
                <w:b/>
                <w:szCs w:val="22"/>
              </w:rPr>
            </w:pPr>
            <w:r>
              <w:rPr>
                <w:rFonts w:cs="Arial"/>
                <w:b/>
                <w:szCs w:val="22"/>
              </w:rPr>
              <w:t>JE Reference:</w:t>
            </w:r>
          </w:p>
        </w:tc>
        <w:tc>
          <w:tcPr>
            <w:tcW w:w="3950" w:type="dxa"/>
            <w:tcBorders>
              <w:top w:val="single" w:sz="4" w:space="0" w:color="000000"/>
              <w:left w:val="single" w:sz="4" w:space="0" w:color="000000"/>
              <w:bottom w:val="single" w:sz="4" w:space="0" w:color="000000"/>
              <w:right w:val="single" w:sz="4" w:space="0" w:color="000000"/>
            </w:tcBorders>
            <w:shd w:fill="auto" w:val="clear"/>
          </w:tcPr>
          <w:p>
            <w:pPr>
              <w:pStyle w:val="Header"/>
              <w:tabs>
                <w:tab w:val="clear" w:pos="4153"/>
                <w:tab w:val="clear" w:pos="8306"/>
              </w:tabs>
              <w:rPr>
                <w:rFonts w:cs="Arial"/>
              </w:rPr>
            </w:pPr>
            <w:r>
              <w:rPr>
                <w:rFonts w:cs="Arial"/>
              </w:rPr>
              <w:t>9880</w:t>
            </w:r>
          </w:p>
        </w:tc>
      </w:tr>
    </w:tbl>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tbl>
      <w:tblPr>
        <w:tblW w:w="10358" w:type="dxa"/>
        <w:jc w:val="left"/>
        <w:tblInd w:w="-672" w:type="dxa"/>
        <w:tblCellMar>
          <w:top w:w="0" w:type="dxa"/>
          <w:left w:w="108" w:type="dxa"/>
          <w:bottom w:w="0" w:type="dxa"/>
          <w:right w:w="108" w:type="dxa"/>
        </w:tblCellMar>
      </w:tblPr>
      <w:tblGrid>
        <w:gridCol w:w="10358"/>
      </w:tblGrid>
      <w:tr>
        <w:trPr/>
        <w:tc>
          <w:tcPr>
            <w:tcW w:w="10358" w:type="dxa"/>
            <w:tcBorders>
              <w:top w:val="single" w:sz="4" w:space="0" w:color="000000"/>
              <w:left w:val="single" w:sz="4" w:space="0" w:color="000000"/>
              <w:bottom w:val="single" w:sz="4" w:space="0" w:color="000000"/>
              <w:right w:val="single" w:sz="4" w:space="0" w:color="000000"/>
            </w:tcBorders>
            <w:shd w:fill="00B3BE" w:val="clear"/>
          </w:tcPr>
          <w:p>
            <w:pPr>
              <w:pStyle w:val="Normal"/>
              <w:rPr>
                <w:rFonts w:cs="Arial"/>
                <w:b/>
                <w:b/>
                <w:bCs/>
                <w:sz w:val="22"/>
                <w:szCs w:val="22"/>
              </w:rPr>
            </w:pPr>
            <w:r>
              <w:rPr>
                <w:rFonts w:cs="Arial"/>
                <w:b/>
                <w:bCs/>
                <w:sz w:val="22"/>
                <w:szCs w:val="22"/>
              </w:rPr>
              <w:t>Job Purpose</w:t>
            </w:r>
          </w:p>
          <w:p>
            <w:pPr>
              <w:pStyle w:val="Normal"/>
              <w:rPr>
                <w:rFonts w:cs="Arial"/>
                <w:sz w:val="22"/>
                <w:szCs w:val="22"/>
              </w:rPr>
            </w:pPr>
            <w:r>
              <w:rPr>
                <w:rFonts w:cs="Arial"/>
                <w:sz w:val="22"/>
                <w:szCs w:val="22"/>
              </w:rPr>
            </w:r>
          </w:p>
        </w:tc>
      </w:tr>
      <w:tr>
        <w:trPr/>
        <w:tc>
          <w:tcPr>
            <w:tcW w:w="10358" w:type="dxa"/>
            <w:tcBorders>
              <w:top w:val="single" w:sz="4" w:space="0" w:color="000000"/>
              <w:left w:val="single" w:sz="4" w:space="0" w:color="000000"/>
              <w:bottom w:val="single" w:sz="4" w:space="0" w:color="000000"/>
              <w:right w:val="single" w:sz="4" w:space="0" w:color="000000"/>
            </w:tcBorders>
            <w:shd w:fill="auto" w:val="clear"/>
          </w:tcPr>
          <w:p>
            <w:pPr>
              <w:pStyle w:val="TextBody"/>
              <w:snapToGrid w:val="false"/>
              <w:spacing w:lineRule="auto" w:line="276"/>
              <w:rPr>
                <w:rFonts w:cs="Arial"/>
                <w:b w:val="false"/>
                <w:b w:val="false"/>
                <w:bCs/>
                <w:sz w:val="22"/>
                <w:szCs w:val="22"/>
              </w:rPr>
            </w:pPr>
            <w:r>
              <w:rPr>
                <w:rFonts w:cs="Arial"/>
                <w:b w:val="false"/>
                <w:bCs/>
                <w:sz w:val="22"/>
                <w:szCs w:val="22"/>
              </w:rPr>
            </w:r>
          </w:p>
          <w:p>
            <w:pPr>
              <w:pStyle w:val="TextBody"/>
              <w:spacing w:lineRule="auto" w:line="276"/>
              <w:rPr>
                <w:b w:val="false"/>
                <w:b w:val="false"/>
                <w:bCs/>
                <w:szCs w:val="22"/>
              </w:rPr>
            </w:pPr>
            <w:r>
              <w:rPr>
                <w:b w:val="false"/>
                <w:bCs/>
                <w:szCs w:val="22"/>
              </w:rPr>
              <w:t>As part of a multi-disciplinary Family Help Team in one of Oldham’s five districts, the Family Help Partner Engagement Officer will:</w:t>
            </w:r>
          </w:p>
          <w:p>
            <w:pPr>
              <w:pStyle w:val="TextBody"/>
              <w:spacing w:lineRule="auto" w:line="276"/>
              <w:rPr>
                <w:b w:val="false"/>
                <w:b w:val="false"/>
                <w:bCs/>
                <w:szCs w:val="22"/>
              </w:rPr>
            </w:pPr>
            <w:r>
              <w:rPr>
                <w:b w:val="false"/>
                <w:bCs/>
                <w:szCs w:val="22"/>
              </w:rPr>
            </w:r>
          </w:p>
          <w:p>
            <w:pPr>
              <w:pStyle w:val="TextBody"/>
              <w:numPr>
                <w:ilvl w:val="0"/>
                <w:numId w:val="3"/>
              </w:numPr>
              <w:spacing w:lineRule="auto" w:line="276"/>
              <w:rPr>
                <w:b w:val="false"/>
                <w:b w:val="false"/>
                <w:bCs/>
                <w:szCs w:val="22"/>
              </w:rPr>
            </w:pPr>
            <w:r>
              <w:rPr>
                <w:b w:val="false"/>
                <w:bCs/>
                <w:szCs w:val="22"/>
              </w:rPr>
              <w:t>Strengthen partner engagement and ownership of Family Help by building effective relationships with education, health, housing, police, adult services, youth services, and voluntary, community and faith organisations.</w:t>
            </w:r>
          </w:p>
          <w:p>
            <w:pPr>
              <w:pStyle w:val="TextBody"/>
              <w:spacing w:lineRule="auto" w:line="276"/>
              <w:ind w:left="720" w:right="0" w:hanging="0"/>
              <w:rPr>
                <w:b w:val="false"/>
                <w:b w:val="false"/>
                <w:bCs/>
                <w:szCs w:val="22"/>
              </w:rPr>
            </w:pPr>
            <w:r>
              <w:rPr>
                <w:b w:val="false"/>
                <w:bCs/>
                <w:szCs w:val="22"/>
              </w:rPr>
            </w:r>
          </w:p>
          <w:p>
            <w:pPr>
              <w:pStyle w:val="TextBody"/>
              <w:numPr>
                <w:ilvl w:val="0"/>
                <w:numId w:val="3"/>
              </w:numPr>
              <w:spacing w:lineRule="auto" w:line="276"/>
              <w:rPr>
                <w:b w:val="false"/>
                <w:b w:val="false"/>
                <w:bCs/>
                <w:szCs w:val="22"/>
              </w:rPr>
            </w:pPr>
            <w:r>
              <w:rPr>
                <w:b w:val="false"/>
                <w:bCs/>
                <w:szCs w:val="22"/>
              </w:rPr>
              <w:t>Develop partner capability and confidence through advice, consultation, training and practical support, enabling partners to identify need early, engage families effectively, and advising on Family Help assessments, plans, options for support and interventions.</w:t>
            </w:r>
          </w:p>
          <w:p>
            <w:pPr>
              <w:pStyle w:val="TextBody"/>
              <w:spacing w:lineRule="auto" w:line="276"/>
              <w:rPr>
                <w:b w:val="false"/>
                <w:b w:val="false"/>
                <w:bCs/>
                <w:szCs w:val="22"/>
              </w:rPr>
            </w:pPr>
            <w:r>
              <w:rPr>
                <w:b w:val="false"/>
                <w:bCs/>
                <w:szCs w:val="22"/>
              </w:rPr>
            </w:r>
          </w:p>
          <w:p>
            <w:pPr>
              <w:pStyle w:val="TextBody"/>
              <w:numPr>
                <w:ilvl w:val="0"/>
                <w:numId w:val="3"/>
              </w:numPr>
              <w:spacing w:lineRule="auto" w:line="276"/>
              <w:rPr>
                <w:b w:val="false"/>
                <w:b w:val="false"/>
                <w:bCs/>
                <w:szCs w:val="22"/>
              </w:rPr>
            </w:pPr>
            <w:r>
              <w:rPr>
                <w:b w:val="false"/>
                <w:bCs/>
                <w:szCs w:val="22"/>
              </w:rPr>
              <w:t>Improve multi-agency collaboration and coordination by facilitating communication, addressing barriers to participation, promoting access to local services and community resources, and ensuring children and families receive the right help at the right time.</w:t>
            </w:r>
          </w:p>
          <w:p>
            <w:pPr>
              <w:pStyle w:val="TextBody"/>
              <w:spacing w:lineRule="auto" w:line="276"/>
              <w:ind w:left="720" w:right="0" w:hanging="0"/>
              <w:rPr>
                <w:b w:val="false"/>
                <w:b w:val="false"/>
                <w:bCs/>
                <w:szCs w:val="22"/>
              </w:rPr>
            </w:pPr>
            <w:r>
              <w:rPr>
                <w:b w:val="false"/>
                <w:bCs/>
                <w:szCs w:val="22"/>
              </w:rPr>
            </w:r>
          </w:p>
          <w:p>
            <w:pPr>
              <w:pStyle w:val="TextBody"/>
              <w:spacing w:lineRule="auto" w:line="276"/>
              <w:rPr>
                <w:b w:val="false"/>
                <w:b w:val="false"/>
                <w:bCs/>
                <w:szCs w:val="22"/>
              </w:rPr>
            </w:pPr>
            <w:r>
              <w:rPr>
                <w:b w:val="false"/>
                <w:bCs/>
                <w:szCs w:val="22"/>
              </w:rPr>
              <w:t>The role is primarily partner facing and does not normally hold a family caseload or act as the Family Help Lead Practitioner. Direct work with children and families will be limited to supporting access to services, enabling partner engagement, or gathering feedback as part of an agreed Family Help plan.</w:t>
            </w:r>
          </w:p>
          <w:p>
            <w:pPr>
              <w:pStyle w:val="Normal"/>
              <w:jc w:val="both"/>
              <w:rPr>
                <w:rFonts w:cs="Arial"/>
                <w:bCs/>
                <w:sz w:val="22"/>
                <w:szCs w:val="22"/>
              </w:rPr>
            </w:pPr>
            <w:r>
              <w:rPr>
                <w:rFonts w:cs="Arial"/>
                <w:bCs/>
                <w:sz w:val="22"/>
                <w:szCs w:val="22"/>
              </w:rPr>
            </w:r>
          </w:p>
          <w:p>
            <w:pPr>
              <w:pStyle w:val="Normal"/>
              <w:jc w:val="both"/>
              <w:rPr>
                <w:rFonts w:cs="Arial"/>
                <w:bCs/>
                <w:sz w:val="22"/>
                <w:szCs w:val="22"/>
              </w:rPr>
            </w:pPr>
            <w:r>
              <w:rPr>
                <w:rFonts w:cs="Arial"/>
                <w:bCs/>
                <w:sz w:val="22"/>
                <w:szCs w:val="22"/>
              </w:rPr>
            </w:r>
          </w:p>
        </w:tc>
      </w:tr>
      <w:tr>
        <w:trPr/>
        <w:tc>
          <w:tcPr>
            <w:tcW w:w="10358" w:type="dxa"/>
            <w:tcBorders>
              <w:top w:val="single" w:sz="4" w:space="0" w:color="000000"/>
              <w:left w:val="single" w:sz="4" w:space="0" w:color="000000"/>
              <w:bottom w:val="single" w:sz="4" w:space="0" w:color="000000"/>
              <w:right w:val="single" w:sz="4" w:space="0" w:color="000000"/>
            </w:tcBorders>
            <w:shd w:fill="00B3BE" w:val="clear"/>
          </w:tcPr>
          <w:p>
            <w:pPr>
              <w:pStyle w:val="Normal"/>
              <w:rPr>
                <w:rFonts w:cs="Arial"/>
                <w:b/>
                <w:b/>
                <w:bCs/>
                <w:sz w:val="22"/>
                <w:szCs w:val="22"/>
              </w:rPr>
            </w:pPr>
            <w:r>
              <w:rPr>
                <w:rFonts w:cs="Arial"/>
                <w:b/>
                <w:bCs/>
                <w:sz w:val="22"/>
                <w:szCs w:val="22"/>
              </w:rPr>
              <w:t>Key Tasks</w:t>
            </w:r>
          </w:p>
          <w:p>
            <w:pPr>
              <w:pStyle w:val="Normal"/>
              <w:rPr>
                <w:rFonts w:cs="Arial"/>
                <w:sz w:val="22"/>
                <w:szCs w:val="22"/>
              </w:rPr>
            </w:pPr>
            <w:r>
              <w:rPr>
                <w:rFonts w:cs="Arial"/>
                <w:sz w:val="22"/>
                <w:szCs w:val="22"/>
              </w:rPr>
            </w:r>
          </w:p>
        </w:tc>
      </w:tr>
      <w:tr>
        <w:trPr/>
        <w:tc>
          <w:tcPr>
            <w:tcW w:w="10358"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rPr>
                <w:rFonts w:cs="Arial"/>
                <w:sz w:val="22"/>
                <w:szCs w:val="22"/>
              </w:rPr>
            </w:pPr>
            <w:r>
              <w:rPr>
                <w:rFonts w:cs="Arial"/>
                <w:sz w:val="22"/>
                <w:szCs w:val="22"/>
              </w:rPr>
            </w:r>
          </w:p>
          <w:p>
            <w:pPr>
              <w:pStyle w:val="Normal"/>
              <w:numPr>
                <w:ilvl w:val="0"/>
                <w:numId w:val="4"/>
              </w:numPr>
              <w:spacing w:lineRule="auto" w:line="276"/>
              <w:rPr/>
            </w:pPr>
            <w:r>
              <w:rPr>
                <w:b/>
                <w:bCs/>
                <w:sz w:val="22"/>
                <w:szCs w:val="22"/>
              </w:rPr>
              <w:t>Build and maintain effective partnerships</w:t>
            </w:r>
            <w:r>
              <w:rPr>
                <w:sz w:val="22"/>
                <w:szCs w:val="22"/>
              </w:rPr>
              <w:t xml:space="preserve"> with statutory, education, health, housing, police, adult services, youth services, and voluntary, community and faith sector organisations, promoting shared ownership of Family Help across the district.</w:t>
            </w:r>
          </w:p>
          <w:p>
            <w:pPr>
              <w:pStyle w:val="Normal"/>
              <w:numPr>
                <w:ilvl w:val="0"/>
                <w:numId w:val="4"/>
              </w:numPr>
              <w:spacing w:lineRule="auto" w:line="276"/>
              <w:rPr/>
            </w:pPr>
            <w:r>
              <w:rPr>
                <w:b/>
                <w:bCs/>
                <w:sz w:val="22"/>
                <w:szCs w:val="22"/>
              </w:rPr>
              <w:t>Provide advice, consultation, coaching and training</w:t>
            </w:r>
            <w:r>
              <w:rPr>
                <w:sz w:val="22"/>
                <w:szCs w:val="22"/>
              </w:rPr>
              <w:t xml:space="preserve"> to partners on identifying needs early, engaging families, information sharing, consent, safeguarding responsibilities, and contributing effectively to Family Help assessments and plans.</w:t>
            </w:r>
          </w:p>
          <w:p>
            <w:pPr>
              <w:pStyle w:val="Normal"/>
              <w:numPr>
                <w:ilvl w:val="0"/>
                <w:numId w:val="4"/>
              </w:numPr>
              <w:spacing w:lineRule="auto" w:line="276"/>
              <w:rPr/>
            </w:pPr>
            <w:r>
              <w:rPr>
                <w:b/>
                <w:bCs/>
                <w:sz w:val="22"/>
                <w:szCs w:val="22"/>
              </w:rPr>
              <w:t>Support inclusive family engagement</w:t>
            </w:r>
            <w:r>
              <w:rPr>
                <w:sz w:val="22"/>
                <w:szCs w:val="22"/>
              </w:rPr>
              <w:t xml:space="preserve"> by helping partners identify and overcome barriers to participation, including communication, cultural, language, disability, digital, financial and accessibility needs.</w:t>
            </w:r>
          </w:p>
          <w:p>
            <w:pPr>
              <w:pStyle w:val="Normal"/>
              <w:numPr>
                <w:ilvl w:val="0"/>
                <w:numId w:val="4"/>
              </w:numPr>
              <w:spacing w:lineRule="auto" w:line="276"/>
              <w:rPr/>
            </w:pPr>
            <w:r>
              <w:rPr>
                <w:b/>
                <w:bCs/>
                <w:sz w:val="22"/>
                <w:szCs w:val="22"/>
              </w:rPr>
              <w:t>Champion the voice of children and families</w:t>
            </w:r>
            <w:r>
              <w:rPr>
                <w:sz w:val="22"/>
                <w:szCs w:val="22"/>
              </w:rPr>
              <w:t>, supporting partners to gather and reflect children’s wishes, feelings and lived experiences within assessments, plans, reviews and decision-making.</w:t>
            </w:r>
          </w:p>
          <w:p>
            <w:pPr>
              <w:pStyle w:val="Normal"/>
              <w:numPr>
                <w:ilvl w:val="0"/>
                <w:numId w:val="4"/>
              </w:numPr>
              <w:spacing w:lineRule="auto" w:line="276"/>
              <w:rPr/>
            </w:pPr>
            <w:r>
              <w:rPr>
                <w:b/>
                <w:bCs/>
                <w:sz w:val="22"/>
                <w:szCs w:val="22"/>
              </w:rPr>
              <w:t>Promote strengths-based practice</w:t>
            </w:r>
            <w:r>
              <w:rPr>
                <w:sz w:val="22"/>
                <w:szCs w:val="22"/>
              </w:rPr>
              <w:t>, encouraging the effective use of family networks, community assets, Family Group Decision Making and other local support resources to improve outcomes.</w:t>
            </w:r>
          </w:p>
          <w:p>
            <w:pPr>
              <w:pStyle w:val="Normal"/>
              <w:numPr>
                <w:ilvl w:val="0"/>
                <w:numId w:val="4"/>
              </w:numPr>
              <w:spacing w:lineRule="auto" w:line="276"/>
              <w:rPr/>
            </w:pPr>
            <w:r>
              <w:rPr>
                <w:b/>
                <w:bCs/>
                <w:sz w:val="22"/>
                <w:szCs w:val="22"/>
              </w:rPr>
              <w:t>Coordinate and strengthen multi-agency contributions</w:t>
            </w:r>
            <w:r>
              <w:rPr>
                <w:sz w:val="22"/>
                <w:szCs w:val="22"/>
              </w:rPr>
              <w:t xml:space="preserve"> to Family Help assessments and plans, clarifying roles, resolving barriers to involvement, reducing duplication and supporting delivery of agreed actions.</w:t>
            </w:r>
          </w:p>
          <w:p>
            <w:pPr>
              <w:pStyle w:val="Normal"/>
              <w:numPr>
                <w:ilvl w:val="0"/>
                <w:numId w:val="4"/>
              </w:numPr>
              <w:spacing w:lineRule="auto" w:line="276"/>
              <w:rPr/>
            </w:pPr>
            <w:r>
              <w:rPr>
                <w:b/>
                <w:bCs/>
                <w:sz w:val="22"/>
                <w:szCs w:val="22"/>
              </w:rPr>
              <w:t>Facilitate effective multi-agency working</w:t>
            </w:r>
            <w:r>
              <w:rPr>
                <w:sz w:val="22"/>
                <w:szCs w:val="22"/>
              </w:rPr>
              <w:t xml:space="preserve"> through locality forums, consultation sessions, network meetings, panels and partner events, ensuring actions and decisions are clearly recorded and progressed.</w:t>
            </w:r>
          </w:p>
          <w:p>
            <w:pPr>
              <w:pStyle w:val="Normal"/>
              <w:numPr>
                <w:ilvl w:val="0"/>
                <w:numId w:val="4"/>
              </w:numPr>
              <w:spacing w:lineRule="auto" w:line="276"/>
              <w:rPr/>
            </w:pPr>
            <w:r>
              <w:rPr>
                <w:b/>
                <w:bCs/>
                <w:sz w:val="22"/>
                <w:szCs w:val="22"/>
              </w:rPr>
              <w:t>Develop and maintain a detailed knowledge of local services, resources and community assets</w:t>
            </w:r>
            <w:r>
              <w:rPr>
                <w:sz w:val="22"/>
                <w:szCs w:val="22"/>
              </w:rPr>
              <w:t>, connecting partners to appropriate support and identifying opportunities to improve access and reduce service gaps.</w:t>
            </w:r>
          </w:p>
          <w:p>
            <w:pPr>
              <w:pStyle w:val="Normal"/>
              <w:numPr>
                <w:ilvl w:val="0"/>
                <w:numId w:val="4"/>
              </w:numPr>
              <w:spacing w:lineRule="auto" w:line="276"/>
              <w:rPr/>
            </w:pPr>
            <w:r>
              <w:rPr>
                <w:b/>
                <w:bCs/>
                <w:sz w:val="22"/>
                <w:szCs w:val="22"/>
              </w:rPr>
              <w:t>Act as a key link between Family Help Teams and partner agencies</w:t>
            </w:r>
            <w:r>
              <w:rPr>
                <w:sz w:val="22"/>
                <w:szCs w:val="22"/>
              </w:rPr>
              <w:t>, using partner intelligence, family feedback and local knowledge to support service improvement, accessibility and system development.</w:t>
            </w:r>
          </w:p>
          <w:p>
            <w:pPr>
              <w:pStyle w:val="Normal"/>
              <w:numPr>
                <w:ilvl w:val="0"/>
                <w:numId w:val="4"/>
              </w:numPr>
              <w:spacing w:lineRule="auto" w:line="276"/>
              <w:rPr/>
            </w:pPr>
            <w:r>
              <w:rPr>
                <w:b/>
                <w:bCs/>
                <w:sz w:val="22"/>
                <w:szCs w:val="22"/>
              </w:rPr>
              <w:t>Promote effective safeguarding practice</w:t>
            </w:r>
            <w:r>
              <w:rPr>
                <w:sz w:val="22"/>
                <w:szCs w:val="22"/>
              </w:rPr>
              <w:t>, supporting professional curiosity, lawful information sharing, timely risk identification and appropriate escalation where concerns arise.</w:t>
            </w:r>
          </w:p>
          <w:p>
            <w:pPr>
              <w:pStyle w:val="Normal"/>
              <w:numPr>
                <w:ilvl w:val="0"/>
                <w:numId w:val="4"/>
              </w:numPr>
              <w:spacing w:lineRule="auto" w:line="276"/>
              <w:rPr/>
            </w:pPr>
            <w:r>
              <w:rPr>
                <w:b/>
                <w:bCs/>
                <w:sz w:val="22"/>
                <w:szCs w:val="22"/>
              </w:rPr>
              <w:t>Maintain accurate records and use performance, audit and feedback information</w:t>
            </w:r>
            <w:r>
              <w:rPr>
                <w:sz w:val="22"/>
                <w:szCs w:val="22"/>
              </w:rPr>
              <w:t xml:space="preserve"> to monitor partner engagement, evaluate impact, identify trends and contribute to continuous service improvement.</w:t>
            </w:r>
          </w:p>
          <w:p>
            <w:pPr>
              <w:pStyle w:val="Normal"/>
              <w:numPr>
                <w:ilvl w:val="0"/>
                <w:numId w:val="4"/>
              </w:numPr>
              <w:spacing w:lineRule="auto" w:line="276"/>
              <w:rPr/>
            </w:pPr>
            <w:r>
              <w:rPr>
                <w:b/>
                <w:bCs/>
                <w:sz w:val="22"/>
                <w:szCs w:val="22"/>
              </w:rPr>
              <w:t>Contribute to the ongoing development of the service</w:t>
            </w:r>
            <w:r>
              <w:rPr>
                <w:sz w:val="22"/>
                <w:szCs w:val="22"/>
              </w:rPr>
              <w:t xml:space="preserve"> through reflective supervision, professional development, sharing good practice, and flexible working across localities, community settings and partner organisations.</w:t>
            </w:r>
          </w:p>
          <w:p>
            <w:pPr>
              <w:pStyle w:val="Normal"/>
              <w:spacing w:lineRule="auto" w:line="276"/>
              <w:rPr>
                <w:b/>
                <w:b/>
                <w:bCs/>
                <w:sz w:val="22"/>
                <w:szCs w:val="22"/>
              </w:rPr>
            </w:pPr>
            <w:r>
              <w:rPr>
                <w:b/>
                <w:bCs/>
                <w:sz w:val="22"/>
                <w:szCs w:val="22"/>
              </w:rPr>
            </w:r>
          </w:p>
          <w:p>
            <w:pPr>
              <w:pStyle w:val="Normal"/>
              <w:spacing w:lineRule="auto" w:line="276"/>
              <w:rPr>
                <w:b/>
                <w:b/>
                <w:bCs/>
                <w:sz w:val="22"/>
                <w:szCs w:val="22"/>
              </w:rPr>
            </w:pPr>
            <w:r>
              <w:rPr>
                <w:b/>
                <w:bCs/>
                <w:sz w:val="22"/>
                <w:szCs w:val="22"/>
              </w:rPr>
              <w:t>Role Boundaries and Accountability</w:t>
            </w:r>
          </w:p>
          <w:p>
            <w:pPr>
              <w:pStyle w:val="Normal"/>
              <w:numPr>
                <w:ilvl w:val="0"/>
                <w:numId w:val="5"/>
              </w:numPr>
              <w:spacing w:lineRule="auto" w:line="276"/>
              <w:rPr>
                <w:sz w:val="22"/>
                <w:szCs w:val="22"/>
              </w:rPr>
            </w:pPr>
            <w:r>
              <w:rPr>
                <w:sz w:val="22"/>
                <w:szCs w:val="22"/>
              </w:rPr>
              <w:t>The postholder will not normally hold a family caseload or act as the Family Help Lead Practitioner.</w:t>
            </w:r>
          </w:p>
          <w:p>
            <w:pPr>
              <w:pStyle w:val="Normal"/>
              <w:numPr>
                <w:ilvl w:val="0"/>
                <w:numId w:val="5"/>
              </w:numPr>
              <w:spacing w:lineRule="auto" w:line="276"/>
              <w:rPr>
                <w:sz w:val="22"/>
                <w:szCs w:val="22"/>
              </w:rPr>
            </w:pPr>
            <w:r>
              <w:rPr>
                <w:sz w:val="22"/>
                <w:szCs w:val="22"/>
              </w:rPr>
              <w:t>Direct contact with children and families will be brief, purposeful and limited to supporting engagement, access to services or gathering feedback within an agreed plan.</w:t>
            </w:r>
          </w:p>
          <w:p>
            <w:pPr>
              <w:pStyle w:val="Normal"/>
              <w:numPr>
                <w:ilvl w:val="0"/>
                <w:numId w:val="5"/>
              </w:numPr>
              <w:spacing w:lineRule="auto" w:line="276"/>
              <w:rPr>
                <w:sz w:val="22"/>
                <w:szCs w:val="22"/>
              </w:rPr>
            </w:pPr>
            <w:r>
              <w:rPr>
                <w:sz w:val="22"/>
                <w:szCs w:val="22"/>
              </w:rPr>
              <w:t>The postholder will not make statutory threshold, child protection, legal planning or case closure decisions unless separately qualified, authorised and allocated to do so.</w:t>
            </w:r>
          </w:p>
          <w:p>
            <w:pPr>
              <w:pStyle w:val="Normal"/>
              <w:numPr>
                <w:ilvl w:val="0"/>
                <w:numId w:val="5"/>
              </w:numPr>
              <w:spacing w:lineRule="auto" w:line="276"/>
              <w:rPr>
                <w:sz w:val="22"/>
                <w:szCs w:val="22"/>
              </w:rPr>
            </w:pPr>
            <w:r>
              <w:rPr>
                <w:sz w:val="22"/>
                <w:szCs w:val="22"/>
              </w:rPr>
              <w:t>Any concerns indicating immediate danger or risk of significant harm must be escalated promptly in line with safeguarding procedures, and engagement activity must never delay protective action.</w:t>
            </w:r>
          </w:p>
          <w:p>
            <w:pPr>
              <w:pStyle w:val="Normal"/>
              <w:spacing w:lineRule="auto" w:line="276"/>
              <w:rPr>
                <w:sz w:val="22"/>
                <w:szCs w:val="22"/>
              </w:rPr>
            </w:pPr>
            <w:r>
              <w:rPr>
                <w:sz w:val="22"/>
                <w:szCs w:val="22"/>
              </w:rPr>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tc>
      </w:tr>
    </w:tbl>
    <w:p>
      <w:pPr>
        <w:pStyle w:val="Normal"/>
        <w:rPr>
          <w:rFonts w:cs="Arial"/>
          <w:sz w:val="22"/>
          <w:szCs w:val="22"/>
        </w:rPr>
      </w:pPr>
      <w:r>
        <w:rPr>
          <w:rFonts w:cs="Arial"/>
          <w:sz w:val="22"/>
          <w:szCs w:val="22"/>
        </w:rPr>
      </w:r>
    </w:p>
    <w:tbl>
      <w:tblPr>
        <w:tblW w:w="10450" w:type="dxa"/>
        <w:jc w:val="left"/>
        <w:tblInd w:w="-717" w:type="dxa"/>
        <w:tblCellMar>
          <w:top w:w="0" w:type="dxa"/>
          <w:left w:w="108" w:type="dxa"/>
          <w:bottom w:w="0" w:type="dxa"/>
          <w:right w:w="108" w:type="dxa"/>
        </w:tblCellMar>
      </w:tblPr>
      <w:tblGrid>
        <w:gridCol w:w="10450"/>
      </w:tblGrid>
      <w:tr>
        <w:trPr/>
        <w:tc>
          <w:tcPr>
            <w:tcW w:w="10450" w:type="dxa"/>
            <w:tcBorders>
              <w:top w:val="single" w:sz="4" w:space="0" w:color="000000"/>
              <w:left w:val="single" w:sz="4" w:space="0" w:color="000000"/>
              <w:bottom w:val="single" w:sz="4" w:space="0" w:color="000000"/>
              <w:right w:val="single" w:sz="4" w:space="0" w:color="000000"/>
            </w:tcBorders>
            <w:shd w:fill="00B3BE" w:val="clear"/>
          </w:tcPr>
          <w:p>
            <w:pPr>
              <w:pStyle w:val="Normal"/>
              <w:jc w:val="both"/>
              <w:rPr>
                <w:rFonts w:cs="Arial"/>
                <w:b/>
                <w:b/>
                <w:sz w:val="22"/>
                <w:szCs w:val="22"/>
              </w:rPr>
            </w:pPr>
            <w:r>
              <w:rPr>
                <w:rFonts w:cs="Arial"/>
                <w:b/>
                <w:sz w:val="22"/>
                <w:szCs w:val="22"/>
              </w:rPr>
              <w:t>Standard Duties:</w:t>
            </w:r>
          </w:p>
          <w:p>
            <w:pPr>
              <w:pStyle w:val="Normal"/>
              <w:jc w:val="both"/>
              <w:rPr>
                <w:rFonts w:cs="Arial"/>
                <w:sz w:val="22"/>
                <w:szCs w:val="22"/>
              </w:rPr>
            </w:pPr>
            <w:r>
              <w:rPr>
                <w:rFonts w:cs="Arial"/>
                <w:sz w:val="22"/>
                <w:szCs w:val="22"/>
              </w:rPr>
            </w:r>
          </w:p>
        </w:tc>
      </w:tr>
    </w:tbl>
    <w:p>
      <w:pPr>
        <w:pStyle w:val="Normal"/>
        <w:rPr>
          <w:rFonts w:cs="Arial"/>
          <w:sz w:val="22"/>
          <w:szCs w:val="22"/>
        </w:rPr>
      </w:pPr>
      <w:r>
        <w:rPr>
          <w:rFonts w:cs="Arial"/>
          <w:sz w:val="22"/>
          <w:szCs w:val="22"/>
        </w:rPr>
      </w:r>
    </w:p>
    <w:tbl>
      <w:tblPr>
        <w:tblW w:w="10449" w:type="dxa"/>
        <w:jc w:val="left"/>
        <w:tblInd w:w="-717" w:type="dxa"/>
        <w:tblCellMar>
          <w:top w:w="0" w:type="dxa"/>
          <w:left w:w="108" w:type="dxa"/>
          <w:bottom w:w="0" w:type="dxa"/>
          <w:right w:w="108" w:type="dxa"/>
        </w:tblCellMar>
      </w:tblPr>
      <w:tblGrid>
        <w:gridCol w:w="522"/>
        <w:gridCol w:w="9927"/>
      </w:tblGrid>
      <w:tr>
        <w:trPr>
          <w:trHeight w:val="255" w:hRule="atLeast"/>
        </w:trPr>
        <w:tc>
          <w:tcPr>
            <w:tcW w:w="522" w:type="dxa"/>
            <w:tcBorders>
              <w:top w:val="single" w:sz="4" w:space="0" w:color="000000"/>
              <w:left w:val="single" w:sz="4" w:space="0" w:color="000000"/>
              <w:bottom w:val="single" w:sz="4" w:space="0" w:color="000000"/>
            </w:tcBorders>
            <w:shd w:fill="auto" w:val="clear"/>
          </w:tcPr>
          <w:p>
            <w:pPr>
              <w:pStyle w:val="Normal"/>
              <w:snapToGrid w:val="false"/>
              <w:jc w:val="both"/>
              <w:rPr>
                <w:rFonts w:cs="Arial"/>
                <w:sz w:val="22"/>
                <w:szCs w:val="22"/>
              </w:rPr>
            </w:pPr>
            <w:r>
              <w:rPr>
                <w:rFonts w:cs="Arial"/>
                <w:sz w:val="22"/>
                <w:szCs w:val="22"/>
              </w:rPr>
            </w:r>
          </w:p>
          <w:p>
            <w:pPr>
              <w:pStyle w:val="Normal"/>
              <w:jc w:val="both"/>
              <w:rPr>
                <w:rFonts w:cs="Arial"/>
                <w:sz w:val="22"/>
                <w:szCs w:val="22"/>
              </w:rPr>
            </w:pPr>
            <w:r>
              <w:rPr>
                <w:rFonts w:cs="Arial"/>
                <w:sz w:val="22"/>
                <w:szCs w:val="22"/>
              </w:rPr>
              <w:t>1.</w:t>
            </w:r>
          </w:p>
        </w:tc>
        <w:tc>
          <w:tcPr>
            <w:tcW w:w="9927"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jc w:val="both"/>
              <w:rPr>
                <w:rFonts w:cs="Arial"/>
                <w:sz w:val="22"/>
                <w:szCs w:val="22"/>
              </w:rPr>
            </w:pPr>
            <w:r>
              <w:rPr>
                <w:rFonts w:cs="Arial"/>
                <w:sz w:val="22"/>
                <w:szCs w:val="22"/>
              </w:rPr>
            </w:r>
          </w:p>
          <w:p>
            <w:pPr>
              <w:pStyle w:val="Normal"/>
              <w:jc w:val="both"/>
              <w:rPr>
                <w:rFonts w:cs="Arial"/>
                <w:sz w:val="22"/>
                <w:szCs w:val="22"/>
              </w:rPr>
            </w:pPr>
            <w:r>
              <w:rPr>
                <w:rFonts w:cs="Arial"/>
                <w:sz w:val="22"/>
                <w:szCs w:val="22"/>
              </w:rPr>
              <w:t>To actively promote Equality, Diversity and Inclusion in the workplace and in service delivery.</w:t>
            </w:r>
          </w:p>
          <w:p>
            <w:pPr>
              <w:pStyle w:val="Normal"/>
              <w:jc w:val="both"/>
              <w:rPr>
                <w:rFonts w:cs="Arial"/>
                <w:sz w:val="22"/>
                <w:szCs w:val="22"/>
              </w:rPr>
            </w:pPr>
            <w:r>
              <w:rPr>
                <w:rFonts w:cs="Arial"/>
                <w:sz w:val="22"/>
                <w:szCs w:val="22"/>
              </w:rPr>
            </w:r>
          </w:p>
        </w:tc>
      </w:tr>
      <w:tr>
        <w:trPr>
          <w:trHeight w:val="255" w:hRule="atLeast"/>
        </w:trPr>
        <w:tc>
          <w:tcPr>
            <w:tcW w:w="522" w:type="dxa"/>
            <w:tcBorders>
              <w:top w:val="single" w:sz="4" w:space="0" w:color="000000"/>
              <w:left w:val="single" w:sz="4" w:space="0" w:color="000000"/>
              <w:bottom w:val="single" w:sz="4" w:space="0" w:color="000000"/>
            </w:tcBorders>
            <w:shd w:fill="auto" w:val="clear"/>
          </w:tcPr>
          <w:p>
            <w:pPr>
              <w:pStyle w:val="Normal"/>
              <w:jc w:val="both"/>
              <w:rPr>
                <w:rFonts w:cs="Arial"/>
                <w:sz w:val="22"/>
                <w:szCs w:val="22"/>
              </w:rPr>
            </w:pPr>
            <w:r>
              <w:rPr>
                <w:rFonts w:cs="Arial"/>
                <w:sz w:val="22"/>
                <w:szCs w:val="22"/>
              </w:rPr>
              <w:t>2.</w:t>
            </w:r>
          </w:p>
        </w:tc>
        <w:tc>
          <w:tcPr>
            <w:tcW w:w="9927" w:type="dxa"/>
            <w:tcBorders>
              <w:top w:val="single" w:sz="4" w:space="0" w:color="000000"/>
              <w:left w:val="single" w:sz="4" w:space="0" w:color="000000"/>
              <w:bottom w:val="single" w:sz="4" w:space="0" w:color="000000"/>
              <w:right w:val="single" w:sz="4" w:space="0" w:color="000000"/>
            </w:tcBorders>
            <w:shd w:fill="auto" w:val="clear"/>
          </w:tcPr>
          <w:p>
            <w:pPr>
              <w:pStyle w:val="Normal"/>
              <w:jc w:val="both"/>
              <w:rPr>
                <w:rFonts w:cs="Arial"/>
                <w:sz w:val="22"/>
                <w:szCs w:val="22"/>
              </w:rPr>
            </w:pPr>
            <w:r>
              <w:rPr>
                <w:rFonts w:cs="Arial"/>
                <w:sz w:val="22"/>
                <w:szCs w:val="22"/>
              </w:rPr>
              <w:t>To uphold and implement policies and procedures of the Council, including customer care, data protection, finance, ICT, safeguarding and health &amp; safety policies.</w:t>
            </w:r>
          </w:p>
          <w:p>
            <w:pPr>
              <w:pStyle w:val="Normal"/>
              <w:jc w:val="both"/>
              <w:rPr>
                <w:rFonts w:cs="Arial"/>
                <w:sz w:val="22"/>
                <w:szCs w:val="22"/>
              </w:rPr>
            </w:pPr>
            <w:r>
              <w:rPr>
                <w:rFonts w:cs="Arial"/>
                <w:sz w:val="22"/>
                <w:szCs w:val="22"/>
              </w:rPr>
            </w:r>
          </w:p>
        </w:tc>
      </w:tr>
      <w:tr>
        <w:trPr>
          <w:trHeight w:val="255" w:hRule="atLeast"/>
        </w:trPr>
        <w:tc>
          <w:tcPr>
            <w:tcW w:w="522" w:type="dxa"/>
            <w:tcBorders>
              <w:top w:val="single" w:sz="4" w:space="0" w:color="000000"/>
              <w:left w:val="single" w:sz="4" w:space="0" w:color="000000"/>
              <w:bottom w:val="single" w:sz="4" w:space="0" w:color="000000"/>
            </w:tcBorders>
            <w:shd w:fill="auto" w:val="clear"/>
          </w:tcPr>
          <w:p>
            <w:pPr>
              <w:pStyle w:val="Normal"/>
              <w:jc w:val="both"/>
              <w:rPr>
                <w:rFonts w:cs="Arial"/>
                <w:sz w:val="22"/>
                <w:szCs w:val="22"/>
              </w:rPr>
            </w:pPr>
            <w:r>
              <w:rPr>
                <w:rFonts w:cs="Arial"/>
                <w:sz w:val="22"/>
                <w:szCs w:val="22"/>
              </w:rPr>
              <w:t>3.</w:t>
            </w:r>
          </w:p>
        </w:tc>
        <w:tc>
          <w:tcPr>
            <w:tcW w:w="9927"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56"/>
              <w:jc w:val="both"/>
              <w:rPr>
                <w:rFonts w:cs="Arial"/>
                <w:sz w:val="22"/>
                <w:szCs w:val="22"/>
              </w:rPr>
            </w:pPr>
            <w:r>
              <w:rPr>
                <w:rFonts w:cs="Arial"/>
                <w:sz w:val="22"/>
                <w:szCs w:val="22"/>
              </w:rPr>
              <w:t>To actively engage with the behaviours and values of the Council to promote and support the delivery of our Corporate plan.</w:t>
            </w:r>
          </w:p>
          <w:p>
            <w:pPr>
              <w:pStyle w:val="Normal"/>
              <w:jc w:val="both"/>
              <w:rPr>
                <w:rFonts w:cs="Arial"/>
                <w:sz w:val="22"/>
                <w:szCs w:val="22"/>
              </w:rPr>
            </w:pPr>
            <w:r>
              <w:rPr>
                <w:rFonts w:cs="Arial"/>
                <w:sz w:val="22"/>
                <w:szCs w:val="22"/>
              </w:rPr>
            </w:r>
          </w:p>
        </w:tc>
      </w:tr>
      <w:tr>
        <w:trPr>
          <w:trHeight w:val="255" w:hRule="atLeast"/>
        </w:trPr>
        <w:tc>
          <w:tcPr>
            <w:tcW w:w="522" w:type="dxa"/>
            <w:tcBorders>
              <w:top w:val="single" w:sz="4" w:space="0" w:color="000000"/>
              <w:left w:val="single" w:sz="4" w:space="0" w:color="000000"/>
              <w:bottom w:val="single" w:sz="4" w:space="0" w:color="000000"/>
            </w:tcBorders>
            <w:shd w:fill="auto" w:val="clear"/>
          </w:tcPr>
          <w:p>
            <w:pPr>
              <w:pStyle w:val="Normal"/>
              <w:jc w:val="both"/>
              <w:rPr>
                <w:rFonts w:cs="Arial"/>
                <w:sz w:val="22"/>
                <w:szCs w:val="22"/>
              </w:rPr>
            </w:pPr>
            <w:r>
              <w:rPr>
                <w:rFonts w:cs="Arial"/>
                <w:sz w:val="22"/>
                <w:szCs w:val="22"/>
              </w:rPr>
              <w:t>4.</w:t>
            </w:r>
          </w:p>
        </w:tc>
        <w:tc>
          <w:tcPr>
            <w:tcW w:w="9927" w:type="dxa"/>
            <w:tcBorders>
              <w:top w:val="single" w:sz="4" w:space="0" w:color="000000"/>
              <w:left w:val="single" w:sz="4" w:space="0" w:color="000000"/>
              <w:bottom w:val="single" w:sz="4" w:space="0" w:color="000000"/>
              <w:right w:val="single" w:sz="4" w:space="0" w:color="000000"/>
            </w:tcBorders>
            <w:shd w:fill="auto" w:val="clear"/>
          </w:tcPr>
          <w:p>
            <w:pPr>
              <w:pStyle w:val="Normal"/>
              <w:jc w:val="both"/>
              <w:rPr>
                <w:rFonts w:cs="Arial"/>
                <w:sz w:val="22"/>
                <w:szCs w:val="22"/>
              </w:rPr>
            </w:pPr>
            <w:r>
              <w:rPr>
                <w:rFonts w:cs="Arial"/>
                <w:sz w:val="22"/>
                <w:szCs w:val="22"/>
              </w:rPr>
              <w:t xml:space="preserve">To undertake continuous professional development and to be aware of new developments, legislation, initiatives, guidelines, policies and procedures as appropriate to the role. </w:t>
            </w:r>
          </w:p>
          <w:p>
            <w:pPr>
              <w:pStyle w:val="Normal"/>
              <w:jc w:val="both"/>
              <w:rPr>
                <w:rFonts w:cs="Arial"/>
                <w:b/>
                <w:b/>
                <w:sz w:val="22"/>
                <w:szCs w:val="22"/>
              </w:rPr>
            </w:pPr>
            <w:r>
              <w:rPr>
                <w:rFonts w:cs="Arial"/>
                <w:b/>
                <w:sz w:val="22"/>
                <w:szCs w:val="22"/>
              </w:rPr>
            </w:r>
          </w:p>
        </w:tc>
      </w:tr>
      <w:tr>
        <w:trPr>
          <w:trHeight w:val="255" w:hRule="atLeast"/>
        </w:trPr>
        <w:tc>
          <w:tcPr>
            <w:tcW w:w="522" w:type="dxa"/>
            <w:tcBorders>
              <w:top w:val="single" w:sz="4" w:space="0" w:color="000000"/>
              <w:left w:val="single" w:sz="4" w:space="0" w:color="000000"/>
              <w:bottom w:val="single" w:sz="4" w:space="0" w:color="000000"/>
            </w:tcBorders>
            <w:shd w:fill="auto" w:val="clear"/>
          </w:tcPr>
          <w:p>
            <w:pPr>
              <w:pStyle w:val="Normal"/>
              <w:jc w:val="both"/>
              <w:rPr>
                <w:rFonts w:cs="Arial"/>
                <w:sz w:val="22"/>
                <w:szCs w:val="22"/>
              </w:rPr>
            </w:pPr>
            <w:r>
              <w:rPr>
                <w:rFonts w:cs="Arial"/>
                <w:sz w:val="22"/>
                <w:szCs w:val="22"/>
              </w:rPr>
              <w:t>5.</w:t>
            </w:r>
          </w:p>
        </w:tc>
        <w:tc>
          <w:tcPr>
            <w:tcW w:w="9927" w:type="dxa"/>
            <w:tcBorders>
              <w:top w:val="single" w:sz="4" w:space="0" w:color="000000"/>
              <w:left w:val="single" w:sz="4" w:space="0" w:color="000000"/>
              <w:bottom w:val="single" w:sz="4" w:space="0" w:color="000000"/>
              <w:right w:val="single" w:sz="4" w:space="0" w:color="000000"/>
            </w:tcBorders>
            <w:shd w:fill="auto" w:val="clear"/>
          </w:tcPr>
          <w:p>
            <w:pPr>
              <w:pStyle w:val="Normal"/>
              <w:jc w:val="both"/>
              <w:rPr>
                <w:rFonts w:cs="Arial"/>
                <w:sz w:val="22"/>
                <w:szCs w:val="22"/>
              </w:rPr>
            </w:pPr>
            <w:r>
              <w:rPr>
                <w:rFonts w:cs="Arial"/>
                <w:sz w:val="22"/>
                <w:szCs w:val="22"/>
              </w:rPr>
              <w:t>Undertake any additional duties commensurate with the level of the post.</w:t>
            </w:r>
          </w:p>
          <w:p>
            <w:pPr>
              <w:pStyle w:val="Normal"/>
              <w:jc w:val="both"/>
              <w:rPr>
                <w:rFonts w:cs="Arial"/>
                <w:b/>
                <w:b/>
                <w:sz w:val="22"/>
                <w:szCs w:val="22"/>
              </w:rPr>
            </w:pPr>
            <w:r>
              <w:rPr>
                <w:rFonts w:cs="Arial"/>
                <w:b/>
                <w:sz w:val="22"/>
                <w:szCs w:val="22"/>
              </w:rPr>
            </w:r>
          </w:p>
        </w:tc>
      </w:tr>
    </w:tbl>
    <w:p>
      <w:pPr>
        <w:pStyle w:val="Normal"/>
        <w:rPr>
          <w:rFonts w:cs="Arial"/>
          <w:sz w:val="22"/>
          <w:szCs w:val="22"/>
        </w:rPr>
      </w:pPr>
      <w:r>
        <w:rPr>
          <w:rFonts w:cs="Arial"/>
          <w:sz w:val="22"/>
          <w:szCs w:val="22"/>
        </w:rPr>
      </w:r>
    </w:p>
    <w:tbl>
      <w:tblPr>
        <w:tblW w:w="10450" w:type="dxa"/>
        <w:jc w:val="center"/>
        <w:tblInd w:w="0" w:type="dxa"/>
        <w:tblCellMar>
          <w:top w:w="0" w:type="dxa"/>
          <w:left w:w="108" w:type="dxa"/>
          <w:bottom w:w="0" w:type="dxa"/>
          <w:right w:w="108" w:type="dxa"/>
        </w:tblCellMar>
      </w:tblPr>
      <w:tblGrid>
        <w:gridCol w:w="10450"/>
      </w:tblGrid>
      <w:tr>
        <w:trPr/>
        <w:tc>
          <w:tcPr>
            <w:tcW w:w="10450" w:type="dxa"/>
            <w:tcBorders>
              <w:top w:val="single" w:sz="4" w:space="0" w:color="000000"/>
              <w:left w:val="single" w:sz="4" w:space="0" w:color="000000"/>
              <w:bottom w:val="single" w:sz="4" w:space="0" w:color="000000"/>
              <w:right w:val="single" w:sz="4" w:space="0" w:color="000000"/>
            </w:tcBorders>
            <w:shd w:fill="auto" w:val="clear"/>
          </w:tcPr>
          <w:p>
            <w:pPr>
              <w:pStyle w:val="Normal"/>
              <w:ind w:left="1560" w:right="0" w:hanging="1560"/>
              <w:jc w:val="both"/>
              <w:rPr/>
            </w:pPr>
            <w:r>
              <w:rPr>
                <w:rFonts w:cs="Arial"/>
                <w:b/>
                <w:bCs/>
                <w:sz w:val="22"/>
                <w:szCs w:val="22"/>
              </w:rPr>
              <w:t>Contacts:</w:t>
            </w:r>
            <w:r>
              <w:rPr>
                <w:rFonts w:cs="Arial"/>
                <w:sz w:val="22"/>
                <w:szCs w:val="22"/>
              </w:rPr>
              <w:t xml:space="preserve"> </w:t>
            </w:r>
          </w:p>
          <w:p>
            <w:pPr>
              <w:pStyle w:val="Normal"/>
              <w:ind w:left="0" w:right="0" w:hanging="810"/>
              <w:rPr>
                <w:rFonts w:cs="Arial"/>
                <w:sz w:val="22"/>
                <w:szCs w:val="22"/>
              </w:rPr>
            </w:pPr>
            <w:r>
              <w:rPr>
                <w:rFonts w:cs="Arial"/>
                <w:sz w:val="22"/>
                <w:szCs w:val="22"/>
              </w:rPr>
            </w:r>
          </w:p>
          <w:p>
            <w:pPr>
              <w:pStyle w:val="Normal"/>
              <w:ind w:left="0" w:right="0" w:hanging="810"/>
              <w:rPr>
                <w:rFonts w:cs="Arial"/>
                <w:sz w:val="22"/>
                <w:szCs w:val="22"/>
              </w:rPr>
            </w:pPr>
            <w:r>
              <w:rPr>
                <w:rFonts w:cs="Arial"/>
                <w:sz w:val="22"/>
                <w:szCs w:val="22"/>
              </w:rPr>
            </w:r>
          </w:p>
          <w:p>
            <w:pPr>
              <w:pStyle w:val="Normal"/>
              <w:ind w:left="0" w:right="0" w:hanging="810"/>
              <w:rPr>
                <w:rFonts w:cs="Arial"/>
                <w:sz w:val="22"/>
                <w:szCs w:val="22"/>
              </w:rPr>
            </w:pPr>
            <w:r>
              <w:rPr>
                <w:rFonts w:cs="Arial"/>
                <w:sz w:val="22"/>
                <w:szCs w:val="22"/>
              </w:rPr>
            </w:r>
          </w:p>
        </w:tc>
      </w:tr>
    </w:tbl>
    <w:p>
      <w:pPr>
        <w:pStyle w:val="Normal"/>
        <w:rPr>
          <w:rFonts w:cs="Arial"/>
          <w:sz w:val="22"/>
          <w:szCs w:val="22"/>
        </w:rPr>
      </w:pPr>
      <w:r>
        <w:rPr>
          <w:rFonts w:cs="Arial"/>
          <w:sz w:val="22"/>
          <w:szCs w:val="22"/>
        </w:rPr>
      </w:r>
    </w:p>
    <w:tbl>
      <w:tblPr>
        <w:tblW w:w="10450" w:type="dxa"/>
        <w:jc w:val="center"/>
        <w:tblInd w:w="0" w:type="dxa"/>
        <w:tblCellMar>
          <w:top w:w="0" w:type="dxa"/>
          <w:left w:w="108" w:type="dxa"/>
          <w:bottom w:w="0" w:type="dxa"/>
          <w:right w:w="108" w:type="dxa"/>
        </w:tblCellMar>
      </w:tblPr>
      <w:tblGrid>
        <w:gridCol w:w="10450"/>
      </w:tblGrid>
      <w:tr>
        <w:trPr/>
        <w:tc>
          <w:tcPr>
            <w:tcW w:w="10450" w:type="dxa"/>
            <w:tcBorders>
              <w:top w:val="single" w:sz="4" w:space="0" w:color="000000"/>
              <w:left w:val="single" w:sz="4" w:space="0" w:color="000000"/>
              <w:bottom w:val="single" w:sz="4" w:space="0" w:color="000000"/>
              <w:right w:val="single" w:sz="4" w:space="0" w:color="000000"/>
            </w:tcBorders>
            <w:shd w:fill="00B3BE" w:val="clear"/>
          </w:tcPr>
          <w:p>
            <w:pPr>
              <w:pStyle w:val="TextBody"/>
              <w:rPr>
                <w:rFonts w:cs="Arial"/>
                <w:szCs w:val="22"/>
              </w:rPr>
            </w:pPr>
            <w:r>
              <w:rPr>
                <w:rFonts w:cs="Arial"/>
                <w:szCs w:val="22"/>
              </w:rPr>
              <w:t>Relationship To Other Posts in the Department:</w:t>
            </w:r>
          </w:p>
          <w:p>
            <w:pPr>
              <w:pStyle w:val="Normal"/>
              <w:rPr>
                <w:rFonts w:cs="Arial"/>
                <w:sz w:val="22"/>
                <w:szCs w:val="22"/>
              </w:rPr>
            </w:pPr>
            <w:r>
              <w:rPr>
                <w:rFonts w:cs="Arial"/>
                <w:sz w:val="22"/>
                <w:szCs w:val="22"/>
              </w:rPr>
            </w:r>
          </w:p>
        </w:tc>
      </w:tr>
    </w:tbl>
    <w:p>
      <w:pPr>
        <w:pStyle w:val="Normal"/>
        <w:rPr>
          <w:rFonts w:cs="Arial"/>
          <w:sz w:val="22"/>
          <w:szCs w:val="22"/>
        </w:rPr>
      </w:pPr>
      <w:r>
        <w:rPr>
          <w:rFonts w:cs="Arial"/>
          <w:sz w:val="22"/>
          <w:szCs w:val="22"/>
        </w:rPr>
      </w:r>
    </w:p>
    <w:tbl>
      <w:tblPr>
        <w:tblW w:w="10449" w:type="dxa"/>
        <w:jc w:val="center"/>
        <w:tblInd w:w="0" w:type="dxa"/>
        <w:tblCellMar>
          <w:top w:w="0" w:type="dxa"/>
          <w:left w:w="108" w:type="dxa"/>
          <w:bottom w:w="0" w:type="dxa"/>
          <w:right w:w="108" w:type="dxa"/>
        </w:tblCellMar>
      </w:tblPr>
      <w:tblGrid>
        <w:gridCol w:w="2106"/>
        <w:gridCol w:w="8343"/>
      </w:tblGrid>
      <w:tr>
        <w:trPr>
          <w:trHeight w:val="518" w:hRule="atLeast"/>
        </w:trPr>
        <w:tc>
          <w:tcPr>
            <w:tcW w:w="2106" w:type="dxa"/>
            <w:tcBorders>
              <w:top w:val="single" w:sz="4" w:space="0" w:color="000000"/>
              <w:left w:val="single" w:sz="4" w:space="0" w:color="000000"/>
              <w:bottom w:val="single" w:sz="4" w:space="0" w:color="000000"/>
            </w:tcBorders>
            <w:shd w:fill="auto" w:val="clear"/>
          </w:tcPr>
          <w:p>
            <w:pPr>
              <w:pStyle w:val="Normal"/>
              <w:rPr>
                <w:rFonts w:cs="Arial"/>
                <w:b/>
                <w:b/>
                <w:sz w:val="22"/>
                <w:szCs w:val="22"/>
              </w:rPr>
            </w:pPr>
            <w:r>
              <w:rPr>
                <w:rFonts w:cs="Arial"/>
                <w:b/>
                <w:sz w:val="22"/>
                <w:szCs w:val="22"/>
              </w:rPr>
              <w:t xml:space="preserve">Responsible to:  </w:t>
            </w:r>
          </w:p>
          <w:p>
            <w:pPr>
              <w:pStyle w:val="Normal"/>
              <w:rPr>
                <w:rFonts w:cs="Arial"/>
                <w:sz w:val="22"/>
                <w:szCs w:val="22"/>
              </w:rPr>
            </w:pPr>
            <w:r>
              <w:rPr>
                <w:rFonts w:cs="Arial"/>
                <w:sz w:val="22"/>
                <w:szCs w:val="22"/>
              </w:rPr>
            </w:r>
          </w:p>
        </w:tc>
        <w:tc>
          <w:tcPr>
            <w:tcW w:w="8343" w:type="dxa"/>
            <w:tcBorders>
              <w:top w:val="single" w:sz="4" w:space="0" w:color="000000"/>
              <w:left w:val="single" w:sz="4" w:space="0" w:color="000000"/>
              <w:bottom w:val="single" w:sz="4" w:space="0" w:color="000000"/>
              <w:right w:val="single" w:sz="4" w:space="0" w:color="000000"/>
            </w:tcBorders>
            <w:shd w:fill="auto" w:val="clear"/>
          </w:tcPr>
          <w:p>
            <w:pPr>
              <w:pStyle w:val="TextBody"/>
              <w:rPr>
                <w:rFonts w:cs="Arial"/>
                <w:b w:val="false"/>
                <w:b w:val="false"/>
                <w:bCs/>
                <w:szCs w:val="22"/>
              </w:rPr>
            </w:pPr>
            <w:r>
              <w:rPr>
                <w:rFonts w:cs="Arial"/>
                <w:b w:val="false"/>
                <w:bCs/>
                <w:szCs w:val="22"/>
              </w:rPr>
              <w:t>Family Help District Team Manager (Alternatively Qualified)</w:t>
            </w:r>
          </w:p>
        </w:tc>
      </w:tr>
      <w:tr>
        <w:trPr>
          <w:trHeight w:val="517" w:hRule="atLeast"/>
        </w:trPr>
        <w:tc>
          <w:tcPr>
            <w:tcW w:w="2106" w:type="dxa"/>
            <w:tcBorders>
              <w:top w:val="single" w:sz="4" w:space="0" w:color="000000"/>
              <w:left w:val="single" w:sz="4" w:space="0" w:color="000000"/>
              <w:bottom w:val="single" w:sz="4" w:space="0" w:color="000000"/>
            </w:tcBorders>
            <w:shd w:fill="auto" w:val="clear"/>
          </w:tcPr>
          <w:p>
            <w:pPr>
              <w:pStyle w:val="Normal"/>
              <w:rPr>
                <w:rFonts w:cs="Arial"/>
                <w:b/>
                <w:b/>
                <w:sz w:val="22"/>
                <w:szCs w:val="22"/>
              </w:rPr>
            </w:pPr>
            <w:r>
              <w:rPr>
                <w:rFonts w:cs="Arial"/>
                <w:b/>
                <w:sz w:val="22"/>
                <w:szCs w:val="22"/>
              </w:rPr>
              <w:t>Responsible for:</w:t>
            </w:r>
          </w:p>
        </w:tc>
        <w:tc>
          <w:tcPr>
            <w:tcW w:w="8343" w:type="dxa"/>
            <w:tcBorders>
              <w:top w:val="single" w:sz="4" w:space="0" w:color="000000"/>
              <w:left w:val="single" w:sz="4" w:space="0" w:color="000000"/>
              <w:bottom w:val="single" w:sz="4" w:space="0" w:color="000000"/>
              <w:right w:val="single" w:sz="4" w:space="0" w:color="000000"/>
            </w:tcBorders>
            <w:shd w:fill="auto" w:val="clear"/>
          </w:tcPr>
          <w:p>
            <w:pPr>
              <w:pStyle w:val="Normal"/>
              <w:rPr>
                <w:rFonts w:cs="Arial"/>
                <w:sz w:val="22"/>
                <w:szCs w:val="22"/>
              </w:rPr>
            </w:pPr>
            <w:r>
              <w:rPr>
                <w:rFonts w:cs="Arial"/>
                <w:sz w:val="22"/>
                <w:szCs w:val="22"/>
              </w:rPr>
              <w:t xml:space="preserve">No line management responsibility </w:t>
            </w:r>
            <w:bookmarkStart w:id="0" w:name="_Hlk95121094"/>
            <w:bookmarkEnd w:id="0"/>
          </w:p>
        </w:tc>
      </w:tr>
    </w:tbl>
    <w:p>
      <w:pPr>
        <w:pStyle w:val="Normal"/>
        <w:rPr>
          <w:rFonts w:cs="Arial"/>
          <w:sz w:val="22"/>
          <w:szCs w:val="22"/>
        </w:rPr>
      </w:pPr>
      <w:r>
        <w:rPr>
          <w:rFonts w:cs="Arial"/>
          <w:sz w:val="22"/>
          <w:szCs w:val="22"/>
        </w:rPr>
      </w:r>
    </w:p>
    <w:tbl>
      <w:tblPr>
        <w:tblW w:w="10450" w:type="dxa"/>
        <w:jc w:val="left"/>
        <w:tblInd w:w="-717" w:type="dxa"/>
        <w:tblCellMar>
          <w:top w:w="0" w:type="dxa"/>
          <w:left w:w="108" w:type="dxa"/>
          <w:bottom w:w="0" w:type="dxa"/>
          <w:right w:w="108" w:type="dxa"/>
        </w:tblCellMar>
      </w:tblPr>
      <w:tblGrid>
        <w:gridCol w:w="10450"/>
      </w:tblGrid>
      <w:tr>
        <w:trPr/>
        <w:tc>
          <w:tcPr>
            <w:tcW w:w="10450" w:type="dxa"/>
            <w:tcBorders>
              <w:top w:val="single" w:sz="4" w:space="0" w:color="000000"/>
              <w:left w:val="single" w:sz="4" w:space="0" w:color="000000"/>
              <w:bottom w:val="single" w:sz="4" w:space="0" w:color="000000"/>
              <w:right w:val="single" w:sz="4" w:space="0" w:color="000000"/>
            </w:tcBorders>
            <w:shd w:fill="auto" w:val="clear"/>
          </w:tcPr>
          <w:p>
            <w:pPr>
              <w:pStyle w:val="Normal"/>
              <w:rPr>
                <w:rFonts w:cs="Arial"/>
                <w:b/>
                <w:b/>
                <w:sz w:val="22"/>
                <w:szCs w:val="22"/>
              </w:rPr>
            </w:pPr>
            <w:r>
              <w:rPr>
                <w:rFonts w:cs="Arial"/>
                <w:b/>
                <w:sz w:val="22"/>
                <w:szCs w:val="22"/>
              </w:rPr>
              <w:t xml:space="preserve">Special Conditions:  </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1.This post requires the post holder to undertake an enhanced child workforce criminal record check, including barred list check, via the Disclosure and Barring Service.</w:t>
            </w:r>
          </w:p>
          <w:p>
            <w:pPr>
              <w:pStyle w:val="Normal"/>
              <w:spacing w:lineRule="auto" w:line="256"/>
              <w:rPr>
                <w:rFonts w:cs="Arial"/>
                <w:sz w:val="22"/>
                <w:szCs w:val="22"/>
              </w:rPr>
            </w:pPr>
            <w:r>
              <w:rPr>
                <w:rFonts w:cs="Arial"/>
                <w:sz w:val="22"/>
                <w:szCs w:val="22"/>
              </w:rPr>
              <w:t>2. This post will carry an Essential Car User Allowance subject to local policy and service requirement.</w:t>
            </w:r>
          </w:p>
          <w:p>
            <w:pPr>
              <w:pStyle w:val="Normal"/>
              <w:rPr>
                <w:rFonts w:cs="Arial"/>
                <w:sz w:val="22"/>
                <w:szCs w:val="22"/>
              </w:rPr>
            </w:pPr>
            <w:r>
              <w:rPr>
                <w:rFonts w:cs="Arial"/>
                <w:sz w:val="22"/>
                <w:szCs w:val="22"/>
              </w:rPr>
            </w:r>
          </w:p>
        </w:tc>
      </w:tr>
    </w:tbl>
    <w:p>
      <w:pPr>
        <w:pStyle w:val="Normal"/>
        <w:rPr>
          <w:rFonts w:cs="Arial"/>
          <w:sz w:val="22"/>
          <w:szCs w:val="22"/>
        </w:rPr>
      </w:pPr>
      <w:r>
        <w:rPr>
          <w:rFonts w:cs="Arial"/>
          <w:sz w:val="22"/>
          <w:szCs w:val="22"/>
        </w:rPr>
      </w:r>
    </w:p>
    <w:tbl>
      <w:tblPr>
        <w:tblW w:w="10450" w:type="dxa"/>
        <w:jc w:val="left"/>
        <w:tblInd w:w="-717" w:type="dxa"/>
        <w:tblCellMar>
          <w:top w:w="0" w:type="dxa"/>
          <w:left w:w="108" w:type="dxa"/>
          <w:bottom w:w="0" w:type="dxa"/>
          <w:right w:w="108" w:type="dxa"/>
        </w:tblCellMar>
      </w:tblPr>
      <w:tblGrid>
        <w:gridCol w:w="10450"/>
      </w:tblGrid>
      <w:tr>
        <w:trPr/>
        <w:tc>
          <w:tcPr>
            <w:tcW w:w="10450" w:type="dxa"/>
            <w:tcBorders>
              <w:top w:val="single" w:sz="4" w:space="0" w:color="000000"/>
              <w:left w:val="single" w:sz="4" w:space="0" w:color="000000"/>
              <w:bottom w:val="single" w:sz="4" w:space="0" w:color="000000"/>
              <w:right w:val="single" w:sz="4" w:space="0" w:color="000000"/>
            </w:tcBorders>
            <w:shd w:fill="00B3BE" w:val="clear"/>
          </w:tcPr>
          <w:p>
            <w:pPr>
              <w:pStyle w:val="Normal"/>
              <w:rPr>
                <w:rFonts w:cs="Arial"/>
                <w:b/>
                <w:b/>
                <w:sz w:val="22"/>
                <w:szCs w:val="22"/>
              </w:rPr>
            </w:pPr>
            <w:r>
              <w:rPr>
                <w:rFonts w:cs="Arial"/>
                <w:b/>
                <w:sz w:val="22"/>
                <w:szCs w:val="22"/>
              </w:rPr>
              <w:t>Values and Behaviours:</w:t>
            </w:r>
          </w:p>
          <w:p>
            <w:pPr>
              <w:pStyle w:val="Normal"/>
              <w:rPr>
                <w:rFonts w:cs="Arial"/>
                <w:b/>
                <w:b/>
                <w:sz w:val="22"/>
                <w:szCs w:val="22"/>
              </w:rPr>
            </w:pPr>
            <w:r>
              <w:rPr>
                <w:rFonts w:cs="Arial"/>
                <w:b/>
                <w:sz w:val="22"/>
                <w:szCs w:val="22"/>
              </w:rPr>
            </w:r>
          </w:p>
        </w:tc>
      </w:tr>
      <w:tr>
        <w:trPr>
          <w:trHeight w:val="518" w:hRule="atLeast"/>
        </w:trPr>
        <w:tc>
          <w:tcPr>
            <w:tcW w:w="10450" w:type="dxa"/>
            <w:tcBorders>
              <w:top w:val="single" w:sz="4" w:space="0" w:color="000000"/>
              <w:left w:val="single" w:sz="4" w:space="0" w:color="000000"/>
              <w:bottom w:val="single" w:sz="4" w:space="0" w:color="000000"/>
              <w:right w:val="single" w:sz="4" w:space="0" w:color="000000"/>
            </w:tcBorders>
            <w:shd w:fill="auto" w:val="clear"/>
          </w:tcPr>
          <w:p>
            <w:pPr>
              <w:pStyle w:val="Normal"/>
              <w:shd w:fill="FFFFFF" w:val="clear"/>
              <w:spacing w:lineRule="auto" w:line="256" w:before="0" w:after="379"/>
              <w:jc w:val="both"/>
              <w:rPr/>
            </w:pPr>
            <w:r>
              <w:rPr>
                <w:rFonts w:eastAsia="Helvetica;Arial" w:cs="Helvetica;Arial" w:ascii="Helvetica;Arial" w:hAnsi="Helvetica;Arial"/>
                <w:lang w:val="en-US"/>
              </w:rPr>
              <w:t>B</w:t>
            </w:r>
            <w:r>
              <w:rPr>
                <w:rFonts w:eastAsia="Arial" w:cs="Arial"/>
                <w:sz w:val="22"/>
                <w:szCs w:val="22"/>
                <w:lang w:val="en-US"/>
              </w:rPr>
              <w:t>y living our Values and Behaviours we will deliver the change we need to meet our Corporate ambitions for Oldham.</w:t>
            </w:r>
          </w:p>
          <w:p>
            <w:pPr>
              <w:pStyle w:val="Normal"/>
              <w:spacing w:lineRule="auto" w:line="256" w:before="280" w:after="280"/>
              <w:jc w:val="both"/>
              <w:rPr>
                <w:rFonts w:eastAsia="Arial" w:cs="Arial"/>
                <w:b/>
                <w:b/>
                <w:bCs/>
                <w:sz w:val="22"/>
                <w:szCs w:val="22"/>
                <w:lang w:val="en-US" w:eastAsia="en-GB"/>
              </w:rPr>
            </w:pPr>
            <w:r>
              <w:rPr>
                <w:rFonts w:eastAsia="Arial" w:cs="Arial"/>
                <w:b/>
                <w:bCs/>
                <w:sz w:val="22"/>
                <w:szCs w:val="22"/>
                <w:lang w:val="en-US" w:eastAsia="en-GB"/>
              </w:rPr>
              <w:t>Our Values:</w:t>
            </w:r>
          </w:p>
          <w:p>
            <w:pPr>
              <w:pStyle w:val="Normal"/>
              <w:spacing w:lineRule="auto" w:line="256" w:before="280" w:after="280"/>
              <w:jc w:val="both"/>
              <w:rPr>
                <w:rFonts w:eastAsia="Arial" w:cs="Arial"/>
                <w:b/>
                <w:b/>
                <w:bCs/>
                <w:sz w:val="22"/>
                <w:szCs w:val="22"/>
                <w:lang w:val="en-US"/>
              </w:rPr>
            </w:pPr>
            <w:r>
              <w:rPr>
                <w:rFonts w:eastAsia="Arial" w:cs="Arial"/>
                <w:b/>
                <w:bCs/>
                <w:sz w:val="22"/>
                <w:szCs w:val="22"/>
                <w:lang w:val="en-US"/>
              </w:rPr>
              <w:t>Proud</w:t>
            </w:r>
          </w:p>
          <w:p>
            <w:pPr>
              <w:pStyle w:val="Normal"/>
              <w:shd w:fill="FFFFFF" w:val="clear"/>
              <w:spacing w:before="0" w:after="379"/>
              <w:jc w:val="both"/>
              <w:rPr>
                <w:rFonts w:eastAsia="Arial" w:cs="Arial"/>
                <w:sz w:val="22"/>
                <w:szCs w:val="22"/>
                <w:lang w:val="en-US"/>
              </w:rPr>
            </w:pPr>
            <w:r>
              <w:rPr>
                <w:rFonts w:eastAsia="Arial" w:cs="Arial"/>
                <w:sz w:val="22"/>
                <w:szCs w:val="22"/>
                <w:lang w:val="en-US"/>
              </w:rPr>
              <w:t>We take pride not only in what we deliver for the residents of Oldham but also in how we deliver it.</w:t>
            </w:r>
          </w:p>
          <w:p>
            <w:pPr>
              <w:pStyle w:val="Normal"/>
              <w:spacing w:lineRule="auto" w:line="256" w:before="280" w:after="280"/>
              <w:jc w:val="both"/>
              <w:rPr>
                <w:rFonts w:eastAsia="Arial" w:cs="Arial"/>
                <w:b/>
                <w:b/>
                <w:bCs/>
                <w:sz w:val="22"/>
                <w:szCs w:val="22"/>
                <w:lang w:val="en-US"/>
              </w:rPr>
            </w:pPr>
            <w:r>
              <w:rPr>
                <w:rFonts w:eastAsia="Arial" w:cs="Arial"/>
                <w:b/>
                <w:bCs/>
                <w:sz w:val="22"/>
                <w:szCs w:val="22"/>
                <w:lang w:val="en-US"/>
              </w:rPr>
              <w:t>Ambitious</w:t>
            </w:r>
          </w:p>
          <w:p>
            <w:pPr>
              <w:pStyle w:val="Normal"/>
              <w:shd w:fill="FFFFFF" w:val="clear"/>
              <w:spacing w:before="0" w:after="379"/>
              <w:jc w:val="both"/>
              <w:rPr>
                <w:rFonts w:eastAsia="Arial" w:cs="Arial"/>
                <w:sz w:val="22"/>
                <w:szCs w:val="22"/>
                <w:lang w:val="en-US"/>
              </w:rPr>
            </w:pPr>
            <w:r>
              <w:rPr>
                <w:rFonts w:eastAsia="Arial" w:cs="Arial"/>
                <w:sz w:val="22"/>
                <w:szCs w:val="22"/>
                <w:lang w:val="en-US"/>
              </w:rPr>
              <w:t>We recognise the challenges we face and are committed to setting high aspirations to overcome them, with determination and focus.</w:t>
            </w:r>
          </w:p>
          <w:p>
            <w:pPr>
              <w:pStyle w:val="Normal"/>
              <w:spacing w:lineRule="auto" w:line="256" w:before="280" w:after="280"/>
              <w:jc w:val="both"/>
              <w:rPr>
                <w:rFonts w:eastAsia="Arial" w:cs="Arial"/>
                <w:b/>
                <w:b/>
                <w:bCs/>
                <w:sz w:val="22"/>
                <w:szCs w:val="22"/>
                <w:lang w:val="en-US"/>
              </w:rPr>
            </w:pPr>
            <w:r>
              <w:rPr>
                <w:rFonts w:eastAsia="Arial" w:cs="Arial"/>
                <w:b/>
                <w:bCs/>
                <w:sz w:val="22"/>
                <w:szCs w:val="22"/>
                <w:lang w:val="en-US"/>
              </w:rPr>
              <w:t>Together</w:t>
            </w:r>
          </w:p>
          <w:p>
            <w:pPr>
              <w:pStyle w:val="Normal"/>
              <w:shd w:fill="FFFFFF" w:val="clear"/>
              <w:spacing w:before="0" w:after="379"/>
              <w:jc w:val="both"/>
              <w:rPr>
                <w:rFonts w:eastAsia="Arial" w:cs="Arial"/>
                <w:sz w:val="22"/>
                <w:szCs w:val="22"/>
                <w:lang w:val="en-US"/>
              </w:rPr>
            </w:pPr>
            <w:r>
              <w:rPr>
                <w:rFonts w:eastAsia="Arial" w:cs="Arial"/>
                <w:sz w:val="22"/>
                <w:szCs w:val="22"/>
                <w:lang w:val="en-US"/>
              </w:rPr>
              <w:t>We believe in shared solutions, working across sectors and with our communities to achieve common goals and deliver the quality services Oldham deserves.</w:t>
            </w:r>
          </w:p>
        </w:tc>
      </w:tr>
      <w:tr>
        <w:trPr>
          <w:trHeight w:val="518" w:hRule="atLeast"/>
        </w:trPr>
        <w:tc>
          <w:tcPr>
            <w:tcW w:w="10450" w:type="dxa"/>
            <w:tcBorders>
              <w:top w:val="single" w:sz="4" w:space="0" w:color="000000"/>
              <w:left w:val="single" w:sz="4" w:space="0" w:color="000000"/>
              <w:bottom w:val="single" w:sz="4" w:space="0" w:color="000000"/>
              <w:right w:val="single" w:sz="4" w:space="0" w:color="000000"/>
            </w:tcBorders>
            <w:shd w:fill="auto" w:val="clear"/>
          </w:tcPr>
          <w:p>
            <w:pPr>
              <w:pStyle w:val="Normal"/>
              <w:rPr/>
            </w:pPr>
            <w:r>
              <w:rPr>
                <w:rFonts w:eastAsia="Arial" w:cs="Arial"/>
                <w:sz w:val="22"/>
                <w:szCs w:val="22"/>
                <w:lang w:val="en"/>
              </w:rPr>
              <w:t xml:space="preserve">We have </w:t>
            </w:r>
            <w:r>
              <w:rPr>
                <w:rFonts w:eastAsia="Arial" w:cs="Arial"/>
                <w:b/>
                <w:bCs/>
                <w:sz w:val="22"/>
                <w:szCs w:val="22"/>
                <w:lang w:val="en"/>
              </w:rPr>
              <w:t xml:space="preserve">five Behaviours </w:t>
            </w:r>
            <w:r>
              <w:rPr>
                <w:rFonts w:eastAsia="Arial" w:cs="Arial"/>
                <w:sz w:val="22"/>
                <w:szCs w:val="22"/>
                <w:lang w:val="en"/>
              </w:rPr>
              <w:t>which outline the priority areas of focus for staff at all levels:</w:t>
            </w:r>
          </w:p>
          <w:p>
            <w:pPr>
              <w:pStyle w:val="Normal"/>
              <w:rPr>
                <w:rFonts w:eastAsia="Arial" w:cs="Arial"/>
                <w:sz w:val="22"/>
                <w:szCs w:val="22"/>
              </w:rPr>
            </w:pPr>
            <w:r>
              <w:rPr>
                <w:rFonts w:eastAsia="Arial" w:cs="Arial"/>
                <w:sz w:val="22"/>
                <w:szCs w:val="22"/>
              </w:rPr>
            </w:r>
          </w:p>
          <w:p>
            <w:pPr>
              <w:pStyle w:val="ListParagraph"/>
              <w:numPr>
                <w:ilvl w:val="0"/>
                <w:numId w:val="2"/>
              </w:numPr>
              <w:rPr>
                <w:rFonts w:ascii="Arial" w:hAnsi="Arial" w:eastAsia="Arial" w:cs="Arial"/>
              </w:rPr>
            </w:pPr>
            <w:r>
              <w:rPr>
                <w:rFonts w:eastAsia="Arial" w:cs="Arial" w:ascii="Arial" w:hAnsi="Arial"/>
              </w:rPr>
              <w:t>Work with a Resident Focus</w:t>
            </w:r>
          </w:p>
          <w:p>
            <w:pPr>
              <w:pStyle w:val="ListParagraph"/>
              <w:numPr>
                <w:ilvl w:val="0"/>
                <w:numId w:val="2"/>
              </w:numPr>
              <w:rPr>
                <w:rFonts w:ascii="Arial" w:hAnsi="Arial" w:eastAsia="Arial" w:cs="Arial"/>
              </w:rPr>
            </w:pPr>
            <w:r>
              <w:rPr>
                <w:rFonts w:eastAsia="Arial" w:cs="Arial" w:ascii="Arial" w:hAnsi="Arial"/>
              </w:rPr>
              <w:t>Support Local Leaders</w:t>
            </w:r>
          </w:p>
          <w:p>
            <w:pPr>
              <w:pStyle w:val="ListParagraph"/>
              <w:numPr>
                <w:ilvl w:val="0"/>
                <w:numId w:val="2"/>
              </w:numPr>
              <w:rPr>
                <w:rFonts w:ascii="Arial" w:hAnsi="Arial" w:eastAsia="Arial" w:cs="Arial"/>
              </w:rPr>
            </w:pPr>
            <w:r>
              <w:rPr>
                <w:rFonts w:eastAsia="Arial" w:cs="Arial" w:ascii="Arial" w:hAnsi="Arial"/>
              </w:rPr>
              <w:t>Committed to the Borough</w:t>
            </w:r>
          </w:p>
          <w:p>
            <w:pPr>
              <w:pStyle w:val="ListParagraph"/>
              <w:numPr>
                <w:ilvl w:val="0"/>
                <w:numId w:val="2"/>
              </w:numPr>
              <w:rPr>
                <w:rFonts w:ascii="Arial" w:hAnsi="Arial" w:eastAsia="Arial" w:cs="Arial"/>
              </w:rPr>
            </w:pPr>
            <w:r>
              <w:rPr>
                <w:rFonts w:eastAsia="Arial" w:cs="Arial" w:ascii="Arial" w:hAnsi="Arial"/>
              </w:rPr>
              <w:t>Take Ownership and Drive Change</w:t>
            </w:r>
          </w:p>
          <w:p>
            <w:pPr>
              <w:pStyle w:val="ListParagraph"/>
              <w:numPr>
                <w:ilvl w:val="0"/>
                <w:numId w:val="2"/>
              </w:numPr>
              <w:rPr>
                <w:rFonts w:ascii="Arial" w:hAnsi="Arial" w:eastAsia="Arial" w:cs="Arial"/>
              </w:rPr>
            </w:pPr>
            <w:r>
              <w:rPr>
                <w:rFonts w:eastAsia="Arial" w:cs="Arial" w:ascii="Arial" w:hAnsi="Arial"/>
              </w:rPr>
              <w:t xml:space="preserve">Deliver High Performance </w:t>
            </w:r>
          </w:p>
          <w:p>
            <w:pPr>
              <w:pStyle w:val="Normal"/>
              <w:rPr>
                <w:rFonts w:eastAsia="Arial" w:cs="Arial"/>
                <w:sz w:val="22"/>
                <w:szCs w:val="22"/>
              </w:rPr>
            </w:pPr>
            <w:r>
              <w:rPr>
                <w:rFonts w:eastAsia="Arial" w:cs="Arial"/>
                <w:sz w:val="22"/>
                <w:szCs w:val="22"/>
              </w:rPr>
            </w:r>
          </w:p>
          <w:p>
            <w:pPr>
              <w:pStyle w:val="Normal"/>
              <w:rPr/>
            </w:pPr>
            <w:r>
              <w:rPr>
                <w:rFonts w:eastAsia="Arial" w:cs="Arial"/>
                <w:sz w:val="22"/>
                <w:szCs w:val="22"/>
              </w:rPr>
              <w:t xml:space="preserve">More information about our Corporate Plan and our Values and Behaviours can be found on our </w:t>
            </w:r>
            <w:r>
              <w:rPr>
                <w:rStyle w:val="InternetLink"/>
                <w:rFonts w:eastAsia="Arial" w:cs="Arial"/>
                <w:sz w:val="22"/>
                <w:szCs w:val="22"/>
              </w:rPr>
              <w:t>Greater. Jobs pages</w:t>
            </w:r>
            <w:r>
              <w:rPr>
                <w:rFonts w:eastAsia="Arial" w:cs="Arial"/>
                <w:sz w:val="22"/>
                <w:szCs w:val="22"/>
              </w:rPr>
              <w:t xml:space="preserve"> together with information about the staff benefits we offer.</w:t>
            </w:r>
          </w:p>
          <w:p>
            <w:pPr>
              <w:pStyle w:val="Normal"/>
              <w:rPr>
                <w:rFonts w:cs="Arial"/>
                <w:b/>
                <w:b/>
                <w:sz w:val="22"/>
                <w:szCs w:val="22"/>
              </w:rPr>
            </w:pPr>
            <w:r>
              <w:rPr>
                <w:rFonts w:cs="Arial"/>
                <w:b/>
                <w:sz w:val="22"/>
                <w:szCs w:val="22"/>
              </w:rPr>
            </w:r>
          </w:p>
        </w:tc>
      </w:tr>
    </w:tbl>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tbl>
      <w:tblPr>
        <w:tblW w:w="10449" w:type="dxa"/>
        <w:jc w:val="left"/>
        <w:tblInd w:w="-717" w:type="dxa"/>
        <w:tblCellMar>
          <w:top w:w="0" w:type="dxa"/>
          <w:left w:w="108" w:type="dxa"/>
          <w:bottom w:w="0" w:type="dxa"/>
          <w:right w:w="108" w:type="dxa"/>
        </w:tblCellMar>
      </w:tblPr>
      <w:tblGrid>
        <w:gridCol w:w="1620"/>
        <w:gridCol w:w="1800"/>
        <w:gridCol w:w="2160"/>
        <w:gridCol w:w="4869"/>
      </w:tblGrid>
      <w:tr>
        <w:trPr/>
        <w:tc>
          <w:tcPr>
            <w:tcW w:w="1620" w:type="dxa"/>
            <w:tcBorders>
              <w:top w:val="single" w:sz="4" w:space="0" w:color="000000"/>
              <w:left w:val="single" w:sz="4" w:space="0" w:color="000000"/>
              <w:bottom w:val="single" w:sz="4" w:space="0" w:color="000000"/>
            </w:tcBorders>
            <w:shd w:fill="00B3BE" w:val="clear"/>
          </w:tcPr>
          <w:p>
            <w:pPr>
              <w:pStyle w:val="Header"/>
              <w:tabs>
                <w:tab w:val="clear" w:pos="4153"/>
                <w:tab w:val="clear" w:pos="8306"/>
              </w:tabs>
              <w:snapToGrid w:val="false"/>
              <w:spacing w:before="60" w:after="60"/>
              <w:rPr>
                <w:rFonts w:cs="Arial"/>
                <w:szCs w:val="22"/>
              </w:rPr>
            </w:pPr>
            <w:r>
              <w:rPr>
                <w:rFonts w:cs="Arial"/>
                <w:szCs w:val="22"/>
              </w:rPr>
            </w:r>
          </w:p>
        </w:tc>
        <w:tc>
          <w:tcPr>
            <w:tcW w:w="1800" w:type="dxa"/>
            <w:tcBorders>
              <w:top w:val="single" w:sz="4" w:space="0" w:color="000000"/>
              <w:left w:val="single" w:sz="4" w:space="0" w:color="000000"/>
              <w:bottom w:val="single" w:sz="4" w:space="0" w:color="000000"/>
            </w:tcBorders>
            <w:shd w:fill="00B3BE" w:val="clear"/>
          </w:tcPr>
          <w:p>
            <w:pPr>
              <w:pStyle w:val="Normal"/>
              <w:spacing w:before="60" w:after="60"/>
              <w:jc w:val="center"/>
              <w:rPr>
                <w:rFonts w:cs="Arial"/>
                <w:b/>
                <w:b/>
                <w:sz w:val="22"/>
                <w:szCs w:val="22"/>
              </w:rPr>
            </w:pPr>
            <w:r>
              <w:rPr>
                <w:rFonts w:cs="Arial"/>
                <w:b/>
                <w:sz w:val="22"/>
                <w:szCs w:val="22"/>
              </w:rPr>
              <w:t>DATE</w:t>
            </w:r>
          </w:p>
        </w:tc>
        <w:tc>
          <w:tcPr>
            <w:tcW w:w="2160" w:type="dxa"/>
            <w:tcBorders>
              <w:top w:val="single" w:sz="4" w:space="0" w:color="000000"/>
              <w:left w:val="single" w:sz="4" w:space="0" w:color="000000"/>
              <w:bottom w:val="single" w:sz="4" w:space="0" w:color="000000"/>
            </w:tcBorders>
            <w:shd w:fill="00B3BE" w:val="clear"/>
          </w:tcPr>
          <w:p>
            <w:pPr>
              <w:pStyle w:val="Normal"/>
              <w:spacing w:before="60" w:after="60"/>
              <w:jc w:val="center"/>
              <w:rPr>
                <w:rFonts w:cs="Arial"/>
                <w:b/>
                <w:b/>
                <w:sz w:val="22"/>
                <w:szCs w:val="22"/>
              </w:rPr>
            </w:pPr>
            <w:r>
              <w:rPr>
                <w:rFonts w:cs="Arial"/>
                <w:b/>
                <w:sz w:val="22"/>
                <w:szCs w:val="22"/>
              </w:rPr>
              <w:t>NAME</w:t>
            </w:r>
          </w:p>
        </w:tc>
        <w:tc>
          <w:tcPr>
            <w:tcW w:w="4869" w:type="dxa"/>
            <w:tcBorders>
              <w:top w:val="single" w:sz="4" w:space="0" w:color="000000"/>
              <w:left w:val="single" w:sz="4" w:space="0" w:color="000000"/>
              <w:bottom w:val="single" w:sz="4" w:space="0" w:color="000000"/>
              <w:right w:val="single" w:sz="4" w:space="0" w:color="000000"/>
            </w:tcBorders>
            <w:shd w:fill="00B3BE" w:val="clear"/>
          </w:tcPr>
          <w:p>
            <w:pPr>
              <w:pStyle w:val="Normal"/>
              <w:spacing w:before="60" w:after="60"/>
              <w:jc w:val="center"/>
              <w:rPr>
                <w:rFonts w:cs="Arial"/>
                <w:b/>
                <w:b/>
                <w:sz w:val="22"/>
                <w:szCs w:val="22"/>
              </w:rPr>
            </w:pPr>
            <w:r>
              <w:rPr>
                <w:rFonts w:cs="Arial"/>
                <w:b/>
                <w:sz w:val="22"/>
                <w:szCs w:val="22"/>
              </w:rPr>
              <w:t>POST TITLE</w:t>
            </w:r>
          </w:p>
        </w:tc>
      </w:tr>
      <w:tr>
        <w:trPr/>
        <w:tc>
          <w:tcPr>
            <w:tcW w:w="1620" w:type="dxa"/>
            <w:tcBorders>
              <w:top w:val="single" w:sz="4" w:space="0" w:color="000000"/>
              <w:left w:val="single" w:sz="4" w:space="0" w:color="000000"/>
              <w:bottom w:val="single" w:sz="4" w:space="0" w:color="000000"/>
            </w:tcBorders>
            <w:shd w:fill="auto" w:val="clear"/>
          </w:tcPr>
          <w:p>
            <w:pPr>
              <w:pStyle w:val="Normal"/>
              <w:spacing w:before="60" w:after="60"/>
              <w:rPr>
                <w:rFonts w:cs="Arial"/>
                <w:b/>
                <w:b/>
                <w:sz w:val="22"/>
                <w:szCs w:val="22"/>
              </w:rPr>
            </w:pPr>
            <w:r>
              <w:rPr>
                <w:rFonts w:cs="Arial"/>
                <w:b/>
                <w:sz w:val="22"/>
                <w:szCs w:val="22"/>
              </w:rPr>
              <w:t>Prepared</w:t>
            </w:r>
          </w:p>
        </w:tc>
        <w:tc>
          <w:tcPr>
            <w:tcW w:w="1800" w:type="dxa"/>
            <w:tcBorders>
              <w:top w:val="single" w:sz="4" w:space="0" w:color="000000"/>
              <w:left w:val="single" w:sz="4" w:space="0" w:color="000000"/>
              <w:bottom w:val="single" w:sz="4" w:space="0" w:color="000000"/>
            </w:tcBorders>
            <w:shd w:fill="auto" w:val="clear"/>
          </w:tcPr>
          <w:p>
            <w:pPr>
              <w:pStyle w:val="Normal"/>
              <w:spacing w:before="60" w:after="60"/>
              <w:rPr>
                <w:rFonts w:cs="Arial"/>
                <w:sz w:val="22"/>
                <w:szCs w:val="22"/>
              </w:rPr>
            </w:pPr>
            <w:r>
              <w:rPr>
                <w:rFonts w:cs="Arial"/>
                <w:sz w:val="22"/>
                <w:szCs w:val="22"/>
              </w:rPr>
              <w:t xml:space="preserve">03.08.2026 </w:t>
            </w:r>
          </w:p>
        </w:tc>
        <w:tc>
          <w:tcPr>
            <w:tcW w:w="2160" w:type="dxa"/>
            <w:tcBorders>
              <w:top w:val="single" w:sz="4" w:space="0" w:color="000000"/>
              <w:left w:val="single" w:sz="4" w:space="0" w:color="000000"/>
              <w:bottom w:val="single" w:sz="4" w:space="0" w:color="000000"/>
            </w:tcBorders>
            <w:shd w:fill="auto" w:val="clear"/>
          </w:tcPr>
          <w:p>
            <w:pPr>
              <w:pStyle w:val="Normal"/>
              <w:spacing w:before="60" w:after="60"/>
              <w:rPr>
                <w:rFonts w:cs="Arial"/>
                <w:sz w:val="22"/>
                <w:szCs w:val="22"/>
              </w:rPr>
            </w:pPr>
            <w:r>
              <w:rPr>
                <w:rFonts w:cs="Arial"/>
                <w:sz w:val="22"/>
                <w:szCs w:val="22"/>
              </w:rPr>
              <w:t xml:space="preserve">Martine Lewis </w:t>
            </w:r>
          </w:p>
        </w:tc>
        <w:tc>
          <w:tcPr>
            <w:tcW w:w="4869"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60" w:after="60"/>
              <w:rPr>
                <w:rFonts w:cs="Arial"/>
                <w:sz w:val="22"/>
                <w:szCs w:val="22"/>
              </w:rPr>
            </w:pPr>
            <w:r>
              <w:rPr>
                <w:rFonts w:cs="Arial"/>
                <w:sz w:val="22"/>
                <w:szCs w:val="22"/>
              </w:rPr>
              <w:t>Principal Social Worker</w:t>
            </w:r>
          </w:p>
        </w:tc>
      </w:tr>
      <w:tr>
        <w:trPr/>
        <w:tc>
          <w:tcPr>
            <w:tcW w:w="1620" w:type="dxa"/>
            <w:tcBorders>
              <w:top w:val="single" w:sz="4" w:space="0" w:color="000000"/>
              <w:left w:val="single" w:sz="4" w:space="0" w:color="000000"/>
              <w:bottom w:val="single" w:sz="4" w:space="0" w:color="000000"/>
            </w:tcBorders>
            <w:shd w:fill="auto" w:val="clear"/>
          </w:tcPr>
          <w:p>
            <w:pPr>
              <w:pStyle w:val="Normal"/>
              <w:spacing w:before="60" w:after="60"/>
              <w:rPr>
                <w:rFonts w:cs="Arial"/>
                <w:b/>
                <w:b/>
                <w:sz w:val="22"/>
                <w:szCs w:val="22"/>
              </w:rPr>
            </w:pPr>
            <w:r>
              <w:rPr>
                <w:rFonts w:cs="Arial"/>
                <w:b/>
                <w:sz w:val="22"/>
                <w:szCs w:val="22"/>
              </w:rPr>
              <w:t>Reviewed</w:t>
            </w:r>
          </w:p>
        </w:tc>
        <w:tc>
          <w:tcPr>
            <w:tcW w:w="1800" w:type="dxa"/>
            <w:tcBorders>
              <w:top w:val="single" w:sz="4" w:space="0" w:color="000000"/>
              <w:left w:val="single" w:sz="4" w:space="0" w:color="000000"/>
              <w:bottom w:val="single" w:sz="4" w:space="0" w:color="000000"/>
            </w:tcBorders>
            <w:shd w:fill="auto" w:val="clear"/>
          </w:tcPr>
          <w:p>
            <w:pPr>
              <w:pStyle w:val="Normal"/>
              <w:snapToGrid w:val="false"/>
              <w:spacing w:before="60" w:after="60"/>
              <w:rPr>
                <w:rFonts w:cs="Arial"/>
                <w:sz w:val="22"/>
                <w:szCs w:val="22"/>
              </w:rPr>
            </w:pPr>
            <w:r>
              <w:rPr>
                <w:rFonts w:cs="Arial"/>
                <w:sz w:val="22"/>
                <w:szCs w:val="22"/>
              </w:rPr>
            </w:r>
          </w:p>
        </w:tc>
        <w:tc>
          <w:tcPr>
            <w:tcW w:w="2160" w:type="dxa"/>
            <w:tcBorders>
              <w:top w:val="single" w:sz="4" w:space="0" w:color="000000"/>
              <w:left w:val="single" w:sz="4" w:space="0" w:color="000000"/>
              <w:bottom w:val="single" w:sz="4" w:space="0" w:color="000000"/>
            </w:tcBorders>
            <w:shd w:fill="auto" w:val="clear"/>
          </w:tcPr>
          <w:p>
            <w:pPr>
              <w:pStyle w:val="Normal"/>
              <w:snapToGrid w:val="false"/>
              <w:spacing w:before="60" w:after="60"/>
              <w:rPr>
                <w:rFonts w:cs="Arial"/>
                <w:sz w:val="22"/>
                <w:szCs w:val="22"/>
              </w:rPr>
            </w:pPr>
            <w:r>
              <w:rPr>
                <w:rFonts w:cs="Arial"/>
                <w:sz w:val="22"/>
                <w:szCs w:val="22"/>
              </w:rPr>
            </w:r>
          </w:p>
        </w:tc>
        <w:tc>
          <w:tcPr>
            <w:tcW w:w="4869"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60" w:after="60"/>
              <w:rPr>
                <w:rFonts w:cs="Arial"/>
                <w:sz w:val="22"/>
                <w:szCs w:val="22"/>
              </w:rPr>
            </w:pPr>
            <w:r>
              <w:rPr>
                <w:rFonts w:cs="Arial"/>
                <w:sz w:val="22"/>
                <w:szCs w:val="22"/>
              </w:rPr>
            </w:r>
          </w:p>
        </w:tc>
      </w:tr>
      <w:tr>
        <w:trPr/>
        <w:tc>
          <w:tcPr>
            <w:tcW w:w="1620" w:type="dxa"/>
            <w:tcBorders>
              <w:top w:val="single" w:sz="4" w:space="0" w:color="000000"/>
              <w:left w:val="single" w:sz="4" w:space="0" w:color="000000"/>
              <w:bottom w:val="single" w:sz="4" w:space="0" w:color="000000"/>
            </w:tcBorders>
            <w:shd w:fill="auto" w:val="clear"/>
          </w:tcPr>
          <w:p>
            <w:pPr>
              <w:pStyle w:val="Normal"/>
              <w:spacing w:before="60" w:after="60"/>
              <w:rPr>
                <w:rFonts w:cs="Arial"/>
                <w:b/>
                <w:b/>
                <w:sz w:val="22"/>
                <w:szCs w:val="22"/>
              </w:rPr>
            </w:pPr>
            <w:r>
              <w:rPr>
                <w:rFonts w:cs="Arial"/>
                <w:b/>
                <w:sz w:val="22"/>
                <w:szCs w:val="22"/>
              </w:rPr>
              <w:t>Reviewed</w:t>
            </w:r>
          </w:p>
        </w:tc>
        <w:tc>
          <w:tcPr>
            <w:tcW w:w="1800" w:type="dxa"/>
            <w:tcBorders>
              <w:top w:val="single" w:sz="4" w:space="0" w:color="000000"/>
              <w:left w:val="single" w:sz="4" w:space="0" w:color="000000"/>
              <w:bottom w:val="single" w:sz="4" w:space="0" w:color="000000"/>
            </w:tcBorders>
            <w:shd w:fill="auto" w:val="clear"/>
          </w:tcPr>
          <w:p>
            <w:pPr>
              <w:pStyle w:val="Normal"/>
              <w:snapToGrid w:val="false"/>
              <w:spacing w:before="60" w:after="60"/>
              <w:rPr>
                <w:rFonts w:cs="Arial"/>
                <w:sz w:val="22"/>
                <w:szCs w:val="22"/>
              </w:rPr>
            </w:pPr>
            <w:r>
              <w:rPr>
                <w:rFonts w:cs="Arial"/>
                <w:sz w:val="22"/>
                <w:szCs w:val="22"/>
              </w:rPr>
            </w:r>
          </w:p>
        </w:tc>
        <w:tc>
          <w:tcPr>
            <w:tcW w:w="2160" w:type="dxa"/>
            <w:tcBorders>
              <w:top w:val="single" w:sz="4" w:space="0" w:color="000000"/>
              <w:left w:val="single" w:sz="4" w:space="0" w:color="000000"/>
              <w:bottom w:val="single" w:sz="4" w:space="0" w:color="000000"/>
            </w:tcBorders>
            <w:shd w:fill="auto" w:val="clear"/>
          </w:tcPr>
          <w:p>
            <w:pPr>
              <w:pStyle w:val="Normal"/>
              <w:snapToGrid w:val="false"/>
              <w:spacing w:before="60" w:after="60"/>
              <w:rPr>
                <w:rFonts w:cs="Arial"/>
                <w:sz w:val="22"/>
                <w:szCs w:val="22"/>
              </w:rPr>
            </w:pPr>
            <w:r>
              <w:rPr>
                <w:rFonts w:cs="Arial"/>
                <w:sz w:val="22"/>
                <w:szCs w:val="22"/>
              </w:rPr>
            </w:r>
          </w:p>
        </w:tc>
        <w:tc>
          <w:tcPr>
            <w:tcW w:w="4869"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60" w:after="60"/>
              <w:rPr>
                <w:rFonts w:cs="Arial"/>
                <w:sz w:val="22"/>
                <w:szCs w:val="22"/>
              </w:rPr>
            </w:pPr>
            <w:r>
              <w:rPr>
                <w:rFonts w:cs="Arial"/>
                <w:sz w:val="22"/>
                <w:szCs w:val="22"/>
              </w:rPr>
            </w:r>
          </w:p>
        </w:tc>
      </w:tr>
    </w:tbl>
    <w:p>
      <w:pPr>
        <w:pStyle w:val="Normal"/>
        <w:jc w:val="center"/>
        <w:rPr>
          <w:rFonts w:cs="Arial"/>
          <w:b/>
          <w:b/>
          <w:bCs/>
          <w:sz w:val="22"/>
          <w:szCs w:val="22"/>
          <w:u w:val="single"/>
        </w:rPr>
      </w:pPr>
      <w:r>
        <w:br w:type="page"/>
      </w:r>
      <w:r>
        <w:rPr>
          <w:rFonts w:cs="Arial"/>
          <w:b/>
          <w:bCs/>
          <w:sz w:val="22"/>
          <w:szCs w:val="22"/>
          <w:u w:val="single"/>
        </w:rPr>
        <w:t>OLDHAM COUNCIL</w:t>
      </w:r>
    </w:p>
    <w:p>
      <w:pPr>
        <w:pStyle w:val="Normal"/>
        <w:jc w:val="center"/>
        <w:rPr>
          <w:rFonts w:cs="Arial"/>
          <w:b/>
          <w:b/>
          <w:bCs/>
          <w:sz w:val="22"/>
          <w:szCs w:val="22"/>
          <w:u w:val="single"/>
        </w:rPr>
      </w:pPr>
      <w:r>
        <w:rPr>
          <w:rFonts w:cs="Arial"/>
          <w:b/>
          <w:bCs/>
          <w:sz w:val="22"/>
          <w:szCs w:val="22"/>
          <w:u w:val="single"/>
        </w:rPr>
      </w:r>
    </w:p>
    <w:p>
      <w:pPr>
        <w:pStyle w:val="Normal"/>
        <w:jc w:val="center"/>
        <w:rPr>
          <w:rFonts w:cs="Arial"/>
          <w:b/>
          <w:b/>
          <w:bCs/>
          <w:sz w:val="22"/>
          <w:szCs w:val="22"/>
          <w:u w:val="single"/>
        </w:rPr>
      </w:pPr>
      <w:r>
        <w:rPr>
          <w:rFonts w:cs="Arial"/>
          <w:b/>
          <w:bCs/>
          <w:sz w:val="22"/>
          <w:szCs w:val="22"/>
          <w:u w:val="single"/>
        </w:rPr>
        <w:t>PERSON SPECIFICATION</w:t>
      </w:r>
    </w:p>
    <w:p>
      <w:pPr>
        <w:pStyle w:val="Normal"/>
        <w:rPr>
          <w:rFonts w:cs="Arial"/>
          <w:bCs/>
          <w:sz w:val="22"/>
          <w:szCs w:val="22"/>
        </w:rPr>
      </w:pPr>
      <w:r>
        <w:rPr>
          <w:rFonts w:cs="Arial"/>
          <w:bCs/>
          <w:sz w:val="22"/>
          <w:szCs w:val="22"/>
        </w:rPr>
      </w:r>
    </w:p>
    <w:p>
      <w:pPr>
        <w:pStyle w:val="Endnote"/>
        <w:rPr>
          <w:rFonts w:ascii="Arial" w:hAnsi="Arial" w:cs="Arial"/>
          <w:b/>
          <w:b/>
          <w:bCs/>
          <w:sz w:val="22"/>
          <w:szCs w:val="22"/>
        </w:rPr>
      </w:pPr>
      <w:r>
        <w:rPr>
          <w:rFonts w:cs="Arial" w:ascii="Arial" w:hAnsi="Arial"/>
          <w:b/>
          <w:bCs/>
          <w:sz w:val="22"/>
          <w:szCs w:val="22"/>
        </w:rPr>
      </w:r>
    </w:p>
    <w:p>
      <w:pPr>
        <w:pStyle w:val="Endnote"/>
        <w:rPr/>
      </w:pPr>
      <w:r>
        <w:rPr>
          <w:rFonts w:cs="Arial" w:ascii="Arial" w:hAnsi="Arial"/>
          <w:b/>
          <w:bCs/>
          <w:sz w:val="22"/>
          <w:szCs w:val="22"/>
        </w:rPr>
        <w:t xml:space="preserve">Job Title: </w:t>
      </w:r>
      <w:r>
        <w:rPr>
          <w:rFonts w:cs="Arial" w:ascii="Arial" w:hAnsi="Arial"/>
          <w:sz w:val="22"/>
          <w:szCs w:val="22"/>
        </w:rPr>
        <w:t>Family Help Engagement Officer</w:t>
      </w:r>
    </w:p>
    <w:p>
      <w:pPr>
        <w:pStyle w:val="Normal"/>
        <w:rPr>
          <w:rFonts w:cs="Arial"/>
          <w:sz w:val="22"/>
          <w:szCs w:val="22"/>
        </w:rPr>
      </w:pPr>
      <w:r>
        <w:rPr>
          <w:rFonts w:cs="Arial"/>
          <w:sz w:val="22"/>
          <w:szCs w:val="22"/>
        </w:rPr>
      </w:r>
    </w:p>
    <w:tbl>
      <w:tblPr>
        <w:tblW w:w="10449" w:type="dxa"/>
        <w:jc w:val="left"/>
        <w:tblInd w:w="-717" w:type="dxa"/>
        <w:tblCellMar>
          <w:top w:w="0" w:type="dxa"/>
          <w:left w:w="108" w:type="dxa"/>
          <w:bottom w:w="0" w:type="dxa"/>
          <w:right w:w="108" w:type="dxa"/>
        </w:tblCellMar>
      </w:tblPr>
      <w:tblGrid>
        <w:gridCol w:w="1964"/>
        <w:gridCol w:w="3795"/>
        <w:gridCol w:w="3060"/>
        <w:gridCol w:w="1630"/>
      </w:tblGrid>
      <w:tr>
        <w:trPr>
          <w:trHeight w:val="1000" w:hRule="atLeast"/>
        </w:trPr>
        <w:tc>
          <w:tcPr>
            <w:tcW w:w="1964" w:type="dxa"/>
            <w:tcBorders>
              <w:top w:val="single" w:sz="4" w:space="0" w:color="000000"/>
              <w:left w:val="single" w:sz="4" w:space="0" w:color="000000"/>
              <w:bottom w:val="single" w:sz="4" w:space="0" w:color="000000"/>
            </w:tcBorders>
            <w:shd w:fill="00B3BE" w:val="clear"/>
          </w:tcPr>
          <w:p>
            <w:pPr>
              <w:pStyle w:val="Normal"/>
              <w:snapToGrid w:val="false"/>
              <w:rPr>
                <w:rFonts w:cs="Arial"/>
                <w:b/>
                <w:b/>
                <w:bCs/>
                <w:sz w:val="22"/>
                <w:szCs w:val="22"/>
              </w:rPr>
            </w:pPr>
            <w:r>
              <w:rPr>
                <w:rFonts w:cs="Arial"/>
                <w:b/>
                <w:bCs/>
                <w:sz w:val="22"/>
                <w:szCs w:val="22"/>
              </w:rPr>
            </w:r>
          </w:p>
        </w:tc>
        <w:tc>
          <w:tcPr>
            <w:tcW w:w="3795" w:type="dxa"/>
            <w:tcBorders>
              <w:top w:val="single" w:sz="4" w:space="0" w:color="000000"/>
              <w:left w:val="single" w:sz="4" w:space="0" w:color="000000"/>
              <w:bottom w:val="single" w:sz="4" w:space="0" w:color="000000"/>
            </w:tcBorders>
            <w:shd w:fill="00B3BE" w:val="clear"/>
          </w:tcPr>
          <w:p>
            <w:pPr>
              <w:pStyle w:val="Normal"/>
              <w:snapToGrid w:val="false"/>
              <w:jc w:val="center"/>
              <w:rPr>
                <w:rFonts w:cs="Arial"/>
                <w:b/>
                <w:b/>
                <w:bCs/>
                <w:sz w:val="22"/>
                <w:szCs w:val="22"/>
              </w:rPr>
            </w:pPr>
            <w:r>
              <w:rPr>
                <w:rFonts w:cs="Arial"/>
                <w:b/>
                <w:bCs/>
                <w:sz w:val="22"/>
                <w:szCs w:val="22"/>
              </w:rPr>
            </w:r>
          </w:p>
          <w:p>
            <w:pPr>
              <w:pStyle w:val="Normal"/>
              <w:jc w:val="center"/>
              <w:rPr>
                <w:rFonts w:cs="Arial"/>
                <w:b/>
                <w:b/>
                <w:bCs/>
                <w:sz w:val="22"/>
                <w:szCs w:val="22"/>
              </w:rPr>
            </w:pPr>
            <w:r>
              <w:rPr>
                <w:rFonts w:cs="Arial"/>
                <w:b/>
                <w:bCs/>
                <w:sz w:val="22"/>
                <w:szCs w:val="22"/>
              </w:rPr>
              <w:t xml:space="preserve">Selection criteria </w:t>
            </w:r>
          </w:p>
          <w:p>
            <w:pPr>
              <w:pStyle w:val="Normal"/>
              <w:jc w:val="center"/>
              <w:rPr>
                <w:rFonts w:cs="Arial"/>
                <w:b/>
                <w:b/>
                <w:bCs/>
                <w:sz w:val="22"/>
                <w:szCs w:val="22"/>
              </w:rPr>
            </w:pPr>
            <w:r>
              <w:rPr>
                <w:rFonts w:cs="Arial"/>
                <w:b/>
                <w:bCs/>
                <w:sz w:val="22"/>
                <w:szCs w:val="22"/>
              </w:rPr>
              <w:t>(Essential)</w:t>
            </w:r>
          </w:p>
        </w:tc>
        <w:tc>
          <w:tcPr>
            <w:tcW w:w="3060" w:type="dxa"/>
            <w:tcBorders>
              <w:top w:val="single" w:sz="4" w:space="0" w:color="000000"/>
              <w:left w:val="single" w:sz="4" w:space="0" w:color="000000"/>
              <w:bottom w:val="single" w:sz="4" w:space="0" w:color="000000"/>
            </w:tcBorders>
            <w:shd w:fill="00B3BE" w:val="clear"/>
          </w:tcPr>
          <w:p>
            <w:pPr>
              <w:pStyle w:val="Normal"/>
              <w:snapToGrid w:val="false"/>
              <w:jc w:val="center"/>
              <w:rPr>
                <w:rFonts w:cs="Arial"/>
                <w:b/>
                <w:b/>
                <w:bCs/>
                <w:sz w:val="22"/>
                <w:szCs w:val="22"/>
              </w:rPr>
            </w:pPr>
            <w:r>
              <w:rPr>
                <w:rFonts w:cs="Arial"/>
                <w:b/>
                <w:bCs/>
                <w:sz w:val="22"/>
                <w:szCs w:val="22"/>
              </w:rPr>
            </w:r>
          </w:p>
          <w:p>
            <w:pPr>
              <w:pStyle w:val="Normal"/>
              <w:jc w:val="center"/>
              <w:rPr>
                <w:rFonts w:cs="Arial"/>
                <w:b/>
                <w:b/>
                <w:bCs/>
                <w:sz w:val="22"/>
                <w:szCs w:val="22"/>
              </w:rPr>
            </w:pPr>
            <w:r>
              <w:rPr>
                <w:rFonts w:cs="Arial"/>
                <w:b/>
                <w:bCs/>
                <w:sz w:val="22"/>
                <w:szCs w:val="22"/>
              </w:rPr>
              <w:t xml:space="preserve">Selection criteria </w:t>
            </w:r>
          </w:p>
          <w:p>
            <w:pPr>
              <w:pStyle w:val="Normal"/>
              <w:jc w:val="center"/>
              <w:rPr>
                <w:rFonts w:cs="Arial"/>
                <w:b/>
                <w:b/>
                <w:bCs/>
                <w:sz w:val="22"/>
                <w:szCs w:val="22"/>
              </w:rPr>
            </w:pPr>
            <w:r>
              <w:rPr>
                <w:rFonts w:cs="Arial"/>
                <w:b/>
                <w:bCs/>
                <w:sz w:val="22"/>
                <w:szCs w:val="22"/>
              </w:rPr>
              <w:t>(Desirable)</w:t>
            </w:r>
          </w:p>
          <w:p>
            <w:pPr>
              <w:pStyle w:val="Normal"/>
              <w:jc w:val="center"/>
              <w:rPr>
                <w:rFonts w:cs="Arial"/>
                <w:b/>
                <w:b/>
                <w:bCs/>
                <w:sz w:val="22"/>
                <w:szCs w:val="22"/>
              </w:rPr>
            </w:pPr>
            <w:r>
              <w:rPr>
                <w:rFonts w:cs="Arial"/>
                <w:b/>
                <w:bCs/>
                <w:sz w:val="22"/>
                <w:szCs w:val="22"/>
              </w:rPr>
            </w:r>
          </w:p>
        </w:tc>
        <w:tc>
          <w:tcPr>
            <w:tcW w:w="1630" w:type="dxa"/>
            <w:tcBorders>
              <w:top w:val="single" w:sz="4" w:space="0" w:color="000000"/>
              <w:left w:val="single" w:sz="4" w:space="0" w:color="000000"/>
              <w:bottom w:val="single" w:sz="4" w:space="0" w:color="000000"/>
              <w:right w:val="single" w:sz="4" w:space="0" w:color="000000"/>
            </w:tcBorders>
            <w:shd w:fill="00B3BE" w:val="clear"/>
          </w:tcPr>
          <w:p>
            <w:pPr>
              <w:pStyle w:val="Normal"/>
              <w:snapToGrid w:val="false"/>
              <w:jc w:val="center"/>
              <w:rPr>
                <w:rFonts w:cs="Arial"/>
                <w:b/>
                <w:b/>
                <w:bCs/>
                <w:sz w:val="22"/>
                <w:szCs w:val="22"/>
              </w:rPr>
            </w:pPr>
            <w:r>
              <w:rPr>
                <w:rFonts w:cs="Arial"/>
                <w:b/>
                <w:bCs/>
                <w:sz w:val="22"/>
                <w:szCs w:val="22"/>
              </w:rPr>
            </w:r>
          </w:p>
          <w:p>
            <w:pPr>
              <w:pStyle w:val="Normal"/>
              <w:jc w:val="center"/>
              <w:rPr>
                <w:rFonts w:cs="Arial"/>
                <w:b/>
                <w:b/>
                <w:bCs/>
                <w:sz w:val="22"/>
                <w:szCs w:val="22"/>
              </w:rPr>
            </w:pPr>
            <w:r>
              <w:rPr>
                <w:rFonts w:cs="Arial"/>
                <w:b/>
                <w:bCs/>
                <w:sz w:val="22"/>
                <w:szCs w:val="22"/>
              </w:rPr>
              <w:t>How Assessed</w:t>
            </w:r>
          </w:p>
        </w:tc>
      </w:tr>
      <w:tr>
        <w:trPr/>
        <w:tc>
          <w:tcPr>
            <w:tcW w:w="1964" w:type="dxa"/>
            <w:tcBorders>
              <w:top w:val="single" w:sz="4" w:space="0" w:color="000000"/>
              <w:left w:val="single" w:sz="4" w:space="0" w:color="000000"/>
              <w:bottom w:val="single" w:sz="4" w:space="0" w:color="000000"/>
            </w:tcBorders>
            <w:shd w:fill="00B3BE" w:val="clear"/>
          </w:tcPr>
          <w:p>
            <w:pPr>
              <w:pStyle w:val="Normal"/>
              <w:snapToGrid w:val="false"/>
              <w:rPr>
                <w:rFonts w:cs="Arial"/>
                <w:b/>
                <w:b/>
                <w:bCs/>
                <w:sz w:val="22"/>
                <w:szCs w:val="22"/>
              </w:rPr>
            </w:pPr>
            <w:r>
              <w:rPr>
                <w:rFonts w:cs="Arial"/>
                <w:b/>
                <w:bCs/>
                <w:sz w:val="22"/>
                <w:szCs w:val="22"/>
              </w:rPr>
            </w:r>
          </w:p>
          <w:p>
            <w:pPr>
              <w:pStyle w:val="TextBody"/>
              <w:rPr>
                <w:rFonts w:cs="Arial"/>
                <w:bCs/>
                <w:szCs w:val="22"/>
              </w:rPr>
            </w:pPr>
            <w:r>
              <w:rPr>
                <w:rFonts w:cs="Arial"/>
                <w:bCs/>
                <w:szCs w:val="22"/>
              </w:rPr>
              <w:t>Education &amp; Qualifications</w:t>
            </w:r>
          </w:p>
          <w:p>
            <w:pPr>
              <w:pStyle w:val="Normal"/>
              <w:rPr>
                <w:rFonts w:cs="Arial"/>
                <w:b/>
                <w:b/>
                <w:bCs/>
                <w:sz w:val="22"/>
                <w:szCs w:val="22"/>
              </w:rPr>
            </w:pPr>
            <w:r>
              <w:rPr>
                <w:rFonts w:cs="Arial"/>
                <w:b/>
                <w:bCs/>
                <w:sz w:val="22"/>
                <w:szCs w:val="22"/>
              </w:rPr>
            </w:r>
          </w:p>
        </w:tc>
        <w:tc>
          <w:tcPr>
            <w:tcW w:w="3795" w:type="dxa"/>
            <w:tcBorders>
              <w:top w:val="single" w:sz="4" w:space="0" w:color="000000"/>
              <w:left w:val="single" w:sz="4" w:space="0" w:color="000000"/>
              <w:bottom w:val="single" w:sz="4" w:space="0" w:color="000000"/>
            </w:tcBorders>
            <w:shd w:fill="auto" w:val="clear"/>
          </w:tcPr>
          <w:p>
            <w:pPr>
              <w:pStyle w:val="Normal"/>
              <w:snapToGrid w:val="false"/>
              <w:rPr>
                <w:rFonts w:cs="Arial"/>
                <w:b/>
                <w:b/>
                <w:bCs/>
                <w:sz w:val="22"/>
                <w:szCs w:val="22"/>
              </w:rPr>
            </w:pPr>
            <w:r>
              <w:rPr>
                <w:rFonts w:cs="Arial"/>
                <w:b/>
                <w:bCs/>
                <w:sz w:val="22"/>
                <w:szCs w:val="22"/>
              </w:rPr>
            </w:r>
          </w:p>
          <w:p>
            <w:pPr>
              <w:pStyle w:val="Header"/>
              <w:tabs>
                <w:tab w:val="clear" w:pos="4153"/>
                <w:tab w:val="clear" w:pos="8306"/>
              </w:tabs>
              <w:spacing w:lineRule="auto" w:line="276"/>
              <w:rPr/>
            </w:pPr>
            <w:r>
              <w:rPr>
                <w:szCs w:val="22"/>
                <w:lang w:val="en-US"/>
              </w:rPr>
              <w:t>Level 3 qualification in a relevant area such as children and families, youth work, education, community development, health or social care, or equivalent relevant experience demonstrating work at the required level.</w:t>
            </w:r>
            <w:r>
              <w:rPr>
                <w:szCs w:val="22"/>
              </w:rPr>
              <w:t> </w:t>
            </w:r>
          </w:p>
          <w:p>
            <w:pPr>
              <w:pStyle w:val="Header"/>
              <w:tabs>
                <w:tab w:val="clear" w:pos="4153"/>
                <w:tab w:val="clear" w:pos="8306"/>
              </w:tabs>
              <w:spacing w:lineRule="auto" w:line="276"/>
              <w:rPr>
                <w:szCs w:val="22"/>
              </w:rPr>
            </w:pPr>
            <w:r>
              <w:rPr>
                <w:szCs w:val="22"/>
              </w:rPr>
            </w:r>
          </w:p>
          <w:p>
            <w:pPr>
              <w:pStyle w:val="Normal"/>
              <w:rPr>
                <w:rFonts w:cs="Arial"/>
                <w:sz w:val="22"/>
                <w:szCs w:val="22"/>
              </w:rPr>
            </w:pPr>
            <w:r>
              <w:rPr>
                <w:rFonts w:cs="Arial"/>
                <w:sz w:val="22"/>
                <w:szCs w:val="22"/>
              </w:rPr>
            </w:r>
          </w:p>
        </w:tc>
        <w:tc>
          <w:tcPr>
            <w:tcW w:w="3060" w:type="dxa"/>
            <w:tcBorders>
              <w:top w:val="single" w:sz="4" w:space="0" w:color="000000"/>
              <w:left w:val="single" w:sz="4" w:space="0" w:color="000000"/>
              <w:bottom w:val="single" w:sz="4" w:space="0" w:color="000000"/>
            </w:tcBorders>
            <w:shd w:fill="auto" w:val="clear"/>
          </w:tcPr>
          <w:p>
            <w:pPr>
              <w:pStyle w:val="Header"/>
              <w:tabs>
                <w:tab w:val="clear" w:pos="4153"/>
                <w:tab w:val="clear" w:pos="8306"/>
              </w:tabs>
              <w:spacing w:lineRule="auto" w:line="276"/>
              <w:rPr/>
            </w:pPr>
            <w:r>
              <w:rPr>
                <w:lang w:val="en-US"/>
              </w:rPr>
              <w:t>Relevant Level 4 qualification, motivational interviewing, restorative practice, trauma-informed practice, youth work, mediation, family support or community engagement training.</w:t>
            </w:r>
            <w:r>
              <w:rPr/>
              <w:t> </w:t>
            </w:r>
          </w:p>
          <w:p>
            <w:pPr>
              <w:pStyle w:val="Header"/>
              <w:tabs>
                <w:tab w:val="clear" w:pos="4153"/>
                <w:tab w:val="clear" w:pos="8306"/>
              </w:tabs>
              <w:jc w:val="center"/>
              <w:rPr>
                <w:rFonts w:cs="Arial"/>
              </w:rPr>
            </w:pPr>
            <w:r>
              <w:rPr>
                <w:rFonts w:cs="Arial"/>
              </w:rPr>
            </w:r>
          </w:p>
        </w:tc>
        <w:tc>
          <w:tcPr>
            <w:tcW w:w="1630" w:type="dxa"/>
            <w:tcBorders>
              <w:top w:val="single" w:sz="4" w:space="0" w:color="000000"/>
              <w:left w:val="single" w:sz="4" w:space="0" w:color="000000"/>
              <w:bottom w:val="single" w:sz="4" w:space="0" w:color="000000"/>
              <w:right w:val="single" w:sz="4" w:space="0" w:color="000000"/>
            </w:tcBorders>
            <w:shd w:fill="auto" w:val="clear"/>
          </w:tcPr>
          <w:p>
            <w:pPr>
              <w:pStyle w:val="Endnote"/>
              <w:jc w:val="center"/>
              <w:rPr>
                <w:rFonts w:ascii="Arial" w:hAnsi="Arial" w:cs="Arial"/>
                <w:sz w:val="22"/>
                <w:szCs w:val="22"/>
              </w:rPr>
            </w:pPr>
            <w:r>
              <w:rPr>
                <w:rFonts w:cs="Arial" w:ascii="Arial" w:hAnsi="Arial"/>
                <w:sz w:val="22"/>
                <w:szCs w:val="22"/>
              </w:rPr>
              <w:t>A/I</w:t>
            </w:r>
          </w:p>
          <w:p>
            <w:pPr>
              <w:pStyle w:val="Endnote"/>
              <w:jc w:val="center"/>
              <w:rPr>
                <w:rFonts w:ascii="Arial" w:hAnsi="Arial" w:cs="Arial"/>
                <w:sz w:val="22"/>
                <w:szCs w:val="22"/>
              </w:rPr>
            </w:pPr>
            <w:r>
              <w:rPr>
                <w:rFonts w:cs="Arial" w:ascii="Arial" w:hAnsi="Arial"/>
                <w:sz w:val="22"/>
                <w:szCs w:val="22"/>
              </w:rPr>
            </w:r>
          </w:p>
          <w:p>
            <w:pPr>
              <w:pStyle w:val="Endnote"/>
              <w:jc w:val="center"/>
              <w:rPr>
                <w:rFonts w:ascii="Arial" w:hAnsi="Arial" w:cs="Arial"/>
                <w:sz w:val="22"/>
                <w:szCs w:val="22"/>
              </w:rPr>
            </w:pPr>
            <w:r>
              <w:rPr>
                <w:rFonts w:cs="Arial" w:ascii="Arial" w:hAnsi="Arial"/>
                <w:sz w:val="22"/>
                <w:szCs w:val="22"/>
              </w:rPr>
            </w:r>
          </w:p>
          <w:p>
            <w:pPr>
              <w:pStyle w:val="Endnote"/>
              <w:jc w:val="center"/>
              <w:rPr>
                <w:rFonts w:ascii="Arial" w:hAnsi="Arial" w:cs="Arial"/>
                <w:sz w:val="22"/>
                <w:szCs w:val="22"/>
              </w:rPr>
            </w:pPr>
            <w:r>
              <w:rPr>
                <w:rFonts w:cs="Arial" w:ascii="Arial" w:hAnsi="Arial"/>
                <w:sz w:val="22"/>
                <w:szCs w:val="22"/>
              </w:rPr>
            </w:r>
          </w:p>
          <w:p>
            <w:pPr>
              <w:pStyle w:val="Endnote"/>
              <w:jc w:val="center"/>
              <w:rPr>
                <w:rFonts w:ascii="Arial" w:hAnsi="Arial" w:cs="Arial"/>
                <w:sz w:val="22"/>
                <w:szCs w:val="22"/>
              </w:rPr>
            </w:pPr>
            <w:r>
              <w:rPr>
                <w:rFonts w:cs="Arial" w:ascii="Arial" w:hAnsi="Arial"/>
                <w:sz w:val="22"/>
                <w:szCs w:val="22"/>
              </w:rPr>
            </w:r>
          </w:p>
          <w:p>
            <w:pPr>
              <w:pStyle w:val="Endnote"/>
              <w:jc w:val="center"/>
              <w:rPr>
                <w:rFonts w:ascii="Arial" w:hAnsi="Arial" w:cs="Arial"/>
                <w:sz w:val="22"/>
                <w:szCs w:val="22"/>
              </w:rPr>
            </w:pPr>
            <w:r>
              <w:rPr>
                <w:rFonts w:cs="Arial" w:ascii="Arial" w:hAnsi="Arial"/>
                <w:sz w:val="22"/>
                <w:szCs w:val="22"/>
              </w:rPr>
            </w:r>
          </w:p>
          <w:p>
            <w:pPr>
              <w:pStyle w:val="Endnote"/>
              <w:jc w:val="center"/>
              <w:rPr>
                <w:rFonts w:ascii="Arial" w:hAnsi="Arial" w:cs="Arial"/>
                <w:sz w:val="22"/>
                <w:szCs w:val="22"/>
              </w:rPr>
            </w:pPr>
            <w:r>
              <w:rPr>
                <w:rFonts w:cs="Arial" w:ascii="Arial" w:hAnsi="Arial"/>
                <w:sz w:val="22"/>
                <w:szCs w:val="22"/>
              </w:rPr>
            </w:r>
          </w:p>
          <w:p>
            <w:pPr>
              <w:pStyle w:val="Endnote"/>
              <w:jc w:val="center"/>
              <w:rPr>
                <w:rFonts w:ascii="Arial" w:hAnsi="Arial" w:cs="Arial"/>
                <w:sz w:val="22"/>
                <w:szCs w:val="22"/>
              </w:rPr>
            </w:pPr>
            <w:r>
              <w:rPr>
                <w:rFonts w:cs="Arial" w:ascii="Arial" w:hAnsi="Arial"/>
                <w:sz w:val="22"/>
                <w:szCs w:val="22"/>
              </w:rPr>
            </w:r>
          </w:p>
          <w:p>
            <w:pPr>
              <w:pStyle w:val="Endnote"/>
              <w:jc w:val="center"/>
              <w:rPr>
                <w:rFonts w:ascii="Arial" w:hAnsi="Arial" w:cs="Arial"/>
                <w:sz w:val="22"/>
                <w:szCs w:val="22"/>
              </w:rPr>
            </w:pPr>
            <w:r>
              <w:rPr>
                <w:rFonts w:cs="Arial" w:ascii="Arial" w:hAnsi="Arial"/>
                <w:sz w:val="22"/>
                <w:szCs w:val="22"/>
              </w:rPr>
            </w:r>
          </w:p>
          <w:p>
            <w:pPr>
              <w:pStyle w:val="Endnote"/>
              <w:jc w:val="center"/>
              <w:rPr>
                <w:rFonts w:ascii="Arial" w:hAnsi="Arial" w:cs="Arial"/>
                <w:sz w:val="22"/>
                <w:szCs w:val="22"/>
              </w:rPr>
            </w:pPr>
            <w:r>
              <w:rPr>
                <w:rFonts w:cs="Arial" w:ascii="Arial" w:hAnsi="Arial"/>
                <w:sz w:val="22"/>
                <w:szCs w:val="22"/>
              </w:rPr>
            </w:r>
          </w:p>
          <w:p>
            <w:pPr>
              <w:pStyle w:val="Endnote"/>
              <w:jc w:val="center"/>
              <w:rPr>
                <w:rFonts w:ascii="Arial" w:hAnsi="Arial" w:cs="Arial"/>
                <w:sz w:val="22"/>
                <w:szCs w:val="22"/>
              </w:rPr>
            </w:pPr>
            <w:r>
              <w:rPr>
                <w:rFonts w:cs="Arial" w:ascii="Arial" w:hAnsi="Arial"/>
                <w:sz w:val="22"/>
                <w:szCs w:val="22"/>
              </w:rPr>
            </w:r>
          </w:p>
          <w:p>
            <w:pPr>
              <w:pStyle w:val="Endnote"/>
              <w:jc w:val="center"/>
              <w:rPr>
                <w:rFonts w:ascii="Arial" w:hAnsi="Arial" w:cs="Arial"/>
                <w:sz w:val="22"/>
                <w:szCs w:val="22"/>
              </w:rPr>
            </w:pPr>
            <w:r>
              <w:rPr>
                <w:rFonts w:cs="Arial" w:ascii="Arial" w:hAnsi="Arial"/>
                <w:sz w:val="22"/>
                <w:szCs w:val="22"/>
              </w:rPr>
            </w:r>
          </w:p>
        </w:tc>
      </w:tr>
      <w:tr>
        <w:trPr/>
        <w:tc>
          <w:tcPr>
            <w:tcW w:w="1964" w:type="dxa"/>
            <w:tcBorders>
              <w:top w:val="single" w:sz="4" w:space="0" w:color="000000"/>
              <w:left w:val="single" w:sz="4" w:space="0" w:color="000000"/>
              <w:bottom w:val="single" w:sz="4" w:space="0" w:color="000000"/>
            </w:tcBorders>
            <w:shd w:fill="00B3BE" w:val="clear"/>
          </w:tcPr>
          <w:p>
            <w:pPr>
              <w:pStyle w:val="Normal"/>
              <w:snapToGrid w:val="false"/>
              <w:rPr>
                <w:rFonts w:ascii="Arial" w:hAnsi="Arial" w:cs="Arial"/>
                <w:b/>
                <w:b/>
                <w:bCs/>
                <w:sz w:val="22"/>
                <w:szCs w:val="22"/>
              </w:rPr>
            </w:pPr>
            <w:r>
              <w:rPr>
                <w:rFonts w:cs="Arial"/>
                <w:b/>
                <w:bCs/>
                <w:sz w:val="22"/>
                <w:szCs w:val="22"/>
              </w:rPr>
            </w:r>
          </w:p>
          <w:p>
            <w:pPr>
              <w:pStyle w:val="Normal"/>
              <w:rPr>
                <w:rFonts w:cs="Arial"/>
                <w:b/>
                <w:b/>
                <w:bCs/>
                <w:sz w:val="22"/>
                <w:szCs w:val="22"/>
              </w:rPr>
            </w:pPr>
            <w:r>
              <w:rPr>
                <w:rFonts w:cs="Arial"/>
                <w:b/>
                <w:bCs/>
                <w:sz w:val="22"/>
                <w:szCs w:val="22"/>
              </w:rPr>
              <w:t>Experience</w:t>
            </w:r>
          </w:p>
          <w:p>
            <w:pPr>
              <w:pStyle w:val="Normal"/>
              <w:rPr>
                <w:rFonts w:cs="Arial"/>
                <w:b/>
                <w:b/>
                <w:bCs/>
                <w:sz w:val="22"/>
                <w:szCs w:val="22"/>
              </w:rPr>
            </w:pPr>
            <w:r>
              <w:rPr>
                <w:rFonts w:cs="Arial"/>
                <w:b/>
                <w:bCs/>
                <w:sz w:val="22"/>
                <w:szCs w:val="22"/>
              </w:rPr>
            </w:r>
          </w:p>
        </w:tc>
        <w:tc>
          <w:tcPr>
            <w:tcW w:w="3795" w:type="dxa"/>
            <w:tcBorders>
              <w:top w:val="single" w:sz="4" w:space="0" w:color="000000"/>
              <w:left w:val="single" w:sz="4" w:space="0" w:color="000000"/>
              <w:bottom w:val="single" w:sz="4" w:space="0" w:color="000000"/>
            </w:tcBorders>
            <w:shd w:fill="auto" w:val="clear"/>
          </w:tcPr>
          <w:p>
            <w:pPr>
              <w:pStyle w:val="Normal"/>
              <w:spacing w:lineRule="auto" w:line="276"/>
              <w:rPr/>
            </w:pPr>
            <w:r>
              <w:rPr>
                <w:sz w:val="22"/>
                <w:szCs w:val="22"/>
                <w:lang w:val="en-US"/>
              </w:rPr>
              <w:t>Engaging, supporting or influencing partner agencies to improve access, participation and outcomes for children and families, including families who may face multiple barriers.</w:t>
            </w:r>
            <w:r>
              <w:rPr>
                <w:sz w:val="22"/>
                <w:szCs w:val="22"/>
              </w:rPr>
              <w:t> </w:t>
            </w:r>
          </w:p>
          <w:p>
            <w:pPr>
              <w:pStyle w:val="Normal"/>
              <w:spacing w:lineRule="auto" w:line="276"/>
              <w:rPr>
                <w:sz w:val="22"/>
                <w:szCs w:val="22"/>
              </w:rPr>
            </w:pPr>
            <w:r>
              <w:rPr>
                <w:sz w:val="22"/>
                <w:szCs w:val="22"/>
              </w:rPr>
            </w:r>
          </w:p>
          <w:p>
            <w:pPr>
              <w:pStyle w:val="Normal"/>
              <w:spacing w:lineRule="auto" w:line="276"/>
              <w:rPr/>
            </w:pPr>
            <w:r>
              <w:rPr>
                <w:sz w:val="22"/>
                <w:szCs w:val="22"/>
                <w:lang w:val="en-US"/>
              </w:rPr>
              <w:t>Building productive relationships across different agencies, securing partner participation and coordinating contributions to plans, meetings or service responses.</w:t>
            </w:r>
            <w:r>
              <w:rPr>
                <w:sz w:val="22"/>
                <w:szCs w:val="22"/>
              </w:rPr>
              <w:t> </w:t>
            </w:r>
          </w:p>
          <w:p>
            <w:pPr>
              <w:pStyle w:val="Normal"/>
              <w:spacing w:lineRule="auto" w:line="276"/>
              <w:rPr>
                <w:sz w:val="22"/>
                <w:szCs w:val="22"/>
              </w:rPr>
            </w:pPr>
            <w:r>
              <w:rPr>
                <w:sz w:val="22"/>
                <w:szCs w:val="22"/>
              </w:rPr>
            </w:r>
          </w:p>
          <w:p>
            <w:pPr>
              <w:pStyle w:val="Normal"/>
              <w:spacing w:lineRule="auto" w:line="276"/>
              <w:rPr/>
            </w:pPr>
            <w:r>
              <w:rPr>
                <w:sz w:val="22"/>
                <w:szCs w:val="22"/>
                <w:lang w:val="en-US"/>
              </w:rPr>
              <w:t>Using information from families and agencies to understand need, strengths, barriers and risk, identify gaps or duplication, and agree practical multi-agency actions.</w:t>
            </w:r>
            <w:r>
              <w:rPr>
                <w:sz w:val="22"/>
                <w:szCs w:val="22"/>
              </w:rPr>
              <w:t> </w:t>
            </w:r>
          </w:p>
          <w:p>
            <w:pPr>
              <w:pStyle w:val="Normal"/>
              <w:spacing w:lineRule="auto" w:line="276"/>
              <w:rPr>
                <w:sz w:val="22"/>
                <w:szCs w:val="22"/>
              </w:rPr>
            </w:pPr>
            <w:r>
              <w:rPr>
                <w:sz w:val="22"/>
                <w:szCs w:val="22"/>
              </w:rPr>
            </w:r>
          </w:p>
          <w:p>
            <w:pPr>
              <w:pStyle w:val="Normal"/>
              <w:spacing w:lineRule="auto" w:line="276"/>
              <w:rPr/>
            </w:pPr>
            <w:r>
              <w:rPr>
                <w:sz w:val="22"/>
                <w:szCs w:val="22"/>
                <w:lang w:val="en-US"/>
              </w:rPr>
              <w:t>Delivering consultation, advice, coaching, training, workshops or presentations to professionals, services or community organisations.</w:t>
            </w:r>
            <w:r>
              <w:rPr>
                <w:sz w:val="22"/>
                <w:szCs w:val="22"/>
              </w:rPr>
              <w:t> </w:t>
            </w:r>
          </w:p>
          <w:p>
            <w:pPr>
              <w:pStyle w:val="Normal"/>
              <w:spacing w:lineRule="auto" w:line="276"/>
              <w:rPr>
                <w:sz w:val="22"/>
                <w:szCs w:val="22"/>
              </w:rPr>
            </w:pPr>
            <w:r>
              <w:rPr>
                <w:sz w:val="22"/>
                <w:szCs w:val="22"/>
              </w:rPr>
            </w:r>
          </w:p>
          <w:p>
            <w:pPr>
              <w:pStyle w:val="Normal"/>
              <w:spacing w:lineRule="auto" w:line="276"/>
              <w:rPr/>
            </w:pPr>
            <w:r>
              <w:rPr>
                <w:sz w:val="22"/>
                <w:szCs w:val="22"/>
                <w:lang w:val="en-US"/>
              </w:rPr>
              <w:t>Maintaining accurate records and handling sensitive personal information.</w:t>
            </w:r>
            <w:r>
              <w:rPr>
                <w:sz w:val="22"/>
                <w:szCs w:val="22"/>
              </w:rPr>
              <w:t> </w:t>
            </w:r>
          </w:p>
        </w:tc>
        <w:tc>
          <w:tcPr>
            <w:tcW w:w="3060" w:type="dxa"/>
            <w:tcBorders>
              <w:top w:val="single" w:sz="4" w:space="0" w:color="000000"/>
              <w:left w:val="single" w:sz="4" w:space="0" w:color="000000"/>
              <w:bottom w:val="single" w:sz="4" w:space="0" w:color="000000"/>
            </w:tcBorders>
            <w:shd w:fill="auto" w:val="clear"/>
          </w:tcPr>
          <w:p>
            <w:pPr>
              <w:pStyle w:val="Normal"/>
              <w:jc w:val="center"/>
              <w:rPr/>
            </w:pPr>
            <w:r>
              <w:rPr>
                <w:sz w:val="22"/>
                <w:szCs w:val="22"/>
                <w:lang w:val="en-US"/>
              </w:rPr>
              <w:t>Experience of Family Help targeted early help, Child in Need, partnership development, family group decision making, community development or a multi-disciplinary children’s service.</w:t>
            </w:r>
            <w:r>
              <w:rPr>
                <w:sz w:val="22"/>
                <w:szCs w:val="22"/>
              </w:rPr>
              <w:t> </w:t>
            </w:r>
          </w:p>
        </w:tc>
        <w:tc>
          <w:tcPr>
            <w:tcW w:w="1630" w:type="dxa"/>
            <w:tcBorders>
              <w:top w:val="single" w:sz="4" w:space="0" w:color="000000"/>
              <w:left w:val="single" w:sz="4" w:space="0" w:color="000000"/>
              <w:bottom w:val="single" w:sz="4" w:space="0" w:color="000000"/>
              <w:right w:val="single" w:sz="4" w:space="0" w:color="000000"/>
            </w:tcBorders>
            <w:shd w:fill="auto" w:val="clear"/>
          </w:tcPr>
          <w:p>
            <w:pPr>
              <w:pStyle w:val="Normal"/>
              <w:jc w:val="center"/>
              <w:rPr>
                <w:rFonts w:cs="Arial"/>
                <w:sz w:val="22"/>
                <w:szCs w:val="22"/>
              </w:rPr>
            </w:pPr>
            <w:r>
              <w:rPr>
                <w:rFonts w:cs="Arial"/>
                <w:sz w:val="22"/>
                <w:szCs w:val="22"/>
              </w:rPr>
              <w:t>A/I</w:t>
            </w:r>
          </w:p>
          <w:p>
            <w:pPr>
              <w:pStyle w:val="Normal"/>
              <w:jc w:val="center"/>
              <w:rPr>
                <w:rFonts w:cs="Arial"/>
                <w:sz w:val="22"/>
                <w:szCs w:val="22"/>
              </w:rPr>
            </w:pPr>
            <w:r>
              <w:rPr>
                <w:rFonts w:cs="Arial"/>
                <w:sz w:val="22"/>
                <w:szCs w:val="22"/>
              </w:rPr>
            </w:r>
          </w:p>
        </w:tc>
      </w:tr>
      <w:tr>
        <w:trPr/>
        <w:tc>
          <w:tcPr>
            <w:tcW w:w="1964" w:type="dxa"/>
            <w:tcBorders>
              <w:top w:val="single" w:sz="4" w:space="0" w:color="000000"/>
              <w:left w:val="single" w:sz="4" w:space="0" w:color="000000"/>
              <w:bottom w:val="single" w:sz="4" w:space="0" w:color="000000"/>
            </w:tcBorders>
            <w:shd w:fill="00B3BE" w:val="clear"/>
          </w:tcPr>
          <w:p>
            <w:pPr>
              <w:pStyle w:val="Normal"/>
              <w:snapToGrid w:val="false"/>
              <w:rPr>
                <w:rFonts w:cs="Arial"/>
                <w:b/>
                <w:b/>
                <w:bCs/>
                <w:sz w:val="22"/>
                <w:szCs w:val="22"/>
              </w:rPr>
            </w:pPr>
            <w:r>
              <w:rPr>
                <w:rFonts w:cs="Arial"/>
                <w:b/>
                <w:bCs/>
                <w:sz w:val="22"/>
                <w:szCs w:val="22"/>
              </w:rPr>
            </w:r>
          </w:p>
          <w:p>
            <w:pPr>
              <w:pStyle w:val="Normal"/>
              <w:rPr>
                <w:rFonts w:cs="Arial"/>
                <w:b/>
                <w:b/>
                <w:bCs/>
                <w:sz w:val="22"/>
                <w:szCs w:val="22"/>
              </w:rPr>
            </w:pPr>
            <w:r>
              <w:rPr>
                <w:rFonts w:cs="Arial"/>
                <w:b/>
                <w:bCs/>
                <w:sz w:val="22"/>
                <w:szCs w:val="22"/>
              </w:rPr>
              <w:t>Skills &amp; Abilities</w:t>
            </w:r>
          </w:p>
          <w:p>
            <w:pPr>
              <w:pStyle w:val="Normal"/>
              <w:rPr>
                <w:rFonts w:cs="Arial"/>
                <w:b/>
                <w:b/>
                <w:bCs/>
                <w:sz w:val="22"/>
                <w:szCs w:val="22"/>
              </w:rPr>
            </w:pPr>
            <w:r>
              <w:rPr>
                <w:rFonts w:cs="Arial"/>
                <w:b/>
                <w:bCs/>
                <w:sz w:val="22"/>
                <w:szCs w:val="22"/>
              </w:rPr>
            </w:r>
          </w:p>
        </w:tc>
        <w:tc>
          <w:tcPr>
            <w:tcW w:w="3795" w:type="dxa"/>
            <w:tcBorders>
              <w:top w:val="single" w:sz="4" w:space="0" w:color="000000"/>
              <w:left w:val="single" w:sz="4" w:space="0" w:color="000000"/>
              <w:bottom w:val="single" w:sz="4" w:space="0" w:color="000000"/>
            </w:tcBorders>
            <w:shd w:fill="auto" w:val="clear"/>
          </w:tcPr>
          <w:p>
            <w:pPr>
              <w:pStyle w:val="Normal"/>
              <w:spacing w:lineRule="auto" w:line="276"/>
              <w:rPr/>
            </w:pPr>
            <w:r>
              <w:rPr>
                <w:sz w:val="22"/>
                <w:szCs w:val="22"/>
                <w:lang w:val="en-US"/>
              </w:rPr>
              <w:t>Builds credible and productive relationships with professionals and organisations, including the ability to challenge, influence and maintain engagement when priorities differ.</w:t>
            </w:r>
            <w:r>
              <w:rPr>
                <w:sz w:val="22"/>
                <w:szCs w:val="22"/>
              </w:rPr>
              <w:t> </w:t>
            </w:r>
          </w:p>
          <w:p>
            <w:pPr>
              <w:pStyle w:val="Normal"/>
              <w:spacing w:lineRule="auto" w:line="276"/>
              <w:rPr>
                <w:sz w:val="22"/>
                <w:szCs w:val="22"/>
              </w:rPr>
            </w:pPr>
            <w:r>
              <w:rPr>
                <w:sz w:val="22"/>
                <w:szCs w:val="22"/>
              </w:rPr>
            </w:r>
          </w:p>
          <w:p>
            <w:pPr>
              <w:pStyle w:val="Normal"/>
              <w:spacing w:lineRule="auto" w:line="276"/>
              <w:rPr/>
            </w:pPr>
            <w:r>
              <w:rPr>
                <w:sz w:val="22"/>
                <w:szCs w:val="22"/>
                <w:lang w:val="en-US"/>
              </w:rPr>
              <w:t>Communicates clearly in writing and verbally, adapting information for age, development, disability, literacy, language and culture.</w:t>
            </w:r>
            <w:r>
              <w:rPr>
                <w:sz w:val="22"/>
                <w:szCs w:val="22"/>
              </w:rPr>
              <w:t> </w:t>
            </w:r>
          </w:p>
          <w:p>
            <w:pPr>
              <w:pStyle w:val="Normal"/>
              <w:spacing w:lineRule="auto" w:line="276"/>
              <w:rPr>
                <w:sz w:val="22"/>
                <w:szCs w:val="22"/>
              </w:rPr>
            </w:pPr>
            <w:r>
              <w:rPr>
                <w:sz w:val="22"/>
                <w:szCs w:val="22"/>
              </w:rPr>
            </w:r>
          </w:p>
          <w:p>
            <w:pPr>
              <w:pStyle w:val="Normal"/>
              <w:spacing w:lineRule="auto" w:line="276"/>
              <w:rPr/>
            </w:pPr>
            <w:r>
              <w:rPr>
                <w:sz w:val="22"/>
                <w:szCs w:val="22"/>
                <w:lang w:val="en-US"/>
              </w:rPr>
              <w:t>Helps partners hear and accurately represent children’s and families’ views, including disagreement, while maintaining safeguarding responsibilities.</w:t>
            </w:r>
            <w:r>
              <w:rPr>
                <w:sz w:val="22"/>
                <w:szCs w:val="22"/>
              </w:rPr>
              <w:t> </w:t>
            </w:r>
          </w:p>
          <w:p>
            <w:pPr>
              <w:pStyle w:val="Normal"/>
              <w:spacing w:lineRule="auto" w:line="276"/>
              <w:rPr>
                <w:sz w:val="22"/>
                <w:szCs w:val="22"/>
              </w:rPr>
            </w:pPr>
            <w:r>
              <w:rPr>
                <w:sz w:val="22"/>
                <w:szCs w:val="22"/>
              </w:rPr>
            </w:r>
          </w:p>
          <w:p>
            <w:pPr>
              <w:pStyle w:val="Normal"/>
              <w:spacing w:lineRule="auto" w:line="276"/>
              <w:rPr/>
            </w:pPr>
            <w:r>
              <w:rPr>
                <w:rStyle w:val="Normaltextrun"/>
                <w:rFonts w:cs="Arial"/>
                <w:sz w:val="22"/>
                <w:szCs w:val="22"/>
                <w:shd w:fill="FFFFFF" w:val="clear"/>
                <w:lang w:val="en-US"/>
              </w:rPr>
              <w:t>Facilitates multi-agency meetings and networks, manages differing professional perspectives, negotiates responsibilities and secures clear agency actions and follow-through.</w:t>
            </w:r>
            <w:r>
              <w:rPr>
                <w:rStyle w:val="Eop"/>
                <w:rFonts w:cs="Arial"/>
                <w:sz w:val="22"/>
                <w:szCs w:val="22"/>
                <w:shd w:fill="C6C6C6" w:val="clear"/>
              </w:rPr>
              <w:t> </w:t>
            </w:r>
          </w:p>
          <w:p>
            <w:pPr>
              <w:pStyle w:val="Normal"/>
              <w:spacing w:lineRule="auto" w:line="276"/>
              <w:rPr>
                <w:rFonts w:cs="Arial"/>
                <w:sz w:val="22"/>
                <w:szCs w:val="22"/>
                <w:highlight w:val="lightGray"/>
              </w:rPr>
            </w:pPr>
            <w:r>
              <w:rPr>
                <w:rFonts w:cs="Arial"/>
                <w:sz w:val="22"/>
                <w:szCs w:val="22"/>
                <w:highlight w:val="lightGray"/>
              </w:rPr>
            </w:r>
          </w:p>
          <w:p>
            <w:pPr>
              <w:pStyle w:val="Normal"/>
              <w:spacing w:lineRule="auto" w:line="276"/>
              <w:rPr/>
            </w:pPr>
            <w:r>
              <w:rPr>
                <w:rFonts w:cs="Arial"/>
                <w:sz w:val="22"/>
                <w:szCs w:val="22"/>
                <w:shd w:fill="FFFFFF" w:val="clear"/>
                <w:lang w:val="en-US"/>
              </w:rPr>
              <w:t>Analyses partner and performance information, identifies system patterns, gaps and barriers, exercises professional curiosity and knows when to challenge or escalate.</w:t>
            </w:r>
            <w:r>
              <w:rPr>
                <w:rFonts w:cs="Arial"/>
                <w:sz w:val="22"/>
                <w:szCs w:val="22"/>
                <w:shd w:fill="FFFFFF" w:val="clear"/>
              </w:rPr>
              <w:t> </w:t>
            </w:r>
          </w:p>
          <w:p>
            <w:pPr>
              <w:pStyle w:val="Normal"/>
              <w:spacing w:lineRule="auto" w:line="276"/>
              <w:rPr>
                <w:rFonts w:cs="Arial"/>
                <w:sz w:val="22"/>
                <w:szCs w:val="22"/>
                <w:highlight w:val="white"/>
              </w:rPr>
            </w:pPr>
            <w:r>
              <w:rPr>
                <w:rFonts w:cs="Arial"/>
                <w:sz w:val="22"/>
                <w:szCs w:val="22"/>
                <w:shd w:fill="FFFFFF" w:val="clear"/>
              </w:rPr>
            </w:r>
          </w:p>
          <w:p>
            <w:pPr>
              <w:pStyle w:val="Normal"/>
              <w:spacing w:lineRule="auto" w:line="276"/>
              <w:rPr/>
            </w:pPr>
            <w:r>
              <w:rPr>
                <w:rFonts w:cs="Arial"/>
                <w:sz w:val="22"/>
                <w:szCs w:val="22"/>
                <w:shd w:fill="FFFFFF" w:val="clear"/>
                <w:lang w:val="en-US"/>
              </w:rPr>
              <w:t>Organises a varied workload, prioritises competing demands and works reliably across agencies and locations.</w:t>
            </w:r>
            <w:r>
              <w:rPr>
                <w:rFonts w:cs="Arial"/>
                <w:sz w:val="22"/>
                <w:szCs w:val="22"/>
                <w:shd w:fill="FFFFFF" w:val="clear"/>
              </w:rPr>
              <w:t> </w:t>
            </w:r>
          </w:p>
          <w:p>
            <w:pPr>
              <w:pStyle w:val="Normal"/>
              <w:spacing w:lineRule="auto" w:line="276"/>
              <w:rPr>
                <w:rFonts w:cs="Arial"/>
                <w:sz w:val="22"/>
                <w:szCs w:val="22"/>
                <w:highlight w:val="white"/>
              </w:rPr>
            </w:pPr>
            <w:r>
              <w:rPr>
                <w:rFonts w:cs="Arial"/>
                <w:sz w:val="22"/>
                <w:szCs w:val="22"/>
                <w:shd w:fill="FFFFFF" w:val="clear"/>
              </w:rPr>
            </w:r>
          </w:p>
          <w:p>
            <w:pPr>
              <w:pStyle w:val="Normal"/>
              <w:spacing w:lineRule="auto" w:line="276"/>
              <w:rPr>
                <w:rFonts w:cs="Arial"/>
                <w:sz w:val="22"/>
                <w:szCs w:val="22"/>
                <w:highlight w:val="white"/>
                <w:lang w:val="en-US"/>
              </w:rPr>
            </w:pPr>
            <w:r>
              <w:rPr>
                <w:rFonts w:cs="Arial"/>
                <w:sz w:val="22"/>
                <w:szCs w:val="22"/>
                <w:shd w:fill="FFFFFF" w:val="clear"/>
                <w:lang w:val="en-US"/>
              </w:rPr>
              <w:t>Uses digital and electronic recording systems confidently and maintains accurate, timely records.</w:t>
            </w:r>
          </w:p>
          <w:p>
            <w:pPr>
              <w:pStyle w:val="Normal"/>
              <w:spacing w:lineRule="auto" w:line="276"/>
              <w:rPr>
                <w:rFonts w:cs="Arial"/>
                <w:sz w:val="22"/>
                <w:szCs w:val="22"/>
                <w:highlight w:val="white"/>
                <w:lang w:val="en-US"/>
              </w:rPr>
            </w:pPr>
            <w:r>
              <w:rPr>
                <w:rFonts w:cs="Arial"/>
                <w:sz w:val="22"/>
                <w:szCs w:val="22"/>
                <w:shd w:fill="FFFFFF" w:val="clear"/>
                <w:lang w:val="en-US"/>
              </w:rPr>
            </w:r>
          </w:p>
          <w:p>
            <w:pPr>
              <w:pStyle w:val="Normal"/>
              <w:rPr/>
            </w:pPr>
            <w:r>
              <w:rPr>
                <w:rFonts w:cs="Arial"/>
                <w:sz w:val="22"/>
                <w:szCs w:val="22"/>
                <w:highlight w:val="white"/>
                <w:lang w:val="en-US"/>
              </w:rPr>
              <w:t>A</w:t>
            </w:r>
            <w:r>
              <w:rPr>
                <w:rFonts w:cs="Arial"/>
                <w:sz w:val="22"/>
                <w:szCs w:val="22"/>
                <w:lang w:val="en-US"/>
              </w:rPr>
              <w:t>ppropriate use of supervision.</w:t>
            </w:r>
            <w:r>
              <w:rPr>
                <w:rFonts w:cs="Arial"/>
                <w:sz w:val="22"/>
                <w:szCs w:val="22"/>
              </w:rPr>
              <w:t>  </w:t>
            </w:r>
          </w:p>
        </w:tc>
        <w:tc>
          <w:tcPr>
            <w:tcW w:w="3060" w:type="dxa"/>
            <w:tcBorders>
              <w:top w:val="single" w:sz="4" w:space="0" w:color="000000"/>
              <w:left w:val="single" w:sz="4" w:space="0" w:color="000000"/>
              <w:bottom w:val="single" w:sz="4" w:space="0" w:color="000000"/>
            </w:tcBorders>
            <w:shd w:fill="auto" w:val="clear"/>
          </w:tcPr>
          <w:p>
            <w:pPr>
              <w:pStyle w:val="Normal"/>
              <w:jc w:val="center"/>
              <w:rPr>
                <w:rFonts w:cs="Arial"/>
                <w:color w:val="26343D"/>
                <w:sz w:val="22"/>
                <w:szCs w:val="22"/>
                <w:lang w:val="en-US"/>
              </w:rPr>
            </w:pPr>
            <w:r>
              <w:rPr>
                <w:rFonts w:cs="Arial"/>
                <w:color w:val="26343D"/>
                <w:sz w:val="22"/>
                <w:szCs w:val="22"/>
                <w:lang w:val="en-US"/>
              </w:rPr>
              <w:t>Works reflectively, receives challenge, contributes to team learning and demonstrates resilience with</w:t>
            </w:r>
          </w:p>
        </w:tc>
        <w:tc>
          <w:tcPr>
            <w:tcW w:w="1630" w:type="dxa"/>
            <w:tcBorders>
              <w:top w:val="single" w:sz="4" w:space="0" w:color="000000"/>
              <w:left w:val="single" w:sz="4" w:space="0" w:color="000000"/>
              <w:bottom w:val="single" w:sz="4" w:space="0" w:color="000000"/>
              <w:right w:val="single" w:sz="4" w:space="0" w:color="000000"/>
            </w:tcBorders>
            <w:shd w:fill="auto" w:val="clear"/>
          </w:tcPr>
          <w:p>
            <w:pPr>
              <w:pStyle w:val="Normal"/>
              <w:jc w:val="center"/>
              <w:rPr>
                <w:rFonts w:cs="Arial"/>
                <w:sz w:val="22"/>
                <w:szCs w:val="22"/>
              </w:rPr>
            </w:pPr>
            <w:r>
              <w:rPr>
                <w:rFonts w:cs="Arial"/>
                <w:sz w:val="22"/>
                <w:szCs w:val="22"/>
              </w:rPr>
              <w:t>A/I/P</w:t>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tc>
      </w:tr>
      <w:tr>
        <w:trPr/>
        <w:tc>
          <w:tcPr>
            <w:tcW w:w="1964" w:type="dxa"/>
            <w:tcBorders>
              <w:top w:val="single" w:sz="4" w:space="0" w:color="000000"/>
              <w:left w:val="single" w:sz="4" w:space="0" w:color="000000"/>
              <w:bottom w:val="single" w:sz="4" w:space="0" w:color="000000"/>
            </w:tcBorders>
            <w:shd w:fill="00B3BE" w:val="clear"/>
          </w:tcPr>
          <w:p>
            <w:pPr>
              <w:pStyle w:val="Normal"/>
              <w:snapToGrid w:val="false"/>
              <w:rPr>
                <w:rFonts w:cs="Arial"/>
                <w:b/>
                <w:b/>
                <w:bCs/>
                <w:sz w:val="22"/>
                <w:szCs w:val="22"/>
              </w:rPr>
            </w:pPr>
            <w:r>
              <w:rPr>
                <w:rFonts w:cs="Arial"/>
                <w:b/>
                <w:bCs/>
                <w:sz w:val="22"/>
                <w:szCs w:val="22"/>
              </w:rPr>
            </w:r>
          </w:p>
          <w:p>
            <w:pPr>
              <w:pStyle w:val="Normal"/>
              <w:rPr>
                <w:rFonts w:cs="Arial"/>
                <w:b/>
                <w:b/>
                <w:bCs/>
                <w:sz w:val="22"/>
                <w:szCs w:val="22"/>
              </w:rPr>
            </w:pPr>
            <w:r>
              <w:rPr>
                <w:rFonts w:cs="Arial"/>
                <w:b/>
                <w:bCs/>
                <w:sz w:val="22"/>
                <w:szCs w:val="22"/>
              </w:rPr>
              <w:t>Knowledge</w:t>
            </w:r>
          </w:p>
          <w:p>
            <w:pPr>
              <w:pStyle w:val="Normal"/>
              <w:rPr>
                <w:rFonts w:cs="Arial"/>
                <w:b/>
                <w:b/>
                <w:bCs/>
                <w:sz w:val="22"/>
                <w:szCs w:val="22"/>
              </w:rPr>
            </w:pPr>
            <w:r>
              <w:rPr>
                <w:rFonts w:cs="Arial"/>
                <w:b/>
                <w:bCs/>
                <w:sz w:val="22"/>
                <w:szCs w:val="22"/>
              </w:rPr>
            </w:r>
          </w:p>
        </w:tc>
        <w:tc>
          <w:tcPr>
            <w:tcW w:w="3795" w:type="dxa"/>
            <w:tcBorders>
              <w:top w:val="single" w:sz="4" w:space="0" w:color="000000"/>
              <w:left w:val="single" w:sz="4" w:space="0" w:color="000000"/>
              <w:bottom w:val="single" w:sz="4" w:space="0" w:color="000000"/>
            </w:tcBorders>
            <w:shd w:fill="auto" w:val="clear"/>
          </w:tcPr>
          <w:p>
            <w:pPr>
              <w:pStyle w:val="Normal"/>
              <w:spacing w:lineRule="auto" w:line="276"/>
              <w:rPr/>
            </w:pPr>
            <w:r>
              <w:rPr>
                <w:sz w:val="22"/>
                <w:szCs w:val="22"/>
                <w:lang w:val="en-US"/>
              </w:rPr>
              <w:t>Understanding of child-centred and whole-family practice, strengths-based engagement and the importance of family networks.</w:t>
            </w:r>
            <w:r>
              <w:rPr>
                <w:sz w:val="22"/>
                <w:szCs w:val="22"/>
              </w:rPr>
              <w:t> </w:t>
            </w:r>
          </w:p>
          <w:p>
            <w:pPr>
              <w:pStyle w:val="Normal"/>
              <w:spacing w:lineRule="auto" w:line="276"/>
              <w:rPr>
                <w:sz w:val="22"/>
                <w:szCs w:val="22"/>
              </w:rPr>
            </w:pPr>
            <w:r>
              <w:rPr>
                <w:sz w:val="22"/>
                <w:szCs w:val="22"/>
              </w:rPr>
            </w:r>
          </w:p>
          <w:p>
            <w:pPr>
              <w:pStyle w:val="Normal"/>
              <w:spacing w:lineRule="auto" w:line="276"/>
              <w:rPr/>
            </w:pPr>
            <w:r>
              <w:rPr>
                <w:sz w:val="22"/>
                <w:szCs w:val="22"/>
                <w:lang w:val="en-US"/>
              </w:rPr>
              <w:t>Understanding of safeguarding children, professional curiosity, risk escalation and the boundaries of the role.</w:t>
            </w:r>
            <w:r>
              <w:rPr>
                <w:sz w:val="22"/>
                <w:szCs w:val="22"/>
              </w:rPr>
              <w:t> </w:t>
            </w:r>
          </w:p>
          <w:p>
            <w:pPr>
              <w:pStyle w:val="Normal"/>
              <w:spacing w:lineRule="auto" w:line="276"/>
              <w:rPr>
                <w:sz w:val="22"/>
                <w:szCs w:val="22"/>
              </w:rPr>
            </w:pPr>
            <w:r>
              <w:rPr>
                <w:sz w:val="22"/>
                <w:szCs w:val="22"/>
              </w:rPr>
            </w:r>
          </w:p>
          <w:p>
            <w:pPr>
              <w:pStyle w:val="Normal"/>
              <w:spacing w:lineRule="auto" w:line="276"/>
              <w:rPr/>
            </w:pPr>
            <w:r>
              <w:rPr>
                <w:sz w:val="22"/>
                <w:szCs w:val="22"/>
                <w:lang w:val="en-US"/>
              </w:rPr>
              <w:t>Understanding of consent, confidentiality, data protection and lawful, proportionate information sharing.</w:t>
            </w:r>
            <w:r>
              <w:rPr>
                <w:sz w:val="22"/>
                <w:szCs w:val="22"/>
              </w:rPr>
              <w:t> </w:t>
            </w:r>
          </w:p>
          <w:p>
            <w:pPr>
              <w:pStyle w:val="Normal"/>
              <w:spacing w:lineRule="auto" w:line="276"/>
              <w:rPr>
                <w:sz w:val="22"/>
                <w:szCs w:val="22"/>
              </w:rPr>
            </w:pPr>
            <w:r>
              <w:rPr>
                <w:sz w:val="22"/>
                <w:szCs w:val="22"/>
              </w:rPr>
            </w:r>
          </w:p>
          <w:p>
            <w:pPr>
              <w:pStyle w:val="Normal"/>
              <w:spacing w:lineRule="auto" w:line="276"/>
              <w:rPr/>
            </w:pPr>
            <w:r>
              <w:rPr>
                <w:sz w:val="22"/>
                <w:szCs w:val="22"/>
                <w:lang w:val="en-US"/>
              </w:rPr>
              <w:t>Knowledge of the Families First Partnership reforms, the integrated Family Help offer, Family Help Lead Practitioners, multi-disciplinary teams and Family Group Decision Making.</w:t>
            </w:r>
            <w:r>
              <w:rPr>
                <w:sz w:val="22"/>
                <w:szCs w:val="22"/>
              </w:rPr>
              <w:t> </w:t>
            </w:r>
          </w:p>
          <w:p>
            <w:pPr>
              <w:pStyle w:val="Normal"/>
              <w:spacing w:lineRule="auto" w:line="276"/>
              <w:rPr>
                <w:sz w:val="22"/>
                <w:szCs w:val="22"/>
              </w:rPr>
            </w:pPr>
            <w:r>
              <w:rPr>
                <w:sz w:val="22"/>
                <w:szCs w:val="22"/>
              </w:rPr>
            </w:r>
          </w:p>
          <w:p>
            <w:pPr>
              <w:pStyle w:val="Normal"/>
              <w:spacing w:lineRule="auto" w:line="276"/>
              <w:rPr>
                <w:sz w:val="22"/>
                <w:szCs w:val="22"/>
              </w:rPr>
            </w:pPr>
            <w:r>
              <w:rPr>
                <w:sz w:val="22"/>
                <w:szCs w:val="22"/>
              </w:rPr>
            </w:r>
          </w:p>
          <w:p>
            <w:pPr>
              <w:pStyle w:val="Normal"/>
              <w:rPr>
                <w:rFonts w:cs="Arial"/>
                <w:sz w:val="22"/>
                <w:szCs w:val="22"/>
                <w:lang w:val="en-US"/>
              </w:rPr>
            </w:pPr>
            <w:r>
              <w:rPr>
                <w:rFonts w:cs="Arial"/>
                <w:sz w:val="22"/>
                <w:szCs w:val="22"/>
                <w:lang w:val="en-US"/>
              </w:rPr>
            </w:r>
          </w:p>
        </w:tc>
        <w:tc>
          <w:tcPr>
            <w:tcW w:w="3060" w:type="dxa"/>
            <w:tcBorders>
              <w:top w:val="single" w:sz="4" w:space="0" w:color="000000"/>
              <w:left w:val="single" w:sz="4" w:space="0" w:color="000000"/>
              <w:bottom w:val="single" w:sz="4" w:space="0" w:color="000000"/>
            </w:tcBorders>
            <w:shd w:fill="auto" w:val="clear"/>
          </w:tcPr>
          <w:p>
            <w:pPr>
              <w:pStyle w:val="Normal"/>
              <w:spacing w:lineRule="auto" w:line="276"/>
              <w:rPr/>
            </w:pPr>
            <w:r>
              <w:rPr>
                <w:sz w:val="22"/>
                <w:szCs w:val="22"/>
                <w:lang w:val="en-US"/>
              </w:rPr>
              <w:t>Understanding of poverty, discrimination, trauma, domestic abuse and social exclusion, and how these may affect trust, access and engagement.</w:t>
            </w:r>
            <w:r>
              <w:rPr>
                <w:sz w:val="22"/>
                <w:szCs w:val="22"/>
              </w:rPr>
              <w:t> </w:t>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tc>
        <w:tc>
          <w:tcPr>
            <w:tcW w:w="1630" w:type="dxa"/>
            <w:tcBorders>
              <w:top w:val="single" w:sz="4" w:space="0" w:color="000000"/>
              <w:left w:val="single" w:sz="4" w:space="0" w:color="000000"/>
              <w:bottom w:val="single" w:sz="4" w:space="0" w:color="000000"/>
              <w:right w:val="single" w:sz="4" w:space="0" w:color="000000"/>
            </w:tcBorders>
            <w:shd w:fill="auto" w:val="clear"/>
          </w:tcPr>
          <w:p>
            <w:pPr>
              <w:pStyle w:val="Normal"/>
              <w:jc w:val="center"/>
              <w:rPr>
                <w:sz w:val="22"/>
                <w:szCs w:val="22"/>
              </w:rPr>
            </w:pPr>
            <w:r>
              <w:rPr>
                <w:sz w:val="22"/>
                <w:szCs w:val="22"/>
              </w:rPr>
              <w:t>A / I</w:t>
            </w:r>
          </w:p>
          <w:p>
            <w:pPr>
              <w:pStyle w:val="Normal"/>
              <w:jc w:val="center"/>
              <w:rPr>
                <w:sz w:val="22"/>
                <w:szCs w:val="22"/>
              </w:rPr>
            </w:pPr>
            <w:r>
              <w:rPr>
                <w:sz w:val="22"/>
                <w:szCs w:val="22"/>
              </w:rPr>
            </w:r>
          </w:p>
          <w:p>
            <w:pPr>
              <w:pStyle w:val="Normal"/>
              <w:jc w:val="center"/>
              <w:rPr>
                <w:sz w:val="22"/>
                <w:szCs w:val="22"/>
              </w:rPr>
            </w:pPr>
            <w:r>
              <w:rPr>
                <w:sz w:val="22"/>
                <w:szCs w:val="22"/>
              </w:rPr>
            </w:r>
          </w:p>
          <w:p>
            <w:pPr>
              <w:pStyle w:val="Normal"/>
              <w:jc w:val="center"/>
              <w:rPr>
                <w:sz w:val="22"/>
                <w:szCs w:val="22"/>
              </w:rPr>
            </w:pPr>
            <w:r>
              <w:rPr>
                <w:sz w:val="22"/>
                <w:szCs w:val="22"/>
              </w:rPr>
            </w:r>
          </w:p>
          <w:p>
            <w:pPr>
              <w:pStyle w:val="Normal"/>
              <w:jc w:val="center"/>
              <w:rPr>
                <w:sz w:val="22"/>
                <w:szCs w:val="22"/>
              </w:rPr>
            </w:pPr>
            <w:r>
              <w:rPr>
                <w:sz w:val="22"/>
                <w:szCs w:val="22"/>
              </w:rPr>
            </w:r>
          </w:p>
          <w:p>
            <w:pPr>
              <w:pStyle w:val="Normal"/>
              <w:jc w:val="center"/>
              <w:rPr>
                <w:sz w:val="22"/>
                <w:szCs w:val="22"/>
              </w:rPr>
            </w:pPr>
            <w:r>
              <w:rPr>
                <w:sz w:val="22"/>
                <w:szCs w:val="22"/>
              </w:rPr>
            </w:r>
          </w:p>
          <w:p>
            <w:pPr>
              <w:pStyle w:val="Normal"/>
              <w:jc w:val="center"/>
              <w:rPr>
                <w:sz w:val="22"/>
                <w:szCs w:val="22"/>
              </w:rPr>
            </w:pPr>
            <w:r>
              <w:rPr>
                <w:sz w:val="22"/>
                <w:szCs w:val="22"/>
              </w:rPr>
            </w:r>
          </w:p>
          <w:p>
            <w:pPr>
              <w:pStyle w:val="Normal"/>
              <w:jc w:val="center"/>
              <w:rPr>
                <w:sz w:val="22"/>
                <w:szCs w:val="22"/>
              </w:rPr>
            </w:pPr>
            <w:r>
              <w:rPr>
                <w:sz w:val="22"/>
                <w:szCs w:val="22"/>
              </w:rPr>
              <w:t>A / I</w:t>
            </w:r>
          </w:p>
          <w:p>
            <w:pPr>
              <w:pStyle w:val="Normal"/>
              <w:jc w:val="center"/>
              <w:rPr>
                <w:sz w:val="22"/>
                <w:szCs w:val="22"/>
              </w:rPr>
            </w:pPr>
            <w:r>
              <w:rPr>
                <w:sz w:val="22"/>
                <w:szCs w:val="22"/>
              </w:rPr>
            </w:r>
          </w:p>
          <w:p>
            <w:pPr>
              <w:pStyle w:val="Normal"/>
              <w:jc w:val="center"/>
              <w:rPr>
                <w:sz w:val="22"/>
                <w:szCs w:val="22"/>
              </w:rPr>
            </w:pPr>
            <w:r>
              <w:rPr>
                <w:sz w:val="22"/>
                <w:szCs w:val="22"/>
              </w:rPr>
            </w:r>
          </w:p>
          <w:p>
            <w:pPr>
              <w:pStyle w:val="Normal"/>
              <w:jc w:val="center"/>
              <w:rPr>
                <w:sz w:val="22"/>
                <w:szCs w:val="22"/>
              </w:rPr>
            </w:pPr>
            <w:r>
              <w:rPr>
                <w:sz w:val="22"/>
                <w:szCs w:val="22"/>
              </w:rPr>
            </w:r>
          </w:p>
          <w:p>
            <w:pPr>
              <w:pStyle w:val="Normal"/>
              <w:jc w:val="center"/>
              <w:rPr>
                <w:sz w:val="22"/>
                <w:szCs w:val="22"/>
              </w:rPr>
            </w:pPr>
            <w:r>
              <w:rPr>
                <w:sz w:val="22"/>
                <w:szCs w:val="22"/>
              </w:rPr>
            </w:r>
          </w:p>
          <w:p>
            <w:pPr>
              <w:pStyle w:val="Normal"/>
              <w:jc w:val="center"/>
              <w:rPr>
                <w:sz w:val="22"/>
                <w:szCs w:val="22"/>
              </w:rPr>
            </w:pPr>
            <w:r>
              <w:rPr>
                <w:sz w:val="22"/>
                <w:szCs w:val="22"/>
              </w:rPr>
            </w:r>
          </w:p>
          <w:p>
            <w:pPr>
              <w:pStyle w:val="Normal"/>
              <w:jc w:val="center"/>
              <w:rPr>
                <w:sz w:val="22"/>
                <w:szCs w:val="22"/>
              </w:rPr>
            </w:pPr>
            <w:r>
              <w:rPr>
                <w:sz w:val="22"/>
                <w:szCs w:val="22"/>
              </w:rPr>
            </w:r>
          </w:p>
          <w:p>
            <w:pPr>
              <w:pStyle w:val="Normal"/>
              <w:jc w:val="center"/>
              <w:rPr>
                <w:sz w:val="22"/>
                <w:szCs w:val="22"/>
              </w:rPr>
            </w:pPr>
            <w:r>
              <w:rPr>
                <w:sz w:val="22"/>
                <w:szCs w:val="22"/>
              </w:rPr>
            </w:r>
          </w:p>
          <w:p>
            <w:pPr>
              <w:pStyle w:val="Normal"/>
              <w:jc w:val="center"/>
              <w:rPr>
                <w:sz w:val="22"/>
                <w:szCs w:val="22"/>
              </w:rPr>
            </w:pPr>
            <w:r>
              <w:rPr>
                <w:sz w:val="22"/>
                <w:szCs w:val="22"/>
              </w:rPr>
            </w:r>
          </w:p>
          <w:p>
            <w:pPr>
              <w:pStyle w:val="Normal"/>
              <w:jc w:val="center"/>
              <w:rPr>
                <w:sz w:val="22"/>
                <w:szCs w:val="22"/>
              </w:rPr>
            </w:pPr>
            <w:r>
              <w:rPr>
                <w:sz w:val="22"/>
                <w:szCs w:val="22"/>
              </w:rPr>
            </w:r>
          </w:p>
          <w:p>
            <w:pPr>
              <w:pStyle w:val="Normal"/>
              <w:jc w:val="center"/>
              <w:rPr>
                <w:sz w:val="22"/>
                <w:szCs w:val="22"/>
              </w:rPr>
            </w:pPr>
            <w:r>
              <w:rPr>
                <w:sz w:val="22"/>
                <w:szCs w:val="22"/>
              </w:rPr>
            </w:r>
          </w:p>
          <w:p>
            <w:pPr>
              <w:pStyle w:val="Normal"/>
              <w:jc w:val="center"/>
              <w:rPr>
                <w:rFonts w:cs="Arial"/>
                <w:sz w:val="22"/>
                <w:szCs w:val="22"/>
              </w:rPr>
            </w:pPr>
            <w:r>
              <w:rPr>
                <w:rFonts w:cs="Arial"/>
                <w:sz w:val="22"/>
                <w:szCs w:val="22"/>
              </w:rPr>
            </w:r>
          </w:p>
        </w:tc>
      </w:tr>
      <w:tr>
        <w:trPr/>
        <w:tc>
          <w:tcPr>
            <w:tcW w:w="1964" w:type="dxa"/>
            <w:tcBorders>
              <w:top w:val="single" w:sz="4" w:space="0" w:color="000000"/>
              <w:left w:val="single" w:sz="4" w:space="0" w:color="000000"/>
              <w:bottom w:val="single" w:sz="4" w:space="0" w:color="000000"/>
            </w:tcBorders>
            <w:shd w:fill="00B3BE" w:val="clear"/>
          </w:tcPr>
          <w:p>
            <w:pPr>
              <w:pStyle w:val="Normal"/>
              <w:snapToGrid w:val="false"/>
              <w:rPr>
                <w:rFonts w:cs="Arial"/>
                <w:b/>
                <w:b/>
                <w:bCs/>
                <w:sz w:val="22"/>
                <w:szCs w:val="22"/>
              </w:rPr>
            </w:pPr>
            <w:r>
              <w:rPr>
                <w:rFonts w:cs="Arial"/>
                <w:b/>
                <w:bCs/>
                <w:sz w:val="22"/>
                <w:szCs w:val="22"/>
              </w:rPr>
            </w:r>
          </w:p>
          <w:p>
            <w:pPr>
              <w:pStyle w:val="TextBody"/>
              <w:rPr>
                <w:rFonts w:cs="Arial"/>
                <w:bCs/>
                <w:szCs w:val="22"/>
              </w:rPr>
            </w:pPr>
            <w:r>
              <w:rPr>
                <w:rFonts w:cs="Arial"/>
                <w:bCs/>
                <w:szCs w:val="22"/>
              </w:rPr>
              <w:t>Work Circumstances</w:t>
            </w:r>
          </w:p>
          <w:p>
            <w:pPr>
              <w:pStyle w:val="Normal"/>
              <w:rPr>
                <w:rFonts w:cs="Arial"/>
                <w:b/>
                <w:b/>
                <w:bCs/>
                <w:sz w:val="22"/>
                <w:szCs w:val="22"/>
              </w:rPr>
            </w:pPr>
            <w:r>
              <w:rPr>
                <w:rFonts w:cs="Arial"/>
                <w:b/>
                <w:bCs/>
                <w:sz w:val="22"/>
                <w:szCs w:val="22"/>
              </w:rPr>
            </w:r>
          </w:p>
        </w:tc>
        <w:tc>
          <w:tcPr>
            <w:tcW w:w="3795" w:type="dxa"/>
            <w:tcBorders>
              <w:top w:val="single" w:sz="4" w:space="0" w:color="000000"/>
              <w:left w:val="single" w:sz="4" w:space="0" w:color="000000"/>
              <w:bottom w:val="single" w:sz="4" w:space="0" w:color="000000"/>
            </w:tcBorders>
            <w:shd w:fill="auto" w:val="clear"/>
          </w:tcPr>
          <w:p>
            <w:pPr>
              <w:pStyle w:val="Normal"/>
              <w:rPr>
                <w:rFonts w:cs="Arial"/>
                <w:sz w:val="22"/>
                <w:szCs w:val="22"/>
              </w:rPr>
            </w:pPr>
            <w:r>
              <w:rPr>
                <w:rFonts w:cs="Arial"/>
                <w:sz w:val="22"/>
                <w:szCs w:val="22"/>
              </w:rPr>
              <w:t xml:space="preserve">Able to travel across the borough and work in homes, schools and community venues. </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 xml:space="preserve">Able to work flexibly, including occasional work outside normal office hours.  </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Commitment to continuous professional development and reflective supervision.</w:t>
            </w:r>
          </w:p>
          <w:p>
            <w:pPr>
              <w:pStyle w:val="Normal"/>
              <w:rPr>
                <w:rFonts w:cs="Arial"/>
                <w:sz w:val="22"/>
                <w:szCs w:val="22"/>
              </w:rPr>
            </w:pPr>
            <w:r>
              <w:rPr>
                <w:rFonts w:cs="Arial"/>
                <w:sz w:val="22"/>
                <w:szCs w:val="22"/>
              </w:rPr>
            </w:r>
          </w:p>
          <w:p>
            <w:pPr>
              <w:pStyle w:val="Normal"/>
              <w:overflowPunct w:val="true"/>
              <w:textAlignment w:val="baseline"/>
              <w:rPr>
                <w:rFonts w:cs="Arial"/>
                <w:sz w:val="22"/>
                <w:szCs w:val="22"/>
              </w:rPr>
            </w:pPr>
            <w:r>
              <w:rPr>
                <w:rFonts w:cs="Arial"/>
                <w:sz w:val="22"/>
                <w:szCs w:val="22"/>
              </w:rPr>
            </w:r>
          </w:p>
        </w:tc>
        <w:tc>
          <w:tcPr>
            <w:tcW w:w="3060" w:type="dxa"/>
            <w:tcBorders>
              <w:top w:val="single" w:sz="4" w:space="0" w:color="000000"/>
              <w:left w:val="single" w:sz="4" w:space="0" w:color="000000"/>
              <w:bottom w:val="single" w:sz="4" w:space="0" w:color="000000"/>
            </w:tcBorders>
            <w:shd w:fill="auto" w:val="clear"/>
          </w:tcPr>
          <w:p>
            <w:pPr>
              <w:pStyle w:val="Normal"/>
              <w:snapToGrid w:val="false"/>
              <w:ind w:left="360" w:right="0" w:hanging="0"/>
              <w:jc w:val="center"/>
              <w:rPr>
                <w:rFonts w:cs="Arial"/>
                <w:sz w:val="22"/>
                <w:szCs w:val="22"/>
              </w:rPr>
            </w:pPr>
            <w:r>
              <w:rPr>
                <w:rFonts w:cs="Arial"/>
                <w:sz w:val="22"/>
                <w:szCs w:val="22"/>
              </w:rPr>
            </w:r>
          </w:p>
          <w:p>
            <w:pPr>
              <w:pStyle w:val="Normal"/>
              <w:ind w:left="360" w:right="0" w:hanging="0"/>
              <w:jc w:val="center"/>
              <w:rPr>
                <w:rFonts w:cs="Arial"/>
                <w:sz w:val="22"/>
                <w:szCs w:val="22"/>
              </w:rPr>
            </w:pPr>
            <w:r>
              <w:rPr>
                <w:rFonts w:cs="Arial"/>
                <w:sz w:val="22"/>
                <w:szCs w:val="22"/>
              </w:rPr>
            </w:r>
          </w:p>
        </w:tc>
        <w:tc>
          <w:tcPr>
            <w:tcW w:w="1630" w:type="dxa"/>
            <w:tcBorders>
              <w:top w:val="single" w:sz="4" w:space="0" w:color="000000"/>
              <w:left w:val="single" w:sz="4" w:space="0" w:color="000000"/>
              <w:bottom w:val="single" w:sz="4" w:space="0" w:color="000000"/>
              <w:right w:val="single" w:sz="4" w:space="0" w:color="000000"/>
            </w:tcBorders>
            <w:shd w:fill="auto" w:val="clear"/>
          </w:tcPr>
          <w:p>
            <w:pPr>
              <w:pStyle w:val="Normal"/>
              <w:ind w:left="360" w:right="0" w:hanging="0"/>
              <w:jc w:val="center"/>
              <w:rPr>
                <w:rFonts w:cs="Arial"/>
                <w:sz w:val="22"/>
                <w:szCs w:val="22"/>
              </w:rPr>
            </w:pPr>
            <w:r>
              <w:rPr>
                <w:rFonts w:cs="Arial"/>
                <w:sz w:val="22"/>
                <w:szCs w:val="22"/>
              </w:rPr>
              <w:t>A/I</w:t>
            </w:r>
          </w:p>
          <w:p>
            <w:pPr>
              <w:pStyle w:val="Normal"/>
              <w:ind w:left="360" w:right="0" w:hanging="0"/>
              <w:jc w:val="center"/>
              <w:rPr>
                <w:rFonts w:cs="Arial"/>
                <w:sz w:val="22"/>
                <w:szCs w:val="22"/>
              </w:rPr>
            </w:pPr>
            <w:r>
              <w:rPr>
                <w:rFonts w:cs="Arial"/>
                <w:sz w:val="22"/>
                <w:szCs w:val="22"/>
              </w:rPr>
            </w:r>
          </w:p>
        </w:tc>
      </w:tr>
    </w:tbl>
    <w:p>
      <w:pPr>
        <w:pStyle w:val="Normal"/>
        <w:rPr>
          <w:rFonts w:cs="Arial"/>
          <w:sz w:val="22"/>
          <w:szCs w:val="22"/>
        </w:rPr>
      </w:pPr>
      <w:r>
        <w:rPr>
          <w:rFonts w:cs="Arial"/>
          <w:sz w:val="22"/>
          <w:szCs w:val="22"/>
        </w:rPr>
      </w:r>
    </w:p>
    <w:p>
      <w:pPr>
        <w:pStyle w:val="Normal"/>
        <w:spacing w:before="0" w:after="60"/>
        <w:jc w:val="both"/>
        <w:rPr/>
      </w:pPr>
      <w:r>
        <w:rPr>
          <w:rFonts w:cs="Arial"/>
          <w:i/>
          <w:sz w:val="22"/>
          <w:szCs w:val="22"/>
        </w:rPr>
        <w:t>Abbreviations:</w:t>
      </w:r>
      <w:r>
        <w:rPr>
          <w:rFonts w:cs="Arial"/>
          <w:sz w:val="22"/>
          <w:szCs w:val="22"/>
        </w:rPr>
        <w:t xml:space="preserve"> AF = Application Form; I = Interview; AC = Assessment Centre; T = Test, P= Presentation </w:t>
      </w:r>
    </w:p>
    <w:p>
      <w:pPr>
        <w:pStyle w:val="Normal"/>
        <w:rPr>
          <w:rFonts w:cs="Arial"/>
          <w:sz w:val="22"/>
          <w:szCs w:val="22"/>
        </w:rPr>
      </w:pPr>
      <w:r>
        <w:rPr>
          <w:rFonts w:cs="Arial"/>
          <w:sz w:val="22"/>
          <w:szCs w:val="22"/>
        </w:rPr>
      </w:r>
    </w:p>
    <w:p>
      <w:pPr>
        <w:pStyle w:val="Normal"/>
        <w:jc w:val="both"/>
        <w:rPr/>
      </w:pPr>
      <w:r>
        <w:rPr>
          <w:rFonts w:cs="Arial"/>
          <w:b/>
          <w:bCs/>
          <w:sz w:val="22"/>
          <w:szCs w:val="22"/>
        </w:rPr>
        <w:t xml:space="preserve">NB. - Any candidate that meets the criteria of our </w:t>
      </w:r>
      <w:r>
        <w:rPr>
          <w:rFonts w:cs="Arial"/>
          <w:b/>
          <w:bCs/>
          <w:color w:val="0563C1"/>
          <w:sz w:val="22"/>
          <w:szCs w:val="22"/>
          <w:u w:val="single"/>
        </w:rPr>
        <w:t>Guaranteed Assessment Scheme</w:t>
      </w:r>
      <w:r>
        <w:rPr>
          <w:rFonts w:cs="Arial"/>
          <w:b/>
          <w:bCs/>
          <w:sz w:val="22"/>
          <w:szCs w:val="22"/>
        </w:rPr>
        <w:t xml:space="preserve"> and meets the essential criteria of the role, will be guaranteed the first stage of assessment (whether that is an interview or another assessment, as appropriate).</w:t>
      </w:r>
    </w:p>
    <w:p>
      <w:pPr>
        <w:pStyle w:val="Normal"/>
        <w:jc w:val="both"/>
        <w:rPr>
          <w:rFonts w:cs="Arial"/>
          <w:b/>
          <w:b/>
          <w:bCs/>
          <w:sz w:val="22"/>
          <w:szCs w:val="22"/>
        </w:rPr>
      </w:pPr>
      <w:r>
        <w:rPr>
          <w:rFonts w:cs="Arial"/>
          <w:b/>
          <w:bCs/>
          <w:sz w:val="22"/>
          <w:szCs w:val="22"/>
        </w:rPr>
      </w:r>
    </w:p>
    <w:p>
      <w:pPr>
        <w:pStyle w:val="Normal"/>
        <w:jc w:val="both"/>
        <w:rPr>
          <w:rFonts w:cs="Arial"/>
          <w:b/>
          <w:b/>
          <w:bCs/>
          <w:sz w:val="22"/>
          <w:szCs w:val="22"/>
        </w:rPr>
      </w:pPr>
      <w:r>
        <w:rPr>
          <w:rFonts w:cs="Arial"/>
          <w:b/>
          <w:bCs/>
          <w:sz w:val="22"/>
          <w:szCs w:val="22"/>
        </w:rPr>
        <w:t>Our Guaranteed Assessment Scheme supports candidates with disabilities, those who are aged 24 or under and have previously been in or currently in care, those that are carers, and those who have served in the Armed Forces as a regular, reserve or cadet.</w:t>
      </w:r>
    </w:p>
    <w:p>
      <w:pPr>
        <w:pStyle w:val="Normal"/>
        <w:rPr/>
      </w:pPr>
      <w:r>
        <w:rPr/>
      </w:r>
    </w:p>
    <w:sectPr>
      <w:headerReference w:type="default" r:id="rId2"/>
      <w:headerReference w:type="first" r:id="rId3"/>
      <w:type w:val="nextPage"/>
      <w:pgSz w:w="11906" w:h="16838"/>
      <w:pgMar w:left="1440" w:right="1440" w:header="567" w:top="624" w:footer="0" w:bottom="1440" w:gutter="0"/>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ourier New">
    <w:charset w:val="01"/>
    <w:family w:val="modern"/>
    <w:pitch w:val="default"/>
  </w:font>
  <w:font w:name="Wingdings">
    <w:charset w:val="02"/>
    <w:family w:val="auto"/>
    <w:pitch w:val="variable"/>
  </w:font>
  <w:font w:name="Palatino">
    <w:charset w:val="00"/>
    <w:family w:val="roman"/>
    <w:pitch w:val="variable"/>
  </w:font>
  <w:font w:name="Liberation Sans">
    <w:altName w:val="Arial"/>
    <w:charset w:val="00"/>
    <w:family w:val="swiss"/>
    <w:pitch w:val="variable"/>
  </w:font>
  <w:font w:name="Calibri">
    <w:charset w:val="00"/>
    <w:family w:val="roman"/>
    <w:pitch w:val="variable"/>
  </w:font>
  <w:font w:name="Helvetica">
    <w:altName w:val="Arial"/>
    <w:charset w:val="00"/>
    <w:family w:val="swiss"/>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spacing w:lineRule="auto" w:line="264"/>
      <w:rPr/>
    </w:pPr>
    <w:r>
      <w:rPr/>
    </w:r>
  </w:p>
  <w:p>
    <w:pPr>
      <w:pStyle w:val="Header"/>
      <w:tabs>
        <w:tab w:val="clear" w:pos="4153"/>
        <w:tab w:val="clear" w:pos="8306"/>
        <w:tab w:val="left" w:pos="8565" w:leader="none"/>
      </w:tabs>
      <w:rPr/>
    </w:pPr>
    <w:r>
      <w:rPr/>
      <w:tab/>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Heading1"/>
      <w:numFmt w:val="none"/>
      <w:suff w:val="nothing"/>
      <w:lvlText w:val=""/>
      <w:lvlJc w:val="left"/>
      <w:pPr>
        <w:ind w:left="0" w:hanging="0"/>
      </w:pPr>
    </w:lvl>
    <w:lvl w:ilvl="1">
      <w:start w:val="1"/>
      <w:numFmt w:val="none"/>
      <w:suff w:val="nothing"/>
      <w:lvlText w:val=""/>
      <w:lvlJc w:val="left"/>
      <w:pPr>
        <w:ind w:left="0" w:hanging="0"/>
      </w:pPr>
    </w:lvl>
    <w:lvl w:ilvl="2">
      <w:start w:val="1"/>
      <w:pStyle w:val="Heading3"/>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abstractNum w:abstractNumId="2">
    <w:lvl w:ilvl="0">
      <w:start w:val="1"/>
      <w:numFmt w:val="bullet"/>
      <w:lvlText w:val=""/>
      <w:lvlJc w:val="left"/>
      <w:pPr>
        <w:ind w:left="72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3">
    <w:lvl w:ilvl="0">
      <w:start w:val="1"/>
      <w:numFmt w:val="bullet"/>
      <w:lvlText w:val=""/>
      <w:lvlJc w:val="left"/>
      <w:pPr>
        <w:tabs>
          <w:tab w:val="num" w:pos="720"/>
        </w:tabs>
        <w:ind w:left="720" w:hanging="360"/>
      </w:pPr>
      <w:rPr>
        <w:rFonts w:ascii="Symbol" w:hAnsi="Symbol" w:cs="Symbol" w:hint="default"/>
        <w:sz w:val="20"/>
        <w:b/>
        <w:rFonts w:cs="Symbol"/>
      </w:rPr>
    </w:lvl>
    <w:lvl w:ilvl="1">
      <w:start w:val="1"/>
      <w:numFmt w:val="bullet"/>
      <w:lvlText w:val="o"/>
      <w:lvlJc w:val="left"/>
      <w:pPr>
        <w:tabs>
          <w:tab w:val="num" w:pos="1440"/>
        </w:tabs>
        <w:ind w:left="1440" w:hanging="360"/>
      </w:pPr>
      <w:rPr>
        <w:rFonts w:ascii="Courier New" w:hAnsi="Courier New" w:cs="Courier New" w:hint="default"/>
        <w:sz w:val="20"/>
        <w:rFonts w:cs="Times New Roman"/>
      </w:rPr>
    </w:lvl>
    <w:lvl w:ilvl="2">
      <w:start w:val="1"/>
      <w:numFmt w:val="bullet"/>
      <w:lvlText w:val=""/>
      <w:lvlJc w:val="left"/>
      <w:pPr>
        <w:tabs>
          <w:tab w:val="num" w:pos="2160"/>
        </w:tabs>
        <w:ind w:left="2160" w:hanging="360"/>
      </w:pPr>
      <w:rPr>
        <w:rFonts w:ascii="Wingdings" w:hAnsi="Wingdings" w:cs="Wingdings" w:hint="default"/>
        <w:sz w:val="20"/>
        <w:rFonts w:cs="Wingdings"/>
      </w:rPr>
    </w:lvl>
    <w:lvl w:ilvl="3">
      <w:start w:val="1"/>
      <w:numFmt w:val="bullet"/>
      <w:lvlText w:val=""/>
      <w:lvlJc w:val="left"/>
      <w:pPr>
        <w:tabs>
          <w:tab w:val="num" w:pos="2880"/>
        </w:tabs>
        <w:ind w:left="2880" w:hanging="360"/>
      </w:pPr>
      <w:rPr>
        <w:rFonts w:ascii="Wingdings" w:hAnsi="Wingdings" w:cs="Wingdings" w:hint="default"/>
        <w:sz w:val="20"/>
        <w:rFonts w:cs="Wingdings"/>
      </w:rPr>
    </w:lvl>
    <w:lvl w:ilvl="4">
      <w:start w:val="1"/>
      <w:numFmt w:val="bullet"/>
      <w:lvlText w:val=""/>
      <w:lvlJc w:val="left"/>
      <w:pPr>
        <w:tabs>
          <w:tab w:val="num" w:pos="3600"/>
        </w:tabs>
        <w:ind w:left="3600" w:hanging="360"/>
      </w:pPr>
      <w:rPr>
        <w:rFonts w:ascii="Wingdings" w:hAnsi="Wingdings" w:cs="Wingdings" w:hint="default"/>
        <w:sz w:val="20"/>
        <w:rFonts w:cs="Wingdings"/>
      </w:rPr>
    </w:lvl>
    <w:lvl w:ilvl="5">
      <w:start w:val="1"/>
      <w:numFmt w:val="bullet"/>
      <w:lvlText w:val=""/>
      <w:lvlJc w:val="left"/>
      <w:pPr>
        <w:tabs>
          <w:tab w:val="num" w:pos="4320"/>
        </w:tabs>
        <w:ind w:left="4320" w:hanging="360"/>
      </w:pPr>
      <w:rPr>
        <w:rFonts w:ascii="Wingdings" w:hAnsi="Wingdings" w:cs="Wingdings" w:hint="default"/>
        <w:sz w:val="20"/>
        <w:rFonts w:cs="Wingdings"/>
      </w:rPr>
    </w:lvl>
    <w:lvl w:ilvl="6">
      <w:start w:val="1"/>
      <w:numFmt w:val="bullet"/>
      <w:lvlText w:val=""/>
      <w:lvlJc w:val="left"/>
      <w:pPr>
        <w:tabs>
          <w:tab w:val="num" w:pos="5040"/>
        </w:tabs>
        <w:ind w:left="5040" w:hanging="360"/>
      </w:pPr>
      <w:rPr>
        <w:rFonts w:ascii="Wingdings" w:hAnsi="Wingdings" w:cs="Wingdings" w:hint="default"/>
        <w:sz w:val="20"/>
        <w:rFonts w:cs="Wingdings"/>
      </w:rPr>
    </w:lvl>
    <w:lvl w:ilvl="7">
      <w:start w:val="1"/>
      <w:numFmt w:val="bullet"/>
      <w:lvlText w:val=""/>
      <w:lvlJc w:val="left"/>
      <w:pPr>
        <w:tabs>
          <w:tab w:val="num" w:pos="5760"/>
        </w:tabs>
        <w:ind w:left="5760" w:hanging="360"/>
      </w:pPr>
      <w:rPr>
        <w:rFonts w:ascii="Wingdings" w:hAnsi="Wingdings" w:cs="Wingdings" w:hint="default"/>
        <w:sz w:val="20"/>
        <w:rFonts w:cs="Wingdings"/>
      </w:rPr>
    </w:lvl>
    <w:lvl w:ilvl="8">
      <w:start w:val="1"/>
      <w:numFmt w:val="bullet"/>
      <w:lvlText w:val=""/>
      <w:lvlJc w:val="left"/>
      <w:pPr>
        <w:tabs>
          <w:tab w:val="num" w:pos="6480"/>
        </w:tabs>
        <w:ind w:left="6480" w:hanging="360"/>
      </w:pPr>
      <w:rPr>
        <w:rFonts w:ascii="Wingdings" w:hAnsi="Wingdings" w:cs="Wingdings" w:hint="default"/>
        <w:sz w:val="20"/>
        <w:rFonts w:cs="Wingdings"/>
      </w:rPr>
    </w:lvl>
  </w:abstractNum>
  <w:abstractNum w:abstractNumId="4">
    <w:lvl w:ilvl="0">
      <w:start w:val="1"/>
      <w:numFmt w:val="decimal"/>
      <w:lvlText w:val="%1."/>
      <w:lvlJc w:val="left"/>
      <w:pPr>
        <w:tabs>
          <w:tab w:val="num" w:pos="720"/>
        </w:tabs>
        <w:ind w:left="720" w:hanging="360"/>
      </w:pPr>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5">
    <w:lvl w:ilvl="0">
      <w:start w:val="1"/>
      <w:numFmt w:val="bullet"/>
      <w:lvlText w:val=""/>
      <w:lvlJc w:val="left"/>
      <w:pPr>
        <w:tabs>
          <w:tab w:val="num" w:pos="360"/>
        </w:tabs>
        <w:ind w:left="360" w:hanging="360"/>
      </w:pPr>
      <w:rPr>
        <w:rFonts w:ascii="Symbol" w:hAnsi="Symbol" w:cs="Symbol" w:hint="default"/>
        <w:sz w:val="22"/>
        <w:rFonts w:cs="Symbol"/>
      </w:rPr>
    </w:lvl>
    <w:lvl w:ilvl="1">
      <w:start w:val="1"/>
      <w:numFmt w:val="bullet"/>
      <w:lvlText w:val="o"/>
      <w:lvlJc w:val="left"/>
      <w:pPr>
        <w:tabs>
          <w:tab w:val="num" w:pos="1080"/>
        </w:tabs>
        <w:ind w:left="1080" w:hanging="360"/>
      </w:pPr>
      <w:rPr>
        <w:rFonts w:ascii="Courier New" w:hAnsi="Courier New" w:cs="Courier New" w:hint="default"/>
        <w:sz w:val="20"/>
        <w:rFonts w:cs="Times New Roman"/>
      </w:rPr>
    </w:lvl>
    <w:lvl w:ilvl="2">
      <w:start w:val="1"/>
      <w:numFmt w:val="bullet"/>
      <w:lvlText w:val=""/>
      <w:lvlJc w:val="left"/>
      <w:pPr>
        <w:tabs>
          <w:tab w:val="num" w:pos="1800"/>
        </w:tabs>
        <w:ind w:left="1800" w:hanging="360"/>
      </w:pPr>
      <w:rPr>
        <w:rFonts w:ascii="Wingdings" w:hAnsi="Wingdings" w:cs="Wingdings" w:hint="default"/>
        <w:sz w:val="20"/>
        <w:rFonts w:cs="Wingdings"/>
      </w:rPr>
    </w:lvl>
    <w:lvl w:ilvl="3">
      <w:start w:val="1"/>
      <w:numFmt w:val="bullet"/>
      <w:lvlText w:val=""/>
      <w:lvlJc w:val="left"/>
      <w:pPr>
        <w:tabs>
          <w:tab w:val="num" w:pos="2520"/>
        </w:tabs>
        <w:ind w:left="2520" w:hanging="360"/>
      </w:pPr>
      <w:rPr>
        <w:rFonts w:ascii="Wingdings" w:hAnsi="Wingdings" w:cs="Wingdings" w:hint="default"/>
        <w:sz w:val="20"/>
        <w:rFonts w:cs="Wingdings"/>
      </w:rPr>
    </w:lvl>
    <w:lvl w:ilvl="4">
      <w:start w:val="1"/>
      <w:numFmt w:val="bullet"/>
      <w:lvlText w:val=""/>
      <w:lvlJc w:val="left"/>
      <w:pPr>
        <w:tabs>
          <w:tab w:val="num" w:pos="3240"/>
        </w:tabs>
        <w:ind w:left="3240" w:hanging="360"/>
      </w:pPr>
      <w:rPr>
        <w:rFonts w:ascii="Wingdings" w:hAnsi="Wingdings" w:cs="Wingdings" w:hint="default"/>
        <w:sz w:val="20"/>
        <w:rFonts w:cs="Wingdings"/>
      </w:rPr>
    </w:lvl>
    <w:lvl w:ilvl="5">
      <w:start w:val="1"/>
      <w:numFmt w:val="bullet"/>
      <w:lvlText w:val=""/>
      <w:lvlJc w:val="left"/>
      <w:pPr>
        <w:tabs>
          <w:tab w:val="num" w:pos="3960"/>
        </w:tabs>
        <w:ind w:left="3960" w:hanging="360"/>
      </w:pPr>
      <w:rPr>
        <w:rFonts w:ascii="Wingdings" w:hAnsi="Wingdings" w:cs="Wingdings" w:hint="default"/>
        <w:sz w:val="20"/>
        <w:rFonts w:cs="Wingdings"/>
      </w:rPr>
    </w:lvl>
    <w:lvl w:ilvl="6">
      <w:start w:val="1"/>
      <w:numFmt w:val="bullet"/>
      <w:lvlText w:val=""/>
      <w:lvlJc w:val="left"/>
      <w:pPr>
        <w:tabs>
          <w:tab w:val="num" w:pos="4680"/>
        </w:tabs>
        <w:ind w:left="4680" w:hanging="360"/>
      </w:pPr>
      <w:rPr>
        <w:rFonts w:ascii="Wingdings" w:hAnsi="Wingdings" w:cs="Wingdings" w:hint="default"/>
        <w:sz w:val="20"/>
        <w:rFonts w:cs="Wingdings"/>
      </w:rPr>
    </w:lvl>
    <w:lvl w:ilvl="7">
      <w:start w:val="1"/>
      <w:numFmt w:val="bullet"/>
      <w:lvlText w:val=""/>
      <w:lvlJc w:val="left"/>
      <w:pPr>
        <w:tabs>
          <w:tab w:val="num" w:pos="5400"/>
        </w:tabs>
        <w:ind w:left="5400" w:hanging="360"/>
      </w:pPr>
      <w:rPr>
        <w:rFonts w:ascii="Wingdings" w:hAnsi="Wingdings" w:cs="Wingdings" w:hint="default"/>
        <w:sz w:val="20"/>
        <w:rFonts w:cs="Wingdings"/>
      </w:rPr>
    </w:lvl>
    <w:lvl w:ilvl="8">
      <w:start w:val="1"/>
      <w:numFmt w:val="bullet"/>
      <w:lvlText w:val=""/>
      <w:lvlJc w:val="left"/>
      <w:pPr>
        <w:tabs>
          <w:tab w:val="num" w:pos="6120"/>
        </w:tabs>
        <w:ind w:left="6120" w:hanging="360"/>
      </w:pPr>
      <w:rPr>
        <w:rFonts w:ascii="Wingdings" w:hAnsi="Wingdings" w:cs="Wingdings" w:hint="default"/>
        <w:sz w:val="20"/>
        <w:rFonts w:cs="Wingdings"/>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100"/>
  <w:defaultTabStop w:val="720"/>
  <w:autoHyphenation w:val="fals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Cs w:val="24"/>
        <w:lang w:val="en-US" w:eastAsia="zh-CN" w:bidi="hi-IN"/>
      </w:rPr>
    </w:rPrDefault>
    <w:pPrDefault>
      <w:pPr/>
    </w:pPrDefault>
  </w:docDefaults>
  <w:style w:type="paragraph" w:styleId="Normal">
    <w:name w:val="Normal"/>
    <w:qFormat/>
    <w:pPr>
      <w:widowControl/>
      <w:suppressAutoHyphens w:val="true"/>
      <w:bidi w:val="0"/>
      <w:spacing w:before="0" w:after="0"/>
      <w:jc w:val="left"/>
    </w:pPr>
    <w:rPr>
      <w:rFonts w:ascii="Arial" w:hAnsi="Arial" w:eastAsia="Times New Roman" w:cs="Times New Roman"/>
      <w:color w:val="auto"/>
      <w:kern w:val="0"/>
      <w:sz w:val="24"/>
      <w:szCs w:val="24"/>
      <w:lang w:val="en-GB" w:eastAsia="en-US" w:bidi="ar-SA"/>
    </w:rPr>
  </w:style>
  <w:style w:type="paragraph" w:styleId="Heading1">
    <w:name w:val="Heading 1"/>
    <w:basedOn w:val="Normal"/>
    <w:next w:val="Normal"/>
    <w:qFormat/>
    <w:pPr>
      <w:keepNext w:val="true"/>
      <w:numPr>
        <w:ilvl w:val="0"/>
        <w:numId w:val="1"/>
      </w:numPr>
      <w:spacing w:lineRule="auto" w:line="264"/>
      <w:outlineLvl w:val="0"/>
    </w:pPr>
    <w:rPr>
      <w:b/>
      <w:bCs/>
      <w:sz w:val="22"/>
      <w:szCs w:val="20"/>
    </w:rPr>
  </w:style>
  <w:style w:type="paragraph" w:styleId="Heading3">
    <w:name w:val="Heading 3"/>
    <w:basedOn w:val="Normal"/>
    <w:next w:val="Normal"/>
    <w:qFormat/>
    <w:pPr>
      <w:keepNext w:val="true"/>
      <w:keepLines/>
      <w:numPr>
        <w:ilvl w:val="2"/>
        <w:numId w:val="1"/>
      </w:numPr>
      <w:spacing w:before="160" w:after="80"/>
      <w:outlineLvl w:val="2"/>
    </w:pPr>
    <w:rPr>
      <w:rFonts w:eastAsia="" w:cs=""/>
      <w:color w:val="2F5496"/>
      <w:sz w:val="28"/>
      <w:szCs w:val="28"/>
    </w:rPr>
  </w:style>
  <w:style w:type="character" w:styleId="WW8Num1z0">
    <w:name w:val="WW8Num1z0"/>
    <w:qFormat/>
    <w:rPr>
      <w:rFonts w:ascii="Symbol" w:hAnsi="Symbol" w:cs="Symbol"/>
    </w:rPr>
  </w:style>
  <w:style w:type="character" w:styleId="WW8Num1z1">
    <w:name w:val="WW8Num1z1"/>
    <w:qFormat/>
    <w:rPr>
      <w:rFonts w:ascii="Courier New" w:hAnsi="Courier New" w:cs="Courier New"/>
    </w:rPr>
  </w:style>
  <w:style w:type="character" w:styleId="WW8Num1z2">
    <w:name w:val="WW8Num1z2"/>
    <w:qFormat/>
    <w:rPr>
      <w:rFonts w:ascii="Wingdings" w:hAnsi="Wingdings" w:cs="Wingdings"/>
    </w:rPr>
  </w:style>
  <w:style w:type="character" w:styleId="WW8Num2z0">
    <w:name w:val="WW8Num2z0"/>
    <w:qFormat/>
    <w:rPr>
      <w:rFonts w:ascii="Symbol" w:hAnsi="Symbol" w:cs="Symbol"/>
      <w:b/>
      <w:sz w:val="20"/>
    </w:rPr>
  </w:style>
  <w:style w:type="character" w:styleId="WW8Num2z1">
    <w:name w:val="WW8Num2z1"/>
    <w:qFormat/>
    <w:rPr>
      <w:rFonts w:ascii="Courier New" w:hAnsi="Courier New" w:cs="Times New Roman"/>
      <w:sz w:val="20"/>
    </w:rPr>
  </w:style>
  <w:style w:type="character" w:styleId="WW8Num2z2">
    <w:name w:val="WW8Num2z2"/>
    <w:qFormat/>
    <w:rPr>
      <w:rFonts w:ascii="Wingdings" w:hAnsi="Wingdings" w:cs="Wingdings"/>
      <w:sz w:val="20"/>
    </w:rPr>
  </w:style>
  <w:style w:type="character" w:styleId="WW8Num3z0">
    <w:name w:val="WW8Num3z0"/>
    <w:qFormat/>
    <w:rPr/>
  </w:style>
  <w:style w:type="character" w:styleId="WW8Num3z1">
    <w:name w:val="WW8Num3z1"/>
    <w:qFormat/>
    <w:rPr/>
  </w:style>
  <w:style w:type="character" w:styleId="WW8Num3z2">
    <w:name w:val="WW8Num3z2"/>
    <w:qFormat/>
    <w:rPr/>
  </w:style>
  <w:style w:type="character" w:styleId="WW8Num3z3">
    <w:name w:val="WW8Num3z3"/>
    <w:qFormat/>
    <w:rPr/>
  </w:style>
  <w:style w:type="character" w:styleId="WW8Num3z4">
    <w:name w:val="WW8Num3z4"/>
    <w:qFormat/>
    <w:rPr/>
  </w:style>
  <w:style w:type="character" w:styleId="WW8Num3z5">
    <w:name w:val="WW8Num3z5"/>
    <w:qFormat/>
    <w:rPr/>
  </w:style>
  <w:style w:type="character" w:styleId="WW8Num3z6">
    <w:name w:val="WW8Num3z6"/>
    <w:qFormat/>
    <w:rPr/>
  </w:style>
  <w:style w:type="character" w:styleId="WW8Num3z7">
    <w:name w:val="WW8Num3z7"/>
    <w:qFormat/>
    <w:rPr/>
  </w:style>
  <w:style w:type="character" w:styleId="WW8Num3z8">
    <w:name w:val="WW8Num3z8"/>
    <w:qFormat/>
    <w:rPr/>
  </w:style>
  <w:style w:type="character" w:styleId="WW8Num4z0">
    <w:name w:val="WW8Num4z0"/>
    <w:qFormat/>
    <w:rPr>
      <w:rFonts w:ascii="Symbol" w:hAnsi="Symbol" w:cs="Symbol"/>
      <w:sz w:val="22"/>
    </w:rPr>
  </w:style>
  <w:style w:type="character" w:styleId="WW8Num4z1">
    <w:name w:val="WW8Num4z1"/>
    <w:qFormat/>
    <w:rPr>
      <w:rFonts w:ascii="Courier New" w:hAnsi="Courier New" w:cs="Times New Roman"/>
      <w:sz w:val="20"/>
    </w:rPr>
  </w:style>
  <w:style w:type="character" w:styleId="WW8Num4z2">
    <w:name w:val="WW8Num4z2"/>
    <w:qFormat/>
    <w:rPr>
      <w:rFonts w:ascii="Wingdings" w:hAnsi="Wingdings" w:cs="Wingdings"/>
      <w:sz w:val="20"/>
    </w:rPr>
  </w:style>
  <w:style w:type="character" w:styleId="WW8Num5z0">
    <w:name w:val="WW8Num5z0"/>
    <w:qFormat/>
    <w:rPr/>
  </w:style>
  <w:style w:type="character" w:styleId="WW8Num5z1">
    <w:name w:val="WW8Num5z1"/>
    <w:qFormat/>
    <w:rPr/>
  </w:style>
  <w:style w:type="character" w:styleId="WW8Num5z2">
    <w:name w:val="WW8Num5z2"/>
    <w:qFormat/>
    <w:rPr/>
  </w:style>
  <w:style w:type="character" w:styleId="WW8Num5z3">
    <w:name w:val="WW8Num5z3"/>
    <w:qFormat/>
    <w:rPr/>
  </w:style>
  <w:style w:type="character" w:styleId="WW8Num5z4">
    <w:name w:val="WW8Num5z4"/>
    <w:qFormat/>
    <w:rPr/>
  </w:style>
  <w:style w:type="character" w:styleId="WW8Num5z5">
    <w:name w:val="WW8Num5z5"/>
    <w:qFormat/>
    <w:rPr/>
  </w:style>
  <w:style w:type="character" w:styleId="WW8Num5z6">
    <w:name w:val="WW8Num5z6"/>
    <w:qFormat/>
    <w:rPr/>
  </w:style>
  <w:style w:type="character" w:styleId="WW8Num5z7">
    <w:name w:val="WW8Num5z7"/>
    <w:qFormat/>
    <w:rPr/>
  </w:style>
  <w:style w:type="character" w:styleId="WW8Num5z8">
    <w:name w:val="WW8Num5z8"/>
    <w:qFormat/>
    <w:rPr/>
  </w:style>
  <w:style w:type="character" w:styleId="DefaultParagraphFont">
    <w:name w:val="Default Paragraph Font"/>
    <w:qFormat/>
    <w:rPr/>
  </w:style>
  <w:style w:type="character" w:styleId="EndnoteTextChar">
    <w:name w:val="Endnote Text Char"/>
    <w:qFormat/>
    <w:rPr>
      <w:rFonts w:ascii="Palatino" w:hAnsi="Palatino" w:cs="Palatino"/>
      <w:sz w:val="24"/>
      <w:lang w:eastAsia="en-US"/>
    </w:rPr>
  </w:style>
  <w:style w:type="character" w:styleId="HeaderChar">
    <w:name w:val="Header Char"/>
    <w:qFormat/>
    <w:rPr>
      <w:rFonts w:ascii="Arial" w:hAnsi="Arial" w:cs="Arial"/>
      <w:sz w:val="22"/>
      <w:lang w:eastAsia="en-US"/>
    </w:rPr>
  </w:style>
  <w:style w:type="character" w:styleId="Normaltextrun">
    <w:name w:val="normaltextrun"/>
    <w:basedOn w:val="DefaultParagraphFont"/>
    <w:qFormat/>
    <w:rPr/>
  </w:style>
  <w:style w:type="character" w:styleId="Eop">
    <w:name w:val="eop"/>
    <w:basedOn w:val="DefaultParagraphFont"/>
    <w:qFormat/>
    <w:rPr/>
  </w:style>
  <w:style w:type="character" w:styleId="CommentTextChar">
    <w:name w:val="Comment Text Char"/>
    <w:qFormat/>
    <w:rPr>
      <w:lang w:eastAsia="en-US"/>
    </w:rPr>
  </w:style>
  <w:style w:type="character" w:styleId="InternetLink">
    <w:name w:val="Internet Link"/>
    <w:basedOn w:val="DefaultParagraphFont"/>
    <w:rPr>
      <w:color w:val="0563C1"/>
      <w:u w:val="single"/>
    </w:rPr>
  </w:style>
  <w:style w:type="character" w:styleId="UnresolvedMention">
    <w:name w:val="Unresolved Mention"/>
    <w:basedOn w:val="DefaultParagraphFont"/>
    <w:qFormat/>
    <w:rPr>
      <w:color w:val="605E5C"/>
      <w:shd w:fill="E1DFDD" w:val="clear"/>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basedOn w:val="Normal"/>
    <w:pPr/>
    <w:rPr>
      <w:b/>
      <w:sz w:val="22"/>
      <w:szCs w:val="20"/>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Endnote">
    <w:name w:val="Endnote Text"/>
    <w:basedOn w:val="Normal"/>
    <w:pPr>
      <w:overflowPunct w:val="true"/>
      <w:textAlignment w:val="baseline"/>
    </w:pPr>
    <w:rPr>
      <w:rFonts w:ascii="Palatino" w:hAnsi="Palatino" w:cs="Palatino"/>
      <w:szCs w:val="20"/>
    </w:rPr>
  </w:style>
  <w:style w:type="paragraph" w:styleId="HeaderandFooter">
    <w:name w:val="Header and Footer"/>
    <w:basedOn w:val="Normal"/>
    <w:qFormat/>
    <w:pPr/>
    <w:rPr/>
  </w:style>
  <w:style w:type="paragraph" w:styleId="Header">
    <w:name w:val="Header"/>
    <w:basedOn w:val="Normal"/>
    <w:pPr>
      <w:tabs>
        <w:tab w:val="clear" w:pos="720"/>
        <w:tab w:val="center" w:pos="4153" w:leader="none"/>
        <w:tab w:val="right" w:pos="8306" w:leader="none"/>
      </w:tabs>
    </w:pPr>
    <w:rPr>
      <w:sz w:val="22"/>
      <w:szCs w:val="20"/>
    </w:rPr>
  </w:style>
  <w:style w:type="paragraph" w:styleId="TextBodyIndent">
    <w:name w:val="Body Text Indent"/>
    <w:basedOn w:val="Normal"/>
    <w:pPr>
      <w:spacing w:before="0" w:after="120"/>
      <w:ind w:left="283" w:right="0" w:hanging="0"/>
    </w:pPr>
    <w:rPr/>
  </w:style>
  <w:style w:type="paragraph" w:styleId="ListParagraph">
    <w:name w:val="List Paragraph"/>
    <w:basedOn w:val="Normal"/>
    <w:qFormat/>
    <w:pPr>
      <w:spacing w:lineRule="auto" w:line="276" w:before="0" w:after="200"/>
      <w:ind w:left="720" w:right="0" w:hanging="0"/>
      <w:contextualSpacing/>
    </w:pPr>
    <w:rPr>
      <w:rFonts w:ascii="Calibri" w:hAnsi="Calibri" w:eastAsia="Calibri" w:cs="Calibri"/>
      <w:sz w:val="22"/>
      <w:szCs w:val="22"/>
    </w:rPr>
  </w:style>
  <w:style w:type="paragraph" w:styleId="Paragraph">
    <w:name w:val="paragraph"/>
    <w:basedOn w:val="Normal"/>
    <w:qFormat/>
    <w:pPr>
      <w:spacing w:before="280" w:after="280"/>
    </w:pPr>
    <w:rPr>
      <w:rFonts w:ascii="Times New Roman" w:hAnsi="Times New Roman" w:cs="Times New Roman"/>
      <w:lang w:eastAsia="en-GB"/>
    </w:rPr>
  </w:style>
  <w:style w:type="paragraph" w:styleId="Annotationtext">
    <w:name w:val="annotation text"/>
    <w:basedOn w:val="Normal"/>
    <w:qFormat/>
    <w:pPr/>
    <w:rPr>
      <w:rFonts w:ascii="Times New Roman" w:hAnsi="Times New Roman" w:cs="Times New Roman"/>
      <w:sz w:val="20"/>
      <w:szCs w:val="20"/>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0</TotalTime>
  <Application>LibreOffice/6.3.4.2$Windows_X86_64 LibreOffice_project/60da17e045e08f1793c57c00ba83cdfce946d0aa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