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cs="Arial"/>
          <w:sz w:val="22"/>
          <w:szCs w:val="22"/>
        </w:rPr>
      </w:pPr>
      <w:r>
        <w:rPr>
          <w:rFonts w:cs="Arial"/>
          <w:sz w:val="22"/>
          <w:szCs w:val="22"/>
        </w:rP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-114300</wp:posOffset>
                </wp:positionV>
                <wp:extent cx="1147445" cy="1188085"/>
                <wp:effectExtent l="0" t="0" r="0" b="0"/>
                <wp:wrapNone/>
                <wp:docPr id="1" name="Text Box 2"/>
                <a:graphic xmlns:a="http://schemas.openxmlformats.org/drawingml/2006/main">
                  <a:graphicData uri="http://schemas.microsoft.com/office/word/2010/wordprocessingShape">
                    <wps:wsp>
                      <wps:cNvSpPr/>
                      <wps:spPr>
                        <a:xfrm>
                          <a:off x="0" y="0"/>
                          <a:ext cx="11469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396pt;margin-top:-9pt;width:90.25pt;height:93.4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4">
                <wp:simplePos x="0" y="0"/>
                <wp:positionH relativeFrom="column">
                  <wp:posOffset>5029200</wp:posOffset>
                </wp:positionH>
                <wp:positionV relativeFrom="paragraph">
                  <wp:posOffset>-114300</wp:posOffset>
                </wp:positionV>
                <wp:extent cx="1146810" cy="1187450"/>
                <wp:effectExtent l="0" t="0" r="0" b="0"/>
                <wp:wrapNone/>
                <wp:docPr id="2" name="Frame1"/>
                <a:graphic xmlns:a="http://schemas.openxmlformats.org/drawingml/2006/main">
                  <a:graphicData uri="http://schemas.microsoft.com/office/word/2010/wordprocessingShape">
                    <wps:wsp>
                      <wps:cNvSpPr txBox="1"/>
                      <wps:spPr>
                        <a:xfrm>
                          <a:off x="0" y="0"/>
                          <a:ext cx="1146810" cy="1187450"/>
                        </a:xfrm>
                        <a:prstGeom prst="rect"/>
                        <a:solidFill>
                          <a:srgbClr val="FFFFFF"/>
                        </a:solidFill>
                      </wps:spPr>
                      <wps:txbx>
                        <w:txbxContent>
                          <w:p>
                            <w:pPr>
                              <w:pStyle w:val="FrameContents"/>
                              <w:rPr/>
                            </w:pPr>
                            <w:r>
                              <w:rPr/>
                              <w:drawing>
                                <wp:inline distT="0" distB="0" distL="0" distR="0">
                                  <wp:extent cx="966470" cy="109982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0" t="-35" r="-40" b="-35"/>
                                          <a:stretch>
                                            <a:fillRect/>
                                          </a:stretch>
                                        </pic:blipFill>
                                        <pic:spPr bwMode="auto">
                                          <a:xfrm>
                                            <a:off x="0" y="0"/>
                                            <a:ext cx="966470" cy="109982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3pt;height:93.5pt;mso-wrap-distance-left:0pt;mso-wrap-distance-right:0pt;mso-wrap-distance-top:5.7pt;mso-wrap-distance-bottom:5.7pt;margin-top:-9pt;mso-position-vertical-relative:text;margin-left:396pt;mso-position-horizontal-relative:text">
                <v:textbox inset="0.100694444444444in,0.0506944444444444in,0.100694444444444in,0.0506944444444444in">
                  <w:txbxContent>
                    <w:p>
                      <w:pPr>
                        <w:pStyle w:val="FrameContents"/>
                        <w:rPr/>
                      </w:pPr>
                      <w:r>
                        <w:rPr/>
                        <w:drawing>
                          <wp:inline distT="0" distB="0" distL="0" distR="0">
                            <wp:extent cx="966470" cy="109982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40" t="-35" r="-40" b="-35"/>
                                    <a:stretch>
                                      <a:fillRect/>
                                    </a:stretch>
                                  </pic:blipFill>
                                  <pic:spPr bwMode="auto">
                                    <a:xfrm>
                                      <a:off x="0" y="0"/>
                                      <a:ext cx="966470" cy="1099820"/>
                                    </a:xfrm>
                                    <a:prstGeom prst="rect">
                                      <a:avLst/>
                                    </a:prstGeom>
                                  </pic:spPr>
                                </pic:pic>
                              </a:graphicData>
                            </a:graphic>
                          </wp:inline>
                        </w:drawing>
                      </w:r>
                    </w:p>
                  </w:txbxContent>
                </v:textbox>
              </v:rect>
            </w:pict>
          </mc:Fallback>
        </mc:AlternateContent>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color w:val="FFFFFF"/>
                <w:sz w:val="22"/>
                <w:szCs w:val="22"/>
              </w:rPr>
            </w:pPr>
            <w:r>
              <w:rPr>
                <w:rFonts w:cs="Arial"/>
                <w:b/>
                <w:color w:val="FFFFFF"/>
                <w:sz w:val="22"/>
                <w:szCs w:val="22"/>
              </w:rPr>
              <w:t xml:space="preserve">Job Title: </w:t>
            </w:r>
          </w:p>
          <w:p>
            <w:pPr>
              <w:pStyle w:val="Normal"/>
              <w:rPr>
                <w:rFonts w:cs="Arial"/>
                <w:color w:val="FFFFFF"/>
                <w:sz w:val="22"/>
                <w:szCs w:val="22"/>
              </w:rPr>
            </w:pPr>
            <w:r>
              <w:rPr>
                <w:rFonts w:cs="Arial"/>
                <w:color w:val="FFFFFF"/>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bCs/>
                <w:sz w:val="22"/>
                <w:szCs w:val="22"/>
              </w:rPr>
            </w:pPr>
            <w:r>
              <w:rPr>
                <w:rFonts w:cs="Arial" w:ascii="Arial" w:hAnsi="Arial"/>
                <w:bCs/>
                <w:sz w:val="22"/>
                <w:szCs w:val="22"/>
              </w:rPr>
              <w:t>Small and Medium Enterprise Champion (Build-A-Business in GM Libraries)</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color w:val="FFFFFF"/>
                <w:sz w:val="22"/>
                <w:szCs w:val="22"/>
              </w:rPr>
              <w:t>Directorate:</w:t>
            </w:r>
            <w:r>
              <w:rPr>
                <w:rFonts w:cs="Arial"/>
                <w:color w:val="FFFFFF"/>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Communities &amp; Reform</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color w:val="FFFFFF"/>
                <w:sz w:val="22"/>
                <w:szCs w:val="22"/>
              </w:rPr>
              <w:t>Division/Section:</w:t>
            </w:r>
            <w:r>
              <w:rPr>
                <w:rFonts w:cs="Arial"/>
                <w:color w:val="FFFFFF"/>
                <w:sz w:val="22"/>
                <w:szCs w:val="22"/>
              </w:rPr>
              <w:t xml:space="preserve"> </w:t>
            </w:r>
          </w:p>
          <w:p>
            <w:pPr>
              <w:pStyle w:val="Normal"/>
              <w:rPr>
                <w:rFonts w:cs="Arial"/>
                <w:color w:val="FFFFFF"/>
                <w:sz w:val="22"/>
                <w:szCs w:val="22"/>
              </w:rPr>
            </w:pPr>
            <w:r>
              <w:rPr>
                <w:rFonts w:cs="Arial"/>
                <w:color w:val="FFFFFF"/>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color w:val="333333"/>
                <w:sz w:val="22"/>
                <w:szCs w:val="22"/>
              </w:rPr>
            </w:pPr>
            <w:r>
              <w:rPr>
                <w:rFonts w:cs="Arial"/>
                <w:color w:val="333333"/>
                <w:sz w:val="22"/>
                <w:szCs w:val="22"/>
              </w:rPr>
              <w:t>Public Health, Libraries and Heritage &amp; Arts</w:t>
            </w:r>
          </w:p>
          <w:p>
            <w:pPr>
              <w:pStyle w:val="Normal"/>
              <w:rPr>
                <w:rFonts w:cs="Arial"/>
                <w:sz w:val="22"/>
                <w:szCs w:val="22"/>
              </w:rPr>
            </w:pPr>
            <w:r>
              <w:rPr>
                <w:rFonts w:cs="Arial"/>
                <w:sz w:val="22"/>
                <w:szCs w:val="22"/>
              </w:rPr>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color w:val="FFFFFF"/>
                <w:sz w:val="22"/>
                <w:szCs w:val="22"/>
              </w:rPr>
            </w:pPr>
            <w:r>
              <w:rPr>
                <w:rFonts w:cs="Arial"/>
                <w:b/>
                <w:color w:val="FFFFFF"/>
                <w:sz w:val="22"/>
                <w:szCs w:val="22"/>
              </w:rPr>
              <w:t xml:space="preserve">Grade:  </w:t>
            </w:r>
          </w:p>
          <w:p>
            <w:pPr>
              <w:pStyle w:val="Normal"/>
              <w:rPr>
                <w:rFonts w:cs="Arial"/>
                <w:color w:val="FFFFFF"/>
                <w:sz w:val="22"/>
                <w:szCs w:val="22"/>
              </w:rPr>
            </w:pPr>
            <w:r>
              <w:rPr>
                <w:rFonts w:cs="Arial"/>
                <w:color w:val="FFFFFF"/>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 xml:space="preserve">5 </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color w:val="FFFFFF"/>
                <w:szCs w:val="22"/>
              </w:rPr>
            </w:pPr>
            <w:r>
              <w:rPr>
                <w:rFonts w:cs="Arial"/>
                <w:b/>
                <w:color w:val="FFFFFF"/>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9903</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color w:val="FFFFFF"/>
                <w:sz w:val="22"/>
                <w:szCs w:val="22"/>
              </w:rPr>
            </w:pPr>
            <w:r>
              <w:rPr>
                <w:rFonts w:cs="Arial"/>
                <w:b/>
                <w:bCs/>
                <w:color w:val="FFFFFF"/>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 xml:space="preserve">Build-A-Business in GM Libraries is a business support programme led by the Business &amp; IP Centre (BIPC) Manchester to support start-up businesses and new entrepreneurs to develop the insight, skills and confidence they need to start and grow successful businesses.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The postholder will plan and coordinate all the project activities across the authority’s library service. These will include marketing and Small and Medium Enterprise (SME) outreach, organising monthly workshops, project delivery, record-keeping and administration and producing quarterly reports following the European Regional Development Fund (ERDF) monitoring systems.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The role will also require having practical knowledge of the library service’s collections and resources for businesses, and COBRA (the Complete Online Business Reference Advisor) in particular.</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color w:val="FFFFFF"/>
                <w:sz w:val="22"/>
                <w:szCs w:val="22"/>
              </w:rPr>
            </w:pPr>
            <w:r>
              <w:rPr>
                <w:rFonts w:cs="Arial"/>
                <w:b/>
                <w:bCs/>
                <w:color w:val="FFFFFF"/>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Take responsibility for the delivery, administration and reporting requirements for the project in the partner borough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Produce regular reports for the central project team to confirm key performance indicators achieved for each quarter; including data from all the beneficiaries (entered using Excel)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Thoroughly conversant with the ERDF requirements and monitoring systems and ensure that the project activities and delivery are compliant and reported following the strict ERDF processes and guidelines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Develop and implement marketing and outreach campaigns to ensure that the workshops and events are fully booked, with the right audience, in advance (marketing materials will be produced centrally by the central project team at the British Library)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Coordinating the local workshops, networking events and 1:1 enquiry meetings with beneficiaries/customers (events will be run by British Library staff or third-parties that the Library commission)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To be the central point of contact in your borough for all the project activities and enquiries from SMEs, the team at the British Library and other partners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To manage and run a minimum of two events per month to target business audiences and complete outputs as per funding agreement.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To be responsible for collecting feedback forms at workshops and events and input the data according to the ERDF and the project systems and requirements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To enter data, summarise and produce regular reports for the central project team to confirm outputs achieved for each quarter, based on a spreadsheet which confirms, e.g. Businesses Assisted - confirmation of name of business, address, borough etc and equalities data based on owner/majority ownership of business (gender, disability, age and BAME breakdown)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To attend to regular meetings with the central project team to update on progress and to discuss potential opportunities and issues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To work closely with the central project team to ensure that the borough libraries follow robust monitoring and reporting systems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To record all project activities and interactions with participants, including the maintenance of electronic and hard-copy filling systems in line with the ERDF filing and monitoring systems.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Develop and run campaigns, coordinate online and offline marketing activity and ensure that workshops and events are fully booked in advance and raise awareness of the project amongst relevant audiences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Develop and update online content on the library service’s web pages and social media channels, and develop the project presence in the library service’s buildings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Work together with the Business and Intellectual Property Centre Manchester’s central project team to develop partnerships with local public / private / voluntary sector organisations, increase audience expansion and ensure the outreach and output completion for the project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Identify local case studies / entrepreneurs who have benefitted from the service to showcase project and illustrate its impact </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Collaborate with other SME Champions in partner GM authorities to create a network of support, identify and exploit opportunities and maximise project impact </w:t>
            </w:r>
          </w:p>
          <w:p>
            <w:pPr>
              <w:pStyle w:val="Normal"/>
              <w:ind w:left="720" w:right="0" w:hanging="0"/>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 xml:space="preserve">Assist in the preparation of business plans, communication plans and feasibility studies etc using the business resources that are uniquely available at Oldham Library. A key part of the post is to work through checklists and assist customers with researching their business idea, being aware of their intellectual property assets, and other business planning. </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color w:val="FFFFFF"/>
                <w:sz w:val="22"/>
                <w:szCs w:val="22"/>
              </w:rPr>
            </w:pPr>
            <w:r>
              <w:rPr>
                <w:rFonts w:cs="Arial"/>
                <w:b/>
                <w:color w:val="FFFFFF"/>
                <w:sz w:val="22"/>
                <w:szCs w:val="22"/>
              </w:rPr>
              <w:t>Standard Duties:</w:t>
            </w:r>
          </w:p>
          <w:p>
            <w:pPr>
              <w:pStyle w:val="Normal"/>
              <w:jc w:val="both"/>
              <w:rPr>
                <w:rFonts w:cs="Arial"/>
                <w:color w:val="FFFFFF"/>
                <w:sz w:val="22"/>
                <w:szCs w:val="22"/>
              </w:rPr>
            </w:pPr>
            <w:r>
              <w:rPr>
                <w:rFonts w:cs="Arial"/>
                <w:color w:val="FFFFFF"/>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color w:val="FFFFFF"/>
                <w:sz w:val="22"/>
                <w:szCs w:val="22"/>
              </w:rPr>
            </w:pPr>
            <w:r>
              <w:rPr>
                <w:rFonts w:cs="Arial"/>
                <w:color w:val="FFFFFF"/>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b/>
                <w:b/>
                <w:sz w:val="22"/>
                <w:szCs w:val="22"/>
              </w:rPr>
            </w:pPr>
            <w:r>
              <w:rPr>
                <w:rFonts w:cs="Arial"/>
                <w:b/>
                <w:sz w:val="22"/>
                <w:szCs w:val="22"/>
              </w:rPr>
              <w:t>Contacts:</w:t>
            </w:r>
          </w:p>
          <w:p>
            <w:pPr>
              <w:pStyle w:val="Normal"/>
              <w:jc w:val="both"/>
              <w:rPr>
                <w:rFonts w:cs="Arial"/>
                <w:bCs/>
                <w:sz w:val="22"/>
                <w:szCs w:val="22"/>
              </w:rPr>
            </w:pPr>
            <w:r>
              <w:rPr>
                <w:rFonts w:cs="Arial"/>
                <w:bCs/>
                <w:sz w:val="22"/>
                <w:szCs w:val="22"/>
              </w:rPr>
              <w:t>Senior Library Officer</w:t>
            </w:r>
          </w:p>
          <w:p>
            <w:pPr>
              <w:pStyle w:val="Normal"/>
              <w:jc w:val="both"/>
              <w:rPr>
                <w:rFonts w:cs="Arial"/>
                <w:bCs/>
                <w:sz w:val="22"/>
                <w:szCs w:val="22"/>
              </w:rPr>
            </w:pPr>
            <w:r>
              <w:rPr>
                <w:rFonts w:cs="Arial"/>
                <w:bCs/>
                <w:sz w:val="22"/>
                <w:szCs w:val="22"/>
              </w:rPr>
              <w:t>Principal Officer (Libraries)</w:t>
            </w:r>
          </w:p>
          <w:p>
            <w:pPr>
              <w:pStyle w:val="Normal"/>
              <w:jc w:val="both"/>
              <w:rPr>
                <w:rFonts w:cs="Arial"/>
                <w:bCs/>
                <w:sz w:val="22"/>
                <w:szCs w:val="22"/>
              </w:rPr>
            </w:pPr>
            <w:r>
              <w:rPr>
                <w:rFonts w:cs="Arial"/>
                <w:bCs/>
                <w:sz w:val="22"/>
                <w:szCs w:val="22"/>
              </w:rPr>
              <w:t>Business owners</w:t>
            </w:r>
          </w:p>
          <w:p>
            <w:pPr>
              <w:pStyle w:val="Normal"/>
              <w:jc w:val="both"/>
              <w:rPr>
                <w:rFonts w:cs="Arial"/>
                <w:bCs/>
                <w:sz w:val="22"/>
                <w:szCs w:val="22"/>
              </w:rPr>
            </w:pPr>
            <w:r>
              <w:rPr>
                <w:rFonts w:cs="Arial"/>
                <w:bCs/>
                <w:sz w:val="22"/>
                <w:szCs w:val="22"/>
              </w:rPr>
              <w:t>General public</w:t>
            </w:r>
          </w:p>
          <w:p>
            <w:pPr>
              <w:pStyle w:val="Normal"/>
              <w:jc w:val="both"/>
              <w:rPr>
                <w:rFonts w:cs="Arial"/>
                <w:bCs/>
                <w:sz w:val="22"/>
                <w:szCs w:val="22"/>
              </w:rPr>
            </w:pPr>
            <w:r>
              <w:rPr>
                <w:rFonts w:cs="Arial"/>
                <w:bCs/>
                <w:sz w:val="22"/>
                <w:szCs w:val="22"/>
              </w:rPr>
              <w:t>Other Council colleagues – Oldham and other GM authorities</w:t>
            </w:r>
          </w:p>
          <w:p>
            <w:pPr>
              <w:pStyle w:val="Normal"/>
              <w:jc w:val="both"/>
              <w:rPr>
                <w:rFonts w:cs="Arial"/>
                <w:b/>
                <w:b/>
                <w:sz w:val="22"/>
                <w:szCs w:val="22"/>
              </w:rPr>
            </w:pPr>
            <w:r>
              <w:rPr>
                <w:rFonts w:cs="Arial"/>
                <w:b/>
                <w:sz w:val="22"/>
                <w:szCs w:val="22"/>
              </w:rPr>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color w:val="FFFFFF"/>
                <w:szCs w:val="22"/>
              </w:rPr>
            </w:pPr>
            <w:r>
              <w:rPr>
                <w:rFonts w:cs="Arial"/>
                <w:color w:val="FFFFFF"/>
                <w:szCs w:val="22"/>
              </w:rPr>
              <w:t>Relationship To Other Posts In The Department:</w:t>
            </w:r>
          </w:p>
          <w:p>
            <w:pPr>
              <w:pStyle w:val="Normal"/>
              <w:rPr>
                <w:rFonts w:cs="Arial"/>
                <w:color w:val="FFFFFF"/>
                <w:sz w:val="22"/>
                <w:szCs w:val="22"/>
              </w:rPr>
            </w:pPr>
            <w:r>
              <w:rPr>
                <w:rFonts w:cs="Arial"/>
                <w:color w:val="FFFFFF"/>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szCs w:val="22"/>
              </w:rPr>
            </w:pPr>
            <w:r>
              <w:rPr>
                <w:rFonts w:cs="Arial"/>
                <w:b w:val="false"/>
                <w:szCs w:val="22"/>
              </w:rPr>
              <w:t>Senior Library Officer</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Normal"/>
              <w:rPr>
                <w:rFonts w:cs="Arial"/>
                <w:sz w:val="22"/>
                <w:szCs w:val="22"/>
              </w:rPr>
            </w:pPr>
            <w:r>
              <w:rPr>
                <w:rFonts w:cs="Arial"/>
                <w:sz w:val="22"/>
                <w:szCs w:val="22"/>
              </w:rPr>
              <w:t>N/A</w:t>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b/>
                <w:b/>
                <w:sz w:val="22"/>
                <w:szCs w:val="22"/>
              </w:rPr>
            </w:pPr>
            <w:r>
              <w:rPr>
                <w:rFonts w:cs="Arial"/>
                <w:b/>
                <w:sz w:val="22"/>
                <w:szCs w:val="22"/>
              </w:rPr>
            </w:r>
          </w:p>
          <w:p>
            <w:pPr>
              <w:pStyle w:val="Normal"/>
              <w:rPr>
                <w:rFonts w:cs="Arial"/>
                <w:bCs/>
                <w:sz w:val="22"/>
                <w:szCs w:val="22"/>
              </w:rPr>
            </w:pPr>
            <w:r>
              <w:rPr>
                <w:rFonts w:cs="Arial"/>
                <w:bCs/>
                <w:sz w:val="22"/>
                <w:szCs w:val="22"/>
              </w:rPr>
              <w:t>None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color w:val="FFFFFF"/>
                <w:sz w:val="22"/>
                <w:szCs w:val="22"/>
              </w:rPr>
            </w:pPr>
            <w:r>
              <w:rPr>
                <w:rFonts w:cs="Arial"/>
                <w:b/>
                <w:color w:val="FFFFFF"/>
                <w:sz w:val="22"/>
                <w:szCs w:val="22"/>
              </w:rPr>
              <w:t>Values and Behaviours:</w:t>
            </w:r>
          </w:p>
          <w:p>
            <w:pPr>
              <w:pStyle w:val="Normal"/>
              <w:rPr>
                <w:rFonts w:cs="Arial"/>
                <w:b/>
                <w:b/>
                <w:color w:val="FFFFFF"/>
                <w:sz w:val="22"/>
                <w:szCs w:val="22"/>
              </w:rPr>
            </w:pPr>
            <w:r>
              <w:rPr>
                <w:rFonts w:cs="Arial"/>
                <w:b/>
                <w:color w:val="FFFFFF"/>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Arial"/>
                <w:sz w:val="22"/>
                <w:szCs w:val="22"/>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pacing w:before="280" w:after="0"/>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ListParagraph"/>
              <w:numPr>
                <w:ilvl w:val="0"/>
                <w:numId w:val="3"/>
              </w:numPr>
              <w:rPr>
                <w:rFonts w:ascii="Arial" w:hAnsi="Arial" w:eastAsia="Arial" w:cs="Arial"/>
              </w:rPr>
            </w:pPr>
            <w:r>
              <w:rPr>
                <w:rFonts w:eastAsia="Arial" w:cs="Arial" w:ascii="Arial" w:hAnsi="Arial"/>
              </w:rPr>
              <w:t>Work with a Resident Focus</w:t>
            </w:r>
          </w:p>
          <w:p>
            <w:pPr>
              <w:pStyle w:val="ListParagraph"/>
              <w:numPr>
                <w:ilvl w:val="0"/>
                <w:numId w:val="3"/>
              </w:numPr>
              <w:rPr>
                <w:rFonts w:ascii="Arial" w:hAnsi="Arial" w:eastAsia="Arial" w:cs="Arial"/>
              </w:rPr>
            </w:pPr>
            <w:r>
              <w:rPr>
                <w:rFonts w:eastAsia="Arial" w:cs="Arial" w:ascii="Arial" w:hAnsi="Arial"/>
              </w:rPr>
              <w:t>Support Local Leaders</w:t>
            </w:r>
          </w:p>
          <w:p>
            <w:pPr>
              <w:pStyle w:val="ListParagraph"/>
              <w:numPr>
                <w:ilvl w:val="0"/>
                <w:numId w:val="3"/>
              </w:numPr>
              <w:rPr>
                <w:rFonts w:ascii="Arial" w:hAnsi="Arial" w:eastAsia="Arial" w:cs="Arial"/>
              </w:rPr>
            </w:pPr>
            <w:r>
              <w:rPr>
                <w:rFonts w:eastAsia="Arial" w:cs="Arial" w:ascii="Arial" w:hAnsi="Arial"/>
              </w:rPr>
              <w:t>Committed to the Borough</w:t>
            </w:r>
          </w:p>
          <w:p>
            <w:pPr>
              <w:pStyle w:val="ListParagraph"/>
              <w:numPr>
                <w:ilvl w:val="0"/>
                <w:numId w:val="3"/>
              </w:numPr>
              <w:rPr>
                <w:rFonts w:ascii="Arial" w:hAnsi="Arial" w:eastAsia="Arial" w:cs="Arial"/>
              </w:rPr>
            </w:pPr>
            <w:r>
              <w:rPr>
                <w:rFonts w:eastAsia="Arial" w:cs="Arial" w:ascii="Arial" w:hAnsi="Arial"/>
              </w:rPr>
              <w:t>Take Ownership and Drive Change</w:t>
            </w:r>
          </w:p>
          <w:p>
            <w:pPr>
              <w:pStyle w:val="ListParagraph"/>
              <w:numPr>
                <w:ilvl w:val="0"/>
                <w:numId w:val="3"/>
              </w:numPr>
              <w:rPr>
                <w:rFonts w:ascii="Arial" w:hAnsi="Arial" w:eastAsia="Arial" w:cs="Arial"/>
              </w:rPr>
            </w:pPr>
            <w:r>
              <w:rPr>
                <w:rFonts w:eastAsia="Arial" w:cs="Arial" w:ascii="Arial" w:hAnsi="Arial"/>
              </w:rPr>
              <w:t xml:space="preserve">Deliver High Performance </w:t>
            </w:r>
          </w:p>
          <w:p>
            <w:pPr>
              <w:pStyle w:val="Normal"/>
              <w:rPr>
                <w:rFonts w:eastAsia="Arial" w:cs="Arial"/>
                <w:sz w:val="22"/>
                <w:szCs w:val="22"/>
              </w:rPr>
            </w:pPr>
            <w:r>
              <w:rPr>
                <w:rFonts w:eastAsia="Arial" w:cs="Arial"/>
                <w:sz w:val="22"/>
                <w:szCs w:val="22"/>
              </w:rPr>
            </w:r>
          </w:p>
          <w:p>
            <w:pPr>
              <w:pStyle w:val="Normal"/>
              <w:rPr/>
            </w:pPr>
            <w:r>
              <w:rPr>
                <w:rFonts w:eastAsia="Arial" w:cs="Arial"/>
                <w:sz w:val="22"/>
                <w:szCs w:val="22"/>
              </w:rPr>
              <w:t xml:space="preserve">More information about our Corporate Plan and our Values and Behaviours can be found on our </w:t>
            </w:r>
            <w:r>
              <w:rPr>
                <w:rStyle w:val="InternetLink"/>
                <w:rFonts w:eastAsia="Arial" w:cs="Arial"/>
                <w:sz w:val="22"/>
                <w:szCs w:val="22"/>
              </w:rPr>
              <w:t>Greater. Jobs pages</w:t>
            </w:r>
            <w:r>
              <w:rPr>
                <w:rFonts w:eastAsia="Arial" w:cs="Arial"/>
                <w:sz w:val="22"/>
                <w:szCs w:val="22"/>
              </w:rPr>
              <w:t xml:space="preserve">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color w:val="FFFFFF"/>
                <w:szCs w:val="22"/>
              </w:rPr>
            </w:pPr>
            <w:r>
              <w:rPr>
                <w:rFonts w:cs="Arial"/>
                <w:color w:val="FFFFFF"/>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mc:AlternateContent>
          <mc:Choice Requires="wps">
            <w:drawing>
              <wp:anchor behindDoc="0" distT="0" distB="0" distL="114935" distR="114935" simplePos="0" locked="0" layoutInCell="1" allowOverlap="1" relativeHeight="3">
                <wp:simplePos x="0" y="0"/>
                <wp:positionH relativeFrom="column">
                  <wp:posOffset>5143500</wp:posOffset>
                </wp:positionH>
                <wp:positionV relativeFrom="paragraph">
                  <wp:posOffset>-605790</wp:posOffset>
                </wp:positionV>
                <wp:extent cx="1149350" cy="1188085"/>
                <wp:effectExtent l="0" t="0" r="0" b="0"/>
                <wp:wrapNone/>
                <wp:docPr id="5" name="Text Box 3"/>
                <a:graphic xmlns:a="http://schemas.openxmlformats.org/drawingml/2006/main">
                  <a:graphicData uri="http://schemas.microsoft.com/office/word/2010/wordprocessingShape">
                    <wps:wsp>
                      <wps:cNvSpPr/>
                      <wps:spPr>
                        <a:xfrm>
                          <a:off x="0" y="0"/>
                          <a:ext cx="11487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405pt;margin-top:-47.7pt;width:90.4pt;height:93.45pt">
                <w10:wrap type="none"/>
                <v:fill o:detectmouseclick="t" type="solid" color2="black"/>
                <v:stroke color="#3465a4" joinstyle="round" endcap="flat"/>
              </v:rect>
            </w:pict>
          </mc:Fallback>
        </mc:AlternateContent>
      </w:r>
      <w:r>
        <mc:AlternateContent>
          <mc:Choice Requires="wps">
            <w:drawing>
              <wp:anchor behindDoc="0" distT="72390" distB="72390" distL="0" distR="3810" simplePos="0" locked="0" layoutInCell="1" allowOverlap="1" relativeHeight="6">
                <wp:simplePos x="0" y="0"/>
                <wp:positionH relativeFrom="column">
                  <wp:posOffset>5143500</wp:posOffset>
                </wp:positionH>
                <wp:positionV relativeFrom="paragraph">
                  <wp:posOffset>-605790</wp:posOffset>
                </wp:positionV>
                <wp:extent cx="1148715" cy="1187450"/>
                <wp:effectExtent l="0" t="0" r="0" b="0"/>
                <wp:wrapNone/>
                <wp:docPr id="6" name="Frame2"/>
                <a:graphic xmlns:a="http://schemas.openxmlformats.org/drawingml/2006/main">
                  <a:graphicData uri="http://schemas.microsoft.com/office/word/2010/wordprocessingShape">
                    <wps:wsp>
                      <wps:cNvSpPr txBox="1"/>
                      <wps:spPr>
                        <a:xfrm>
                          <a:off x="0" y="0"/>
                          <a:ext cx="1148715" cy="1187450"/>
                        </a:xfrm>
                        <a:prstGeom prst="rect"/>
                        <a:solidFill>
                          <a:srgbClr val="FFFFFF"/>
                        </a:solidFill>
                      </wps:spPr>
                      <wps:txbx>
                        <w:txbxContent>
                          <w:p>
                            <w:pPr>
                              <w:pStyle w:val="FrameContents"/>
                              <w:rPr/>
                            </w:pPr>
                            <w:r>
                              <w:rPr/>
                              <w:drawing>
                                <wp:inline distT="0" distB="0" distL="0" distR="0">
                                  <wp:extent cx="966470" cy="1099820"/>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3"/>
                                          <a:srcRect l="-40" t="-35" r="-40" b="-35"/>
                                          <a:stretch>
                                            <a:fillRect/>
                                          </a:stretch>
                                        </pic:blipFill>
                                        <pic:spPr bwMode="auto">
                                          <a:xfrm>
                                            <a:off x="0" y="0"/>
                                            <a:ext cx="966470" cy="109982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45pt;height:93.5pt;mso-wrap-distance-left:0pt;mso-wrap-distance-right:0.3pt;mso-wrap-distance-top:5.7pt;mso-wrap-distance-bottom:5.7pt;margin-top:-47.7pt;mso-position-vertical-relative:text;margin-left:405pt;mso-position-horizontal-relative:text">
                <v:textbox inset="0.100694444444444in,0.0506944444444444in,0.100694444444444in,0.0506944444444444in">
                  <w:txbxContent>
                    <w:p>
                      <w:pPr>
                        <w:pStyle w:val="FrameContents"/>
                        <w:rPr/>
                      </w:pPr>
                      <w:r>
                        <w:rPr/>
                        <w:drawing>
                          <wp:inline distT="0" distB="0" distL="0" distR="0">
                            <wp:extent cx="966470" cy="1099820"/>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rcRect l="-40" t="-35" r="-40" b="-35"/>
                                    <a:stretch>
                                      <a:fillRect/>
                                    </a:stretch>
                                  </pic:blipFill>
                                  <pic:spPr bwMode="auto">
                                    <a:xfrm>
                                      <a:off x="0" y="0"/>
                                      <a:ext cx="966470" cy="1099820"/>
                                    </a:xfrm>
                                    <a:prstGeom prst="rect">
                                      <a:avLst/>
                                    </a:prstGeom>
                                  </pic:spPr>
                                </pic:pic>
                              </a:graphicData>
                            </a:graphic>
                          </wp:inline>
                        </w:drawing>
                      </w:r>
                    </w:p>
                  </w:txbxContent>
                </v:textbox>
              </v:rect>
            </w:pict>
          </mc:Fallback>
        </mc:AlternateContent>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Normal"/>
        <w:ind w:left="0" w:right="-514" w:hanging="0"/>
        <w:rPr>
          <w:rFonts w:cs="Arial"/>
          <w:b/>
          <w:b/>
          <w:bCs/>
          <w:sz w:val="22"/>
          <w:szCs w:val="22"/>
        </w:rPr>
      </w:pPr>
      <w:r>
        <w:rPr>
          <w:rFonts w:cs="Arial"/>
          <w:b/>
          <w:bCs/>
          <w:sz w:val="22"/>
          <w:szCs w:val="22"/>
        </w:rPr>
      </w:r>
    </w:p>
    <w:p>
      <w:pPr>
        <w:pStyle w:val="Normal"/>
        <w:ind w:left="0" w:right="-514" w:hanging="0"/>
        <w:rPr/>
      </w:pPr>
      <w:r>
        <w:rPr>
          <w:rFonts w:cs="Arial"/>
          <w:b/>
          <w:bCs/>
          <w:sz w:val="22"/>
          <w:szCs w:val="22"/>
        </w:rPr>
        <w:t>Job Title:</w:t>
      </w:r>
      <w:r>
        <w:rPr>
          <w:rFonts w:cs="Arial"/>
          <w:bCs/>
          <w:sz w:val="22"/>
          <w:szCs w:val="22"/>
        </w:rPr>
        <w:t xml:space="preserve">  Small and Medium Enterprise Champion (Build-A-Business in GM Libraries)</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(Desirable)</w:t>
            </w:r>
          </w:p>
          <w:p>
            <w:pPr>
              <w:pStyle w:val="Normal"/>
              <w:jc w:val="center"/>
              <w:rPr>
                <w:rFonts w:cs="Arial"/>
                <w:b/>
                <w:b/>
                <w:bCs/>
                <w:color w:val="FFFFFF"/>
                <w:sz w:val="22"/>
                <w:szCs w:val="22"/>
              </w:rPr>
            </w:pPr>
            <w:r>
              <w:rPr>
                <w:rFonts w:cs="Arial"/>
                <w:b/>
                <w:bCs/>
                <w:color w:val="FFFFFF"/>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Education &amp; Qualifications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Literacy and numeracy sufficient to undertake the tasks and duties of the role</w:t>
            </w:r>
          </w:p>
          <w:p>
            <w:pPr>
              <w:pStyle w:val="Header"/>
              <w:tabs>
                <w:tab w:val="clear" w:pos="4153"/>
                <w:tab w:val="clear" w:pos="8306"/>
              </w:tabs>
              <w:rPr>
                <w:rFonts w:cs="Arial"/>
                <w:szCs w:val="22"/>
              </w:rPr>
            </w:pPr>
            <w:r>
              <w:rPr>
                <w:rFonts w:cs="Arial"/>
                <w:szCs w:val="22"/>
              </w:rPr>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A project management qualification, such as PRINCE II</w:t>
            </w:r>
          </w:p>
          <w:p>
            <w:pPr>
              <w:pStyle w:val="Header"/>
              <w:tabs>
                <w:tab w:val="clear" w:pos="4153"/>
                <w:tab w:val="clear" w:pos="8306"/>
              </w:tabs>
              <w:rPr>
                <w:rFonts w:cs="Arial"/>
                <w:szCs w:val="22"/>
              </w:rPr>
            </w:pPr>
            <w:r>
              <w:rPr>
                <w:rFonts w:cs="Arial"/>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center"/>
              <w:rPr>
                <w:rFonts w:cs="Arial"/>
                <w:szCs w:val="22"/>
              </w:rPr>
            </w:pPr>
            <w:r>
              <w:rPr>
                <w:rFonts w:cs="Arial"/>
                <w:szCs w:val="22"/>
              </w:rPr>
              <w:t>AF / I</w:t>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r>
          </w:p>
          <w:p>
            <w:pPr>
              <w:pStyle w:val="Header"/>
              <w:tabs>
                <w:tab w:val="clear" w:pos="4153"/>
                <w:tab w:val="clear" w:pos="8306"/>
              </w:tabs>
              <w:rPr>
                <w:rFonts w:cs="Arial"/>
                <w:szCs w:val="22"/>
              </w:rPr>
            </w:pPr>
            <w:r>
              <w:rPr>
                <w:rFonts w:cs="Arial"/>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Experience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 xml:space="preserve">Experience of working with individual clients and organisations to establish and maintain effective professional relationships.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organising and running training courses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successfully supporting and delivering projects to meet stated objectives, determining milestones and adjusting project plans over time to ensure delivery remains on track.</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reviewing, developing systems and processes, to increase efficiency and performance.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Experience of developing performance measures and reporting to stakeholders. </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Skills &amp; Abilities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Ability to organise own time and others effectively, creating own work schedules, prioritising, preparing in advance and setting realistic timescales for own self and others.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make effective decisions on a day-to-day basis, taking ownership of decisions, demonstrating sound judgement in escalating issues where necessary.</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monitor expenditure against budget, prepare forecasts, identify and understand variances.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Excellent communication skills, both oral and written with the ability to influence and persuade internal or external stakeholders.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Excellent Microsoft Office skills, especially in Excel, with proven ability to produce Excel reports. </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Knowledge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 xml:space="preserve">Working knowledge of stakeholder management in multi-partner programmes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 working knowledge of COBRA and other business information resources and be able to assist SMEs with finding relevant information.</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 working knowledge of business and communication plans, feasibility studies and intellectual property assets.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Knowledge of support activities and resources available at the BIPC Manchester and through other local business support organisations and refer to these when relevant. </w:t>
            </w:r>
          </w:p>
          <w:p>
            <w:pPr>
              <w:pStyle w:val="Normal"/>
              <w:rPr>
                <w:rFonts w:cs="Arial"/>
                <w:sz w:val="22"/>
                <w:szCs w:val="22"/>
                <w:lang w:val="en-US"/>
              </w:rPr>
            </w:pPr>
            <w:r>
              <w:rPr>
                <w:rFonts w:cs="Arial"/>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Work Circumstances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Able to travel to different sites across the Borough</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Able to work outside of normal office hours on occasions</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those who have previously been in or currently in care, those that are carers, and those who have served in the Armed Forces as a regular, reserve or cadet.</w:t>
      </w:r>
    </w:p>
    <w:p>
      <w:pPr>
        <w:pStyle w:val="Normal"/>
        <w:rPr/>
      </w:pPr>
      <w:r>
        <w:rPr/>
      </w:r>
    </w:p>
    <w:sectPr>
      <w:headerReference w:type="default" r:id="rId4"/>
      <w:headerReference w:type="first" r:id="rId5"/>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2"/>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2026-05-15T09:59:00Z</dcterms:created>
  <dc:creator>OMBC</dc:creator>
  <dc:description/>
  <dc:language>en-US</dc:language>
  <cp:lastModifiedBy>Ian Robinson (HR)</cp:lastModifiedBy>
  <cp:lastPrinted>1995-11-21T17:41:00Z</cp:lastPrinted>
  <dcterms:modified xsi:type="dcterms:W3CDTF">2026-05-15T09:59:00Z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