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Senior Licensing Technical Support Officer</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Place &amp; Economic Growth</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Public Protection / Licensing</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4</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11233</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rFonts w:cs="Arial"/>
                <w:bCs/>
                <w:sz w:val="22"/>
                <w:szCs w:val="22"/>
              </w:rPr>
            </w:pPr>
            <w:r>
              <w:rPr>
                <w:rFonts w:cs="Arial"/>
                <w:bCs/>
                <w:sz w:val="22"/>
                <w:szCs w:val="22"/>
              </w:rPr>
              <w:t>To provide technical support to the licensing team, covering the broad range of licensing functions, providing advice and guidance to applicants utilising knowledge of the licensing regime and various policies. To provide direct support and deputise for the Licensing Technical Support Lead.</w:t>
            </w:r>
          </w:p>
          <w:p>
            <w:pPr>
              <w:pStyle w:val="Normal"/>
              <w:rPr>
                <w:rFonts w:cs="Arial"/>
                <w:bCs/>
                <w:sz w:val="22"/>
                <w:szCs w:val="22"/>
              </w:rPr>
            </w:pPr>
            <w:r>
              <w:rPr>
                <w:rFonts w:cs="Arial"/>
                <w:bCs/>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paragraph"/>
              <w:spacing w:before="0" w:after="0"/>
              <w:textAlignment w:val="baseline"/>
              <w:rPr>
                <w:rFonts w:ascii="Arial" w:hAnsi="Arial" w:cs="Arial"/>
                <w:sz w:val="22"/>
                <w:szCs w:val="22"/>
              </w:rPr>
            </w:pPr>
            <w:r>
              <w:rPr>
                <w:rFonts w:cs="Arial" w:ascii="Arial" w:hAnsi="Arial"/>
                <w:sz w:val="22"/>
                <w:szCs w:val="22"/>
              </w:rPr>
              <w:t>1. To carry out the duties and responsibilities of a Technical Support Officer and, for that purpose, implement the Council’s approved policies and statutory duties in relation to all aspects of Licensing as required.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2. Receive and scrutinise applications made under various pieces of licensing legislation.</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3. To ensure payment is made in respect of applications where required and that payment records are linked with the application received.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 xml:space="preserve">4. To read and understand supporting documents relating to applications which may include, but not limited to, driving licences, passports, motor insurance, logbooks and more. </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5. To provide support for Technical Support Officers where further scrutiny of documents is needed and provide guidance as appropriate.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6. Answer queries and provide specific, tailored guidance and support to applicants, in line with adopted policies and range of legislation. Provide this information via email, letter, telephone and in person.</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7. Process applications using the licensing database and produce accurate licences to applicants where specific criteria has been met and all checks and balances are in place.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9. Liaise with members of the public and other key stakeholders including but not limited to Elected Members, Greater Manchester Police, Greater Manchester Fire &amp; Rescue Service and others.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9. Handle sensitive information pertaining to an individual’s right to work, criminality checks and more.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10. Manage own workload and prioritise work in line with statutory timeframes laid out in licensing legislation. Be able to adapt and change direction quickly from one area of licensing to another in line with service demands and workload received.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11. Support Technical Support Officers in the management of their workload as needed.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12. Undertake checks on information being provided to the supplier of taxi consumables, to ensure accuracy prior to sending, in line with direct fulfilment of plates and badges.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13. Support the Technical Support Team Lead to ensure the smooth running of the service, undertaking additional work over and above that required of a Technical Support Officer as directed.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14. To deputise for the Technical Support Team Lead in periods of absence or as required.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15. Understand key policies in respect of licensing functions in order to complete duties in line with these.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16. Be able to input data efficiently and accurately on a range of systems and databases.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17. Carry out investigations into queries for licensing applications where required. Involving in depth knowledge on processes and policies and problem solving, using own initiative to establish problem and solution.</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18. To maintain the Service’s Registers both statutory and non-statutory, in computerised format.</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19. To maintain records relating to licence holders under various licensing functions.</w:t>
            </w:r>
          </w:p>
          <w:p>
            <w:pPr>
              <w:pStyle w:val="paragraph"/>
              <w:spacing w:before="0" w:after="0"/>
              <w:textAlignment w:val="baseline"/>
              <w:rPr>
                <w:rFonts w:ascii="Arial" w:hAnsi="Arial" w:cs="Arial"/>
                <w:sz w:val="22"/>
                <w:szCs w:val="22"/>
              </w:rPr>
            </w:pPr>
            <w:r>
              <w:rPr>
                <w:rFonts w:cs="Arial" w:ascii="Arial" w:hAnsi="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t>Colleagues within own team and the rest of the council, internal and external customers including the public, partner organisations, responsible authorities, elected members.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bookmarkStart w:id="0" w:name="_Hlk95121094"/>
      <w:bookmarkStart w:id="1" w:name="_Hlk95121094"/>
      <w:bookmarkEnd w:id="1"/>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518" w:hRule="atLeast"/>
        </w:trPr>
        <w:tc>
          <w:tcPr>
            <w:tcW w:w="2106" w:type="dxa"/>
            <w:tcBorders>
              <w:top w:val="single" w:sz="4" w:space="0" w:color="000000"/>
              <w:lef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right w:val="single" w:sz="4" w:space="0" w:color="000000"/>
            </w:tcBorders>
          </w:tcPr>
          <w:p>
            <w:pPr>
              <w:pStyle w:val="BodyText"/>
              <w:rPr>
                <w:rFonts w:cs="Arial"/>
                <w:b w:val="false"/>
                <w:bCs/>
                <w:szCs w:val="22"/>
              </w:rPr>
            </w:pPr>
            <w:r>
              <w:rPr>
                <w:rFonts w:cs="Arial"/>
                <w:b w:val="false"/>
                <w:bCs/>
                <w:szCs w:val="22"/>
              </w:rPr>
              <w:t>Licensing Technical Support Lead &amp; Licensing Manager</w:t>
            </w:r>
          </w:p>
        </w:tc>
      </w:tr>
      <w:tr>
        <w:trPr>
          <w:trHeight w:val="517" w:hRule="atLeast"/>
        </w:trPr>
        <w:tc>
          <w:tcPr>
            <w:tcW w:w="2106" w:type="dxa"/>
            <w:tcBorders>
              <w:left w:val="single" w:sz="4" w:space="0" w:color="000000"/>
              <w:bottom w:val="single" w:sz="4" w:space="0" w:color="000000"/>
            </w:tcBorders>
          </w:tcPr>
          <w:p>
            <w:pPr>
              <w:pStyle w:val="Normal"/>
              <w:rPr>
                <w:rFonts w:cs="Arial"/>
                <w:b/>
                <w:sz w:val="22"/>
                <w:szCs w:val="22"/>
              </w:rPr>
            </w:pPr>
            <w:r>
              <w:rPr>
                <w:rFonts w:cs="Arial"/>
                <w:b/>
                <w:sz w:val="22"/>
                <w:szCs w:val="22"/>
              </w:rPr>
              <w:t>Responsible for:</w:t>
            </w:r>
          </w:p>
        </w:tc>
        <w:tc>
          <w:tcPr>
            <w:tcW w:w="8333" w:type="dxa"/>
            <w:tcBorders>
              <w:bottom w:val="single" w:sz="4" w:space="0" w:color="000000"/>
              <w:right w:val="single" w:sz="4" w:space="0" w:color="000000"/>
            </w:tcBorders>
          </w:tcPr>
          <w:p>
            <w:pPr>
              <w:pStyle w:val="Normal"/>
              <w:rPr>
                <w:rFonts w:cs="Arial"/>
                <w:sz w:val="22"/>
                <w:szCs w:val="22"/>
              </w:rPr>
            </w:pPr>
            <w:r>
              <w:rPr>
                <w:rFonts w:cs="Arial"/>
                <w:sz w:val="22"/>
                <w:szCs w:val="22"/>
              </w:rPr>
              <w:t>N/A</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b/>
                <w:sz w:val="22"/>
                <w:szCs w:val="22"/>
              </w:rPr>
            </w:pPr>
            <w:r>
              <w:rPr>
                <w:rFonts w:cs="Arial"/>
                <w:b/>
                <w:sz w:val="22"/>
                <w:szCs w:val="22"/>
              </w:rPr>
            </w:r>
          </w:p>
          <w:p>
            <w:pPr>
              <w:pStyle w:val="Normal"/>
              <w:rPr>
                <w:rFonts w:cs="Arial"/>
                <w:sz w:val="22"/>
                <w:szCs w:val="22"/>
              </w:rPr>
            </w:pPr>
            <w:r>
              <w:rPr>
                <w:rFonts w:cs="Arial"/>
                <w:sz w:val="22"/>
                <w:szCs w:val="22"/>
              </w:rPr>
              <w:t xml:space="preserve">The service operates a customer-facing reception service which the postholder will be expected to cover as directed in line with service needs.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In accordance with Section 77 of the Immigration Act 2016, this post requires the ability to converse with ease with members of the public and provide advice in accurate spoken English.</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pacing w:before="280" w:after="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rFonts w:eastAsia="Arial" w:cs="Arial"/>
                <w:sz w:val="22"/>
                <w:szCs w:val="22"/>
                <w:lang w:val="en"/>
              </w:rPr>
            </w:pPr>
            <w:r>
              <w:rPr>
                <w:rFonts w:eastAsia="Arial" w:cs="Arial"/>
                <w:sz w:val="22"/>
                <w:szCs w:val="22"/>
                <w:lang w:val="en"/>
              </w:rPr>
            </w:r>
          </w:p>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pPr>
            <w:r>
              <w:rPr>
                <w:rFonts w:eastAsia="Arial" w:cs="Arial" w:ascii="Arial" w:hAnsi="Arial"/>
              </w:rPr>
              <w:t>Work with a Resident Focus</w:t>
            </w:r>
          </w:p>
          <w:p>
            <w:pPr>
              <w:pStyle w:val="ListParagraph"/>
              <w:numPr>
                <w:ilvl w:val="0"/>
                <w:numId w:val="2"/>
              </w:numPr>
              <w:rPr/>
            </w:pPr>
            <w:r>
              <w:rPr>
                <w:rFonts w:eastAsia="Arial" w:cs="Arial" w:ascii="Arial" w:hAnsi="Arial"/>
              </w:rPr>
              <w:t>Support Local Leaders</w:t>
            </w:r>
          </w:p>
          <w:p>
            <w:pPr>
              <w:pStyle w:val="ListParagraph"/>
              <w:numPr>
                <w:ilvl w:val="0"/>
                <w:numId w:val="2"/>
              </w:numPr>
              <w:rPr/>
            </w:pPr>
            <w:r>
              <w:rPr>
                <w:rFonts w:eastAsia="Arial" w:cs="Arial" w:ascii="Arial" w:hAnsi="Arial"/>
              </w:rPr>
              <w:t>Committed to the Borough</w:t>
            </w:r>
          </w:p>
          <w:p>
            <w:pPr>
              <w:pStyle w:val="ListParagraph"/>
              <w:numPr>
                <w:ilvl w:val="0"/>
                <w:numId w:val="2"/>
              </w:numPr>
              <w:rPr/>
            </w:pPr>
            <w:r>
              <w:rPr>
                <w:rFonts w:eastAsia="Arial" w:cs="Arial" w:ascii="Arial" w:hAnsi="Arial"/>
              </w:rPr>
              <w:t>Take Ownership and Drive Change</w:t>
            </w:r>
          </w:p>
          <w:p>
            <w:pPr>
              <w:pStyle w:val="ListParagraph"/>
              <w:numPr>
                <w:ilvl w:val="0"/>
                <w:numId w:val="2"/>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rFonts w:eastAsia="Arial" w:cs="Arial"/>
                <w:sz w:val="22"/>
                <w:szCs w:val="22"/>
              </w:rPr>
            </w:pPr>
            <w:r>
              <w:rPr>
                <w:rFonts w:eastAsia="Arial" w:cs="Arial"/>
                <w:sz w:val="22"/>
                <w:szCs w:val="22"/>
              </w:rPr>
              <w:t>More information around our Values and Behaviours can be found on our Greater. Jobs pages together with information about the staff benefits we offer.</w:t>
            </w:r>
          </w:p>
          <w:p>
            <w:pPr>
              <w:pStyle w:val="Normal"/>
              <w:rPr>
                <w:rFonts w:cs="Arial"/>
                <w:sz w:val="22"/>
                <w:szCs w:val="22"/>
              </w:rPr>
            </w:pPr>
            <w:r>
              <w:rPr>
                <w:rFonts w:cs="Arial"/>
                <w:sz w:val="22"/>
                <w:szCs w:val="22"/>
              </w:rPr>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28.6.2022</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N. Lord</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Principal Licensing Officer</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18.7.2022</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J. Garforth</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TS &amp; Licensing Manager</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December 2025</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Neil Crabtree</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Assistant Director – Public Protection</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April 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Neil Crabtree</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Assistant Director – Public Protection</w:t>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Senior Licensing Technical Support Officer</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Professional Licensing Practitioners Qualification</w:t>
            </w:r>
          </w:p>
          <w:p>
            <w:pPr>
              <w:pStyle w:val="Header"/>
              <w:tabs>
                <w:tab w:val="clear" w:pos="4153"/>
                <w:tab w:val="clear" w:pos="8306"/>
              </w:tabs>
              <w:rPr>
                <w:rFonts w:cs="Arial"/>
                <w:szCs w:val="22"/>
              </w:rPr>
            </w:pPr>
            <w:r>
              <w:rPr>
                <w:rFonts w:cs="Arial"/>
                <w:szCs w:val="22"/>
              </w:rPr>
            </w:r>
          </w:p>
          <w:p>
            <w:pPr>
              <w:pStyle w:val="Normal"/>
              <w:rPr>
                <w:rFonts w:cs="Arial"/>
                <w:sz w:val="22"/>
                <w:szCs w:val="22"/>
              </w:rPr>
            </w:pPr>
            <w:r>
              <w:rPr>
                <w:rFonts w:cs="Arial"/>
                <w:sz w:val="22"/>
                <w:szCs w:val="22"/>
              </w:rPr>
              <w:t>Sufficient literacy and numeracy to undertake the tasks and duties of the role</w:t>
            </w:r>
          </w:p>
          <w:p>
            <w:pPr>
              <w:pStyle w:val="Header"/>
              <w:tabs>
                <w:tab w:val="clear" w:pos="4153"/>
                <w:tab w:val="clear" w:pos="8306"/>
              </w:tabs>
              <w:rPr>
                <w:rFonts w:cs="Arial"/>
                <w:szCs w:val="22"/>
              </w:rPr>
            </w:pPr>
            <w:r>
              <w:rPr>
                <w:rFonts w:cs="Arial"/>
                <w:szCs w:val="22"/>
              </w:rPr>
            </w:r>
          </w:p>
          <w:p>
            <w:pPr>
              <w:pStyle w:val="Header"/>
              <w:tabs>
                <w:tab w:val="clear" w:pos="4153"/>
                <w:tab w:val="clear" w:pos="8306"/>
              </w:tabs>
              <w:rPr>
                <w:rFonts w:cs="Arial"/>
                <w:szCs w:val="22"/>
              </w:rPr>
            </w:pPr>
            <w:r>
              <w:rPr>
                <w:rFonts w:cs="Arial"/>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szCs w:val="22"/>
              </w:rPr>
            </w:pPr>
            <w:r>
              <w:rPr>
                <w:rFonts w:cs="Arial"/>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working in a busy administrative role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a range of general office systems and procedures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with members of the public, and with other agencies, including a demonstratable understanding of the concept of customer care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in accordance with policies and implementing those in day-to-day role</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working within a regulatory role and specifically within the area of Licensing</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using databases for the purpose of licensing functions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dealing with other authorities such as GMP, GMFRS as well as Elected Members</w:t>
            </w:r>
          </w:p>
        </w:tc>
        <w:tc>
          <w:tcPr>
            <w:tcW w:w="1620" w:type="dxa"/>
            <w:tcBorders>
              <w:top w:val="single" w:sz="4" w:space="0" w:color="000000"/>
              <w:left w:val="single" w:sz="4" w:space="0" w:color="000000"/>
              <w:bottom w:val="single" w:sz="4" w:space="0" w:color="000000"/>
              <w:right w:val="single" w:sz="4" w:space="0" w:color="000000"/>
            </w:tcBorders>
          </w:tcPr>
          <w:p>
            <w:pPr>
              <w:pStyle w:val="Normal"/>
              <w:ind w:left="-102" w:right="0"/>
              <w:jc w:val="center"/>
              <w:rPr>
                <w:rFonts w:cs="Arial"/>
                <w:sz w:val="22"/>
                <w:szCs w:val="22"/>
              </w:rPr>
            </w:pPr>
            <w:r>
              <w:rPr>
                <w:rFonts w:cs="Arial"/>
                <w:sz w:val="22"/>
                <w:szCs w:val="22"/>
              </w:rPr>
              <w:t>AF / I</w:t>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t>AF / I</w:t>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t>AF/ I</w:t>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r>
          </w:p>
          <w:p>
            <w:pPr>
              <w:pStyle w:val="Normal"/>
              <w:ind w:left="-102" w:right="0"/>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work under extreme pressure and meet deadlines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remain calm and confident when dealing with confrontational situations face to face and over the telephone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determine priorities and manage workloads in order to achieve sectional targets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communicate effectively verbally, both face to face and over the telephone, and in writing with persons at various levels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adapt quickly to change of direction and pace in line with different demands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converse with ease with members of the public and provide advice in accurate spoken English.</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val="en-US"/>
              </w:rPr>
            </w:pPr>
            <w:r>
              <w:rPr>
                <w:rFonts w:cs="Arial"/>
                <w:sz w:val="22"/>
                <w:szCs w:val="22"/>
                <w:lang w:val="en-US"/>
              </w:rPr>
              <w:t>Understanding of Data Protection and the need to keep personal data secure and confidential</w:t>
            </w:r>
          </w:p>
          <w:p>
            <w:pPr>
              <w:pStyle w:val="Normal"/>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t>Knowledge and understanding of licensing regulations, applications and processes.</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Available to work between the hours of 9am and 5pm Monday to Friday, in line with service delivery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cover customer service counter as directed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work, on occasion, outside normal office hours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those who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annotationreference">
    <w:name w:val="annotation reference"/>
    <w:basedOn w:val="DefaultParagraphFont"/>
    <w:qFormat/>
    <w:rPr>
      <w:sz w:val="16"/>
      <w:szCs w:val="16"/>
    </w:rPr>
  </w:style>
  <w:style w:type="character" w:styleId="CommentSubjectChar">
    <w:name w:val="Comment Subject Char"/>
    <w:basedOn w:val="CommentTextChar"/>
    <w:qFormat/>
    <w:rPr>
      <w:rFonts w:ascii="Arial" w:hAnsi="Arial" w:cs="Arial"/>
      <w:b/>
      <w:bCs/>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annotationsubject">
    <w:name w:val="annotation subject"/>
    <w:basedOn w:val="annotationtext"/>
    <w:next w:val="annotationtext"/>
    <w:qFormat/>
    <w:pPr/>
    <w:rPr>
      <w:rFonts w:ascii="Arial" w:hAnsi="Arial" w:cs="Arial"/>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