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22"/>
          <w:szCs w:val="22"/>
        </w:rPr>
      </w:pPr>
      <w:r>
        <w:rPr>
          <w:rFonts w:cs="Arial"/>
          <w:sz w:val="22"/>
          <w:szCs w:val="22"/>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1390" cy="109474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1390" cy="10947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1390" cy="109474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1390" cy="1094740"/>
                                    </a:xfrm>
                                    <a:prstGeom prst="rect">
                                      <a:avLst/>
                                    </a:prstGeom>
                                  </pic:spPr>
                                </pic:pic>
                              </a:graphicData>
                            </a:graphic>
                          </wp:inline>
                        </w:drawing>
                      </w:r>
                    </w:p>
                  </w:txbxContent>
                </v:textbox>
              </v:rect>
            </w:pict>
          </mc:Fallback>
        </mc:AlternateContent>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Job Title: </w:t>
            </w:r>
          </w:p>
          <w:p>
            <w:pPr>
              <w:pStyle w:val="Normal"/>
              <w:rPr>
                <w:rFonts w:cs="Arial"/>
                <w:color w:val="FFFFFF"/>
                <w:sz w:val="22"/>
                <w:szCs w:val="22"/>
              </w:rPr>
            </w:pPr>
            <w:r>
              <w:rPr>
                <w:rFonts w:cs="Arial"/>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Cs/>
                <w:sz w:val="22"/>
                <w:szCs w:val="22"/>
              </w:rPr>
            </w:pPr>
            <w:bookmarkStart w:id="0" w:name="_Hlk67406866"/>
            <w:r>
              <w:rPr>
                <w:rFonts w:cs="Arial" w:ascii="Arial" w:hAnsi="Arial"/>
                <w:bCs/>
                <w:sz w:val="22"/>
                <w:szCs w:val="22"/>
              </w:rPr>
              <w:t>Technical Officer Housing Services</w:t>
            </w:r>
            <w:bookmarkEnd w:id="0"/>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Directorate:</w:t>
            </w:r>
            <w:r>
              <w:rPr>
                <w:rFonts w:cs="Arial"/>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Place and Economic Growth</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Division/Section:</w:t>
            </w:r>
            <w:r>
              <w:rPr>
                <w:rFonts w:cs="Arial"/>
                <w:color w:val="FFFFFF"/>
                <w:sz w:val="22"/>
                <w:szCs w:val="22"/>
              </w:rPr>
              <w:t xml:space="preserve"> </w:t>
            </w:r>
          </w:p>
          <w:p>
            <w:pPr>
              <w:pStyle w:val="Normal"/>
              <w:rPr>
                <w:rFonts w:cs="Arial"/>
                <w:color w:val="FFFFFF"/>
                <w:sz w:val="22"/>
                <w:szCs w:val="22"/>
              </w:rPr>
            </w:pPr>
            <w:r>
              <w:rPr>
                <w:rFonts w:cs="Arial"/>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Environmental Health</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Grade:  </w:t>
            </w:r>
          </w:p>
          <w:p>
            <w:pPr>
              <w:pStyle w:val="Normal"/>
              <w:rPr>
                <w:rFonts w:cs="Arial"/>
                <w:color w:val="FFFFFF"/>
                <w:sz w:val="22"/>
                <w:szCs w:val="22"/>
              </w:rPr>
            </w:pPr>
            <w:r>
              <w:rPr>
                <w:rFonts w:cs="Arial"/>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7</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color w:val="FFFFFF"/>
                <w:szCs w:val="22"/>
              </w:rPr>
            </w:pPr>
            <w:r>
              <w:rPr>
                <w:rFonts w:cs="Arial"/>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9325</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426" w:leader="none"/>
                <w:tab w:val="left" w:pos="2016" w:leader="none"/>
              </w:tabs>
              <w:snapToGrid w:val="false"/>
              <w:rPr>
                <w:rFonts w:cs="Arial"/>
                <w:color w:val="000000"/>
                <w:sz w:val="22"/>
                <w:szCs w:val="22"/>
              </w:rPr>
            </w:pPr>
            <w:r>
              <w:rPr>
                <w:rFonts w:cs="Arial"/>
                <w:color w:val="000000"/>
                <w:sz w:val="22"/>
                <w:szCs w:val="22"/>
              </w:rPr>
            </w:r>
          </w:p>
          <w:p>
            <w:pPr>
              <w:pStyle w:val="Normal"/>
              <w:tabs>
                <w:tab w:val="clear" w:pos="720"/>
                <w:tab w:val="left" w:pos="426" w:leader="none"/>
                <w:tab w:val="left" w:pos="2016" w:leader="none"/>
              </w:tabs>
              <w:rPr>
                <w:rFonts w:cs="Arial"/>
                <w:color w:val="000000"/>
                <w:sz w:val="22"/>
                <w:szCs w:val="22"/>
              </w:rPr>
            </w:pPr>
            <w:r>
              <w:rPr>
                <w:rFonts w:cs="Arial"/>
                <w:color w:val="000000"/>
                <w:sz w:val="22"/>
                <w:szCs w:val="22"/>
              </w:rPr>
              <w:t>To carry out all aspects of Housing Regulation in accordance with the legislation, including Licensing HMOs, private sector housing disrepair complaints and enforcement against landlords who haven’t complied with the requirements of the Selective Licensing Scheme.</w:t>
            </w:r>
          </w:p>
          <w:p>
            <w:pPr>
              <w:pStyle w:val="Normal"/>
              <w:rPr>
                <w:rFonts w:cs="Arial"/>
                <w:b/>
                <w:b/>
                <w:bCs/>
                <w:sz w:val="22"/>
                <w:szCs w:val="22"/>
              </w:rPr>
            </w:pPr>
            <w:r>
              <w:rPr>
                <w:rFonts w:cs="Arial"/>
                <w:b/>
                <w:bCs/>
                <w:sz w:val="22"/>
                <w:szCs w:val="22"/>
              </w:rPr>
            </w:r>
          </w:p>
          <w:p>
            <w:pPr>
              <w:pStyle w:val="Normal"/>
              <w:rPr>
                <w:rFonts w:cs="Arial"/>
                <w:sz w:val="22"/>
                <w:szCs w:val="22"/>
              </w:rPr>
            </w:pPr>
            <w:r>
              <w:rPr>
                <w:rFonts w:cs="Arial"/>
                <w:sz w:val="22"/>
                <w:szCs w:val="22"/>
              </w:rPr>
              <w:t>To work with the Council’s partner agencies, residents, contractors, landlords and agents, Councillors and Leadership as required.</w:t>
            </w:r>
          </w:p>
          <w:p>
            <w:pPr>
              <w:pStyle w:val="Normal"/>
              <w:rPr>
                <w:rFonts w:cs="Arial"/>
                <w:b/>
                <w:b/>
                <w:sz w:val="22"/>
                <w:szCs w:val="22"/>
              </w:rPr>
            </w:pPr>
            <w:r>
              <w:rPr>
                <w:rFonts w:cs="Arial"/>
                <w:b/>
                <w:sz w:val="22"/>
                <w:szCs w:val="22"/>
              </w:rPr>
            </w:r>
          </w:p>
          <w:p>
            <w:pPr>
              <w:pStyle w:val="Normal"/>
              <w:rPr/>
            </w:pPr>
            <w:r>
              <w:rPr>
                <w:rFonts w:cs="Arial"/>
                <w:sz w:val="22"/>
                <w:szCs w:val="22"/>
              </w:rPr>
              <w:t>To support the Environmental Health Manager and Assistant Environmental Health manager on Housing related issues within the department’s work programme as required</w:t>
            </w:r>
            <w:r>
              <w:rPr>
                <w:rFonts w:cs="Arial"/>
                <w:b/>
                <w:sz w:val="22"/>
                <w:szCs w:val="22"/>
              </w:rPr>
              <w:t>.</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To be responsible for the delivery of an effective Housing Enforcement service, from carrying out HMO licensing to taking enforcement action against landlords that are not complying with legal or licensing requirements.</w:t>
            </w:r>
          </w:p>
          <w:p>
            <w:pPr>
              <w:pStyle w:val="Normal"/>
              <w:rPr>
                <w:rFonts w:eastAsia="Arial" w:cs="Arial"/>
                <w:color w:val="000000"/>
                <w:sz w:val="22"/>
                <w:szCs w:val="22"/>
              </w:rPr>
            </w:pPr>
            <w:r>
              <w:rPr>
                <w:rFonts w:eastAsia="Arial" w:cs="Arial"/>
                <w:color w:val="000000"/>
                <w:sz w:val="22"/>
                <w:szCs w:val="22"/>
              </w:rPr>
              <w:t xml:space="preserve"> </w:t>
            </w:r>
          </w:p>
          <w:p>
            <w:pPr>
              <w:pStyle w:val="Normal"/>
              <w:rPr>
                <w:rFonts w:cs="Arial"/>
                <w:color w:val="000000"/>
                <w:sz w:val="22"/>
                <w:szCs w:val="22"/>
              </w:rPr>
            </w:pPr>
            <w:r>
              <w:rPr>
                <w:rFonts w:cs="Arial"/>
                <w:color w:val="000000"/>
                <w:sz w:val="22"/>
                <w:szCs w:val="22"/>
              </w:rPr>
              <w:t xml:space="preserve">To monitor that licensing fees have been paid and invoices are raised for the service of legal notices.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provide technical and project management skills and expertise to colleagues within the department to ensure that all privately rented property is fit to live in.</w:t>
            </w:r>
          </w:p>
          <w:p>
            <w:pPr>
              <w:pStyle w:val="Normal"/>
              <w:rPr>
                <w:rFonts w:eastAsia="Arial" w:cs="Arial"/>
                <w:sz w:val="22"/>
                <w:szCs w:val="22"/>
              </w:rPr>
            </w:pPr>
            <w:r>
              <w:rPr>
                <w:rFonts w:eastAsia="Arial" w:cs="Arial"/>
                <w:sz w:val="22"/>
                <w:szCs w:val="22"/>
              </w:rPr>
              <w:t xml:space="preserve"> </w:t>
            </w:r>
          </w:p>
          <w:p>
            <w:pPr>
              <w:pStyle w:val="Normal"/>
              <w:rPr>
                <w:rFonts w:cs="Arial"/>
                <w:sz w:val="22"/>
                <w:szCs w:val="22"/>
              </w:rPr>
            </w:pPr>
            <w:r>
              <w:rPr>
                <w:rFonts w:cs="Arial"/>
                <w:sz w:val="22"/>
                <w:szCs w:val="22"/>
              </w:rPr>
              <w:t xml:space="preserve">To undertake detailed inspections of properties in accordance with the Housing Act 2004 to ensure that they meet legal and licensing requirements.. and ensuring that the rectification within a timely manner.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provide technical advice and information to contractors, licence holders and colleagues regarding defaults in the property and how to rectify matters.  Making appropriate referrals where necessary.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work with tenants, including vulnerable and hard to engage groups on issues affecting their lives and make appropriate referrals to other agencies to get the help they need.</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prepare and present detailed technical reports as required for licensed landlords/agents, senior managers and elected members of the Council as and when required</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be able to recognise risk early and to mitigate those risks through clear and effective action.</w:t>
            </w:r>
          </w:p>
          <w:p>
            <w:pPr>
              <w:pStyle w:val="Normal"/>
              <w:rPr>
                <w:rFonts w:cs="Arial"/>
                <w:sz w:val="22"/>
                <w:szCs w:val="22"/>
              </w:rPr>
            </w:pPr>
            <w:r>
              <w:rPr>
                <w:rFonts w:cs="Arial"/>
                <w:sz w:val="22"/>
                <w:szCs w:val="22"/>
              </w:rPr>
              <w:t>To ensure a high level of emotional intelligence when engaging with vulnerable or distressed residents/licence holders/agents.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be responsible for, managing and maintaining appropriate technical equipment associated with this and in ensuring that it is properly used.</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take the necessary and appropriate legal action and if necessary prepare files for court or issue Civil Penalty Notices.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make sure the Civil Penalty Notices are paid and prepare files for Legal when they are not.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liaise with the Homelessness team to arrange rehousing for these tenants made homeless as a result of enforcement action.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liaise with tenants and landlords to enable works to the property to be carried out.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undertake such other duties as requested from time to time by Senior Managers.</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color w:val="FFFFFF"/>
                <w:sz w:val="22"/>
                <w:szCs w:val="22"/>
              </w:rPr>
            </w:pPr>
            <w:r>
              <w:rPr>
                <w:rFonts w:cs="Arial"/>
                <w:b/>
                <w:color w:val="FFFFFF"/>
                <w:sz w:val="22"/>
                <w:szCs w:val="22"/>
              </w:rPr>
              <w:t>Standard Duties:</w:t>
            </w:r>
          </w:p>
          <w:p>
            <w:pPr>
              <w:pStyle w:val="Normal"/>
              <w:jc w:val="both"/>
              <w:rPr>
                <w:rFonts w:cs="Arial"/>
                <w:color w:val="FFFFFF"/>
                <w:sz w:val="22"/>
                <w:szCs w:val="22"/>
              </w:rPr>
            </w:pPr>
            <w:r>
              <w:rPr>
                <w:rFonts w:cs="Arial"/>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color w:val="FFFFFF"/>
                <w:sz w:val="22"/>
                <w:szCs w:val="22"/>
              </w:rPr>
            </w:pPr>
            <w:r>
              <w:rPr>
                <w:rFonts w:cs="Arial"/>
                <w:color w:val="FFFFFF"/>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sz w:val="22"/>
                <w:szCs w:val="22"/>
              </w:rPr>
            </w:pPr>
            <w:r>
              <w:rPr>
                <w:rFonts w:cs="Arial"/>
                <w:b/>
                <w:sz w:val="22"/>
                <w:szCs w:val="22"/>
              </w:rPr>
              <w:t>Contacts:</w:t>
            </w:r>
          </w:p>
          <w:p>
            <w:pPr>
              <w:pStyle w:val="Normal"/>
              <w:jc w:val="both"/>
              <w:rPr>
                <w:rFonts w:cs="Arial"/>
                <w:b/>
                <w:b/>
                <w:sz w:val="22"/>
                <w:szCs w:val="22"/>
              </w:rPr>
            </w:pPr>
            <w:r>
              <w:rPr>
                <w:rFonts w:cs="Arial"/>
                <w:b/>
                <w:sz w:val="22"/>
                <w:szCs w:val="22"/>
              </w:rPr>
            </w:r>
          </w:p>
          <w:p>
            <w:pPr>
              <w:pStyle w:val="Normal"/>
              <w:numPr>
                <w:ilvl w:val="0"/>
                <w:numId w:val="2"/>
              </w:numPr>
              <w:rPr>
                <w:rFonts w:cs="Arial"/>
                <w:bCs/>
                <w:sz w:val="22"/>
                <w:szCs w:val="22"/>
              </w:rPr>
            </w:pPr>
            <w:r>
              <w:rPr>
                <w:rFonts w:cs="Arial"/>
                <w:bCs/>
                <w:sz w:val="22"/>
                <w:szCs w:val="22"/>
              </w:rPr>
              <w:t>Selective Licensing Technical Officer &amp; Selective Licensing Support Officers, and Neighbourhood   Enforcement Team</w:t>
            </w:r>
          </w:p>
          <w:p>
            <w:pPr>
              <w:pStyle w:val="Normal"/>
              <w:numPr>
                <w:ilvl w:val="0"/>
                <w:numId w:val="2"/>
              </w:numPr>
              <w:rPr/>
            </w:pPr>
            <w:r>
              <w:rPr>
                <w:rFonts w:eastAsia="Arial" w:cs="Arial"/>
                <w:bCs/>
                <w:sz w:val="22"/>
                <w:szCs w:val="22"/>
              </w:rPr>
              <w:t xml:space="preserve"> </w:t>
            </w:r>
            <w:r>
              <w:rPr>
                <w:rFonts w:cs="Arial"/>
                <w:bCs/>
                <w:sz w:val="22"/>
                <w:szCs w:val="22"/>
              </w:rPr>
              <w:t>Environmental Health Manager</w:t>
            </w:r>
          </w:p>
          <w:p>
            <w:pPr>
              <w:pStyle w:val="Normal"/>
              <w:numPr>
                <w:ilvl w:val="0"/>
                <w:numId w:val="2"/>
              </w:numPr>
              <w:rPr/>
            </w:pPr>
            <w:r>
              <w:rPr>
                <w:rFonts w:eastAsia="Arial" w:cs="Arial"/>
                <w:bCs/>
                <w:sz w:val="22"/>
                <w:szCs w:val="22"/>
              </w:rPr>
              <w:t xml:space="preserve"> </w:t>
            </w:r>
            <w:r>
              <w:rPr>
                <w:rFonts w:cs="Arial"/>
                <w:bCs/>
                <w:sz w:val="22"/>
                <w:szCs w:val="22"/>
              </w:rPr>
              <w:t>Assistant Environmental Health Manager</w:t>
            </w:r>
          </w:p>
          <w:p>
            <w:pPr>
              <w:pStyle w:val="Normal"/>
              <w:numPr>
                <w:ilvl w:val="0"/>
                <w:numId w:val="2"/>
              </w:numPr>
              <w:rPr>
                <w:rFonts w:cs="Arial"/>
                <w:bCs/>
                <w:sz w:val="22"/>
                <w:szCs w:val="22"/>
              </w:rPr>
            </w:pPr>
            <w:r>
              <w:rPr>
                <w:rFonts w:cs="Arial"/>
                <w:bCs/>
                <w:sz w:val="22"/>
                <w:szCs w:val="22"/>
              </w:rPr>
              <w:t>Head of Public Protection</w:t>
            </w:r>
          </w:p>
          <w:p>
            <w:pPr>
              <w:pStyle w:val="Normal"/>
              <w:numPr>
                <w:ilvl w:val="0"/>
                <w:numId w:val="2"/>
              </w:numPr>
              <w:rPr/>
            </w:pPr>
            <w:r>
              <w:rPr>
                <w:rFonts w:eastAsia="Arial" w:cs="Arial"/>
                <w:bCs/>
                <w:sz w:val="22"/>
                <w:szCs w:val="22"/>
              </w:rPr>
              <w:t xml:space="preserve"> </w:t>
            </w:r>
            <w:r>
              <w:rPr>
                <w:rFonts w:cs="Arial"/>
                <w:bCs/>
                <w:sz w:val="22"/>
                <w:szCs w:val="22"/>
              </w:rPr>
              <w:t>Assistant Director</w:t>
            </w:r>
          </w:p>
          <w:p>
            <w:pPr>
              <w:pStyle w:val="Normal"/>
              <w:numPr>
                <w:ilvl w:val="0"/>
                <w:numId w:val="2"/>
              </w:numPr>
              <w:rPr>
                <w:rFonts w:cs="Arial"/>
                <w:sz w:val="22"/>
                <w:szCs w:val="22"/>
              </w:rPr>
            </w:pPr>
            <w:r>
              <w:rPr>
                <w:rFonts w:cs="Arial"/>
                <w:sz w:val="22"/>
                <w:szCs w:val="22"/>
              </w:rPr>
              <w:t>Representatives of Government Departments and agencies.</w:t>
            </w:r>
          </w:p>
          <w:p>
            <w:pPr>
              <w:pStyle w:val="Normal"/>
              <w:numPr>
                <w:ilvl w:val="0"/>
                <w:numId w:val="2"/>
              </w:numPr>
              <w:rPr>
                <w:rFonts w:cs="Arial"/>
                <w:sz w:val="22"/>
                <w:szCs w:val="22"/>
              </w:rPr>
            </w:pPr>
            <w:r>
              <w:rPr>
                <w:rFonts w:cs="Arial"/>
                <w:sz w:val="22"/>
                <w:szCs w:val="22"/>
              </w:rPr>
              <w:t>Members of the public, residents, landlord, managing agents, contractors.</w:t>
            </w:r>
          </w:p>
          <w:p>
            <w:pPr>
              <w:pStyle w:val="Normal"/>
              <w:numPr>
                <w:ilvl w:val="0"/>
                <w:numId w:val="2"/>
              </w:numPr>
              <w:rPr>
                <w:rFonts w:cs="Arial"/>
                <w:sz w:val="22"/>
                <w:szCs w:val="22"/>
              </w:rPr>
            </w:pPr>
            <w:r>
              <w:rPr>
                <w:rFonts w:cs="Arial"/>
                <w:sz w:val="22"/>
                <w:szCs w:val="22"/>
              </w:rPr>
              <w:t>Elected Members of Oldham Council and other Councils.</w:t>
            </w:r>
          </w:p>
          <w:p>
            <w:pPr>
              <w:pStyle w:val="Normal"/>
              <w:numPr>
                <w:ilvl w:val="0"/>
                <w:numId w:val="2"/>
              </w:numPr>
              <w:rPr>
                <w:rFonts w:cs="Arial"/>
                <w:sz w:val="22"/>
                <w:szCs w:val="22"/>
              </w:rPr>
            </w:pPr>
            <w:r>
              <w:rPr>
                <w:rFonts w:cs="Arial"/>
                <w:sz w:val="22"/>
                <w:szCs w:val="22"/>
              </w:rPr>
              <w:t xml:space="preserve">Officers of Oldham Council and other Councils </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color w:val="FFFFFF"/>
                <w:szCs w:val="22"/>
              </w:rPr>
            </w:pPr>
            <w:r>
              <w:rPr>
                <w:rFonts w:cs="Arial"/>
                <w:color w:val="FFFFFF"/>
                <w:szCs w:val="22"/>
              </w:rPr>
              <w:t>Relationship To Other Posts In The Department:</w:t>
            </w:r>
          </w:p>
          <w:p>
            <w:pPr>
              <w:pStyle w:val="Normal"/>
              <w:rPr>
                <w:rFonts w:cs="Arial"/>
                <w:color w:val="FFFFFF"/>
                <w:sz w:val="22"/>
                <w:szCs w:val="22"/>
              </w:rPr>
            </w:pPr>
            <w:r>
              <w:rPr>
                <w:rFonts w:cs="Arial"/>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pPr>
            <w:r>
              <w:rPr>
                <w:rFonts w:eastAsia="Arial" w:cs="Arial"/>
                <w:b w:val="false"/>
                <w:szCs w:val="22"/>
              </w:rPr>
              <w:t xml:space="preserve"> </w:t>
            </w:r>
            <w:r>
              <w:rPr>
                <w:rFonts w:cs="Arial"/>
                <w:b w:val="false"/>
                <w:szCs w:val="22"/>
              </w:rPr>
              <w:t>Assistant Environmental Health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b/>
                <w:sz w:val="22"/>
                <w:szCs w:val="22"/>
              </w:rPr>
              <w:t xml:space="preserve">Special Conditions: </w:t>
            </w:r>
            <w:r>
              <w:rPr>
                <w:rFonts w:cs="Arial"/>
                <w:bCs/>
                <w:sz w:val="22"/>
                <w:szCs w:val="22"/>
              </w:rPr>
              <w:t>Essential Car Allowance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color w:val="FFFFFF"/>
                <w:sz w:val="22"/>
                <w:szCs w:val="22"/>
              </w:rPr>
            </w:pPr>
            <w:r>
              <w:rPr>
                <w:rFonts w:cs="Arial"/>
                <w:b/>
                <w:color w:val="FFFFFF"/>
                <w:sz w:val="22"/>
                <w:szCs w:val="22"/>
              </w:rPr>
              <w:t>Values and Behaviours:</w:t>
            </w:r>
          </w:p>
          <w:p>
            <w:pPr>
              <w:pStyle w:val="Normal"/>
              <w:rPr>
                <w:rFonts w:cs="Arial"/>
                <w:b/>
                <w:b/>
                <w:color w:val="FFFFFF"/>
                <w:sz w:val="22"/>
                <w:szCs w:val="22"/>
              </w:rPr>
            </w:pPr>
            <w:r>
              <w:rPr>
                <w:rFonts w:cs="Arial"/>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Normal"/>
              <w:numPr>
                <w:ilvl w:val="0"/>
                <w:numId w:val="3"/>
              </w:numPr>
              <w:spacing w:lineRule="auto" w:line="276" w:before="0" w:after="200"/>
              <w:contextualSpacing/>
              <w:rPr>
                <w:rFonts w:eastAsia="Arial" w:cs="Arial"/>
                <w:sz w:val="22"/>
                <w:szCs w:val="22"/>
              </w:rPr>
            </w:pPr>
            <w:r>
              <w:rPr>
                <w:rFonts w:eastAsia="Arial" w:cs="Arial"/>
                <w:sz w:val="22"/>
                <w:szCs w:val="22"/>
              </w:rPr>
              <w:t>Work with a Resident Focus</w:t>
            </w:r>
          </w:p>
          <w:p>
            <w:pPr>
              <w:pStyle w:val="Normal"/>
              <w:numPr>
                <w:ilvl w:val="0"/>
                <w:numId w:val="3"/>
              </w:numPr>
              <w:spacing w:lineRule="auto" w:line="276" w:before="0" w:after="200"/>
              <w:contextualSpacing/>
              <w:rPr>
                <w:rFonts w:eastAsia="Arial" w:cs="Arial"/>
                <w:sz w:val="22"/>
                <w:szCs w:val="22"/>
              </w:rPr>
            </w:pPr>
            <w:r>
              <w:rPr>
                <w:rFonts w:eastAsia="Arial" w:cs="Arial"/>
                <w:sz w:val="22"/>
                <w:szCs w:val="22"/>
              </w:rPr>
              <w:t>Support Local Leaders</w:t>
            </w:r>
          </w:p>
          <w:p>
            <w:pPr>
              <w:pStyle w:val="Normal"/>
              <w:numPr>
                <w:ilvl w:val="0"/>
                <w:numId w:val="3"/>
              </w:numPr>
              <w:spacing w:lineRule="auto" w:line="276" w:before="0" w:after="200"/>
              <w:contextualSpacing/>
              <w:rPr>
                <w:rFonts w:eastAsia="Arial" w:cs="Arial"/>
                <w:sz w:val="22"/>
                <w:szCs w:val="22"/>
              </w:rPr>
            </w:pPr>
            <w:r>
              <w:rPr>
                <w:rFonts w:eastAsia="Arial" w:cs="Arial"/>
                <w:sz w:val="22"/>
                <w:szCs w:val="22"/>
              </w:rPr>
              <w:t>Committed to the Borough</w:t>
            </w:r>
          </w:p>
          <w:p>
            <w:pPr>
              <w:pStyle w:val="Normal"/>
              <w:numPr>
                <w:ilvl w:val="0"/>
                <w:numId w:val="3"/>
              </w:numPr>
              <w:spacing w:lineRule="auto" w:line="276" w:before="0" w:after="200"/>
              <w:contextualSpacing/>
              <w:rPr>
                <w:rFonts w:eastAsia="Arial" w:cs="Arial"/>
                <w:sz w:val="22"/>
                <w:szCs w:val="22"/>
              </w:rPr>
            </w:pPr>
            <w:r>
              <w:rPr>
                <w:rFonts w:eastAsia="Arial" w:cs="Arial"/>
                <w:sz w:val="22"/>
                <w:szCs w:val="22"/>
              </w:rPr>
              <w:t>Take Ownership and Drive Change</w:t>
            </w:r>
          </w:p>
          <w:p>
            <w:pPr>
              <w:pStyle w:val="Normal"/>
              <w:numPr>
                <w:ilvl w:val="0"/>
                <w:numId w:val="3"/>
              </w:numPr>
              <w:spacing w:lineRule="auto" w:line="276" w:before="0" w:after="200"/>
              <w:contextualSpacing/>
              <w:rPr>
                <w:rFonts w:eastAsia="Arial" w:cs="Arial"/>
                <w:sz w:val="22"/>
                <w:szCs w:val="22"/>
              </w:rPr>
            </w:pPr>
            <w:r>
              <w:rPr>
                <w:rFonts w:eastAsia="Arial" w:cs="Arial"/>
                <w:sz w:val="22"/>
                <w:szCs w:val="22"/>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Fonts w:eastAsia="Arial" w:cs="Arial"/>
                <w:color w:val="467886"/>
                <w:sz w:val="22"/>
                <w:szCs w:val="22"/>
                <w:u w:val="single"/>
              </w:rPr>
              <w:t>Greater. Jobs pages</w:t>
            </w:r>
            <w:r>
              <w:rPr>
                <w:rFonts w:eastAsia="Arial" w:cs="Arial"/>
                <w:sz w:val="22"/>
                <w:szCs w:val="22"/>
              </w:rPr>
              <w:t xml:space="preserve"> together with information about the staff benefits we offer.</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26/7/23</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Samantha Cox</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Environmental Health Manager</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1390" cy="109474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1390" cy="10947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1390" cy="109474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1390" cy="1094740"/>
                                    </a:xfrm>
                                    <a:prstGeom prst="rect">
                                      <a:avLst/>
                                    </a:prstGeom>
                                  </pic:spPr>
                                </pic:pic>
                              </a:graphicData>
                            </a:graphic>
                          </wp:inline>
                        </w:drawing>
                      </w:r>
                    </w:p>
                  </w:txbxContent>
                </v:textbox>
              </v:rect>
            </w:pict>
          </mc:Fallback>
        </mc:AlternateContent>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Normal"/>
        <w:ind w:left="0" w:right="-514" w:hanging="0"/>
        <w:rPr/>
      </w:pPr>
      <w:r>
        <w:rPr>
          <w:rFonts w:cs="Arial"/>
          <w:b/>
          <w:bCs/>
          <w:sz w:val="22"/>
          <w:szCs w:val="22"/>
        </w:rPr>
        <w:t>Job Title:</w:t>
      </w:r>
      <w:r>
        <w:rPr>
          <w:rFonts w:cs="Arial"/>
          <w:bCs/>
          <w:sz w:val="22"/>
          <w:szCs w:val="22"/>
        </w:rPr>
        <w:t xml:space="preserve">  Technical Officer Housing Services</w:t>
      </w:r>
    </w:p>
    <w:p>
      <w:pPr>
        <w:pStyle w:val="Normal"/>
        <w:ind w:left="0" w:right="-514" w:hanging="0"/>
        <w:rPr>
          <w:rFonts w:cs="Arial"/>
          <w:bCs/>
          <w:sz w:val="22"/>
          <w:szCs w:val="22"/>
        </w:rPr>
      </w:pPr>
      <w:r>
        <w:rPr>
          <w:rFonts w:cs="Arial"/>
          <w:bCs/>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785"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(Desirable)</w:t>
            </w:r>
          </w:p>
          <w:p>
            <w:pPr>
              <w:pStyle w:val="Normal"/>
              <w:jc w:val="center"/>
              <w:rPr>
                <w:rFonts w:cs="Arial"/>
                <w:b/>
                <w:b/>
                <w:bCs/>
                <w:color w:val="FFFFFF"/>
                <w:sz w:val="22"/>
                <w:szCs w:val="22"/>
              </w:rPr>
            </w:pPr>
            <w:r>
              <w:rPr>
                <w:rFonts w:cs="Arial"/>
                <w:b/>
                <w:bCs/>
                <w:color w:val="FFFFFF"/>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Education &amp; Qualifications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pPr>
            <w:r>
              <w:rPr>
                <w:rFonts w:cs="Arial"/>
                <w:sz w:val="22"/>
                <w:szCs w:val="22"/>
              </w:rPr>
              <w:t xml:space="preserve">Approved degree standard qualification in Building Surveying, Construction Management or </w:t>
            </w:r>
            <w:r>
              <w:rPr>
                <w:rFonts w:cs="Arial"/>
                <w:iCs/>
                <w:sz w:val="22"/>
                <w:szCs w:val="22"/>
              </w:rPr>
              <w:t>Construction / Property related discipline</w:t>
            </w:r>
            <w:r>
              <w:rPr>
                <w:rFonts w:cs="Arial"/>
                <w:sz w:val="22"/>
                <w:szCs w:val="22"/>
              </w:rPr>
              <w:t xml:space="preserve"> or </w:t>
            </w:r>
            <w:r>
              <w:rPr>
                <w:sz w:val="22"/>
                <w:szCs w:val="22"/>
              </w:rPr>
              <w:t>other professional qualification related to housing or a relevant discipline.</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Header"/>
              <w:snapToGrid w:val="false"/>
              <w:rPr>
                <w:rFonts w:cs="Arial"/>
                <w:sz w:val="22"/>
                <w:szCs w:val="22"/>
              </w:rPr>
            </w:pPr>
            <w:r>
              <w:rPr>
                <w:rFonts w:cs="Arial"/>
                <w:sz w:val="22"/>
                <w:szCs w:val="22"/>
              </w:rPr>
            </w:r>
          </w:p>
          <w:p>
            <w:pPr>
              <w:pStyle w:val="Header"/>
              <w:tabs>
                <w:tab w:val="clear" w:pos="4153"/>
                <w:tab w:val="clear" w:pos="8306"/>
              </w:tabs>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AF/I/C</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Experience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Experience in private sector housing</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effectively engaging, empathising with vulnerable and hard to engage residents on housing related projects.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Experience of managing, maintaining and using a wide range of technical equipment associated with housing programmes.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carrying technical inspections, producing reports and enforcement under the Housing Act 2004 and Housing and Planning Act 2016</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95" w:leader="none"/>
                <w:tab w:val="center" w:pos="702" w:leader="none"/>
              </w:tabs>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Skills &amp; Abilities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Excellent written and technical skills and abilities to develop and implement technical appraisals on individual dwellings,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Able to interpret and verify complex technical safety documents and reports relating to housing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ensure effective financial management of Civil Penalties issued</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Excellent written and oral communication skills and ability to engage clearly and effectively with a wide range of contractors, partners, individuals and vulnerable groups.</w:t>
            </w:r>
          </w:p>
          <w:p>
            <w:pPr>
              <w:pStyle w:val="Normal"/>
              <w:tabs>
                <w:tab w:val="clear" w:pos="720"/>
                <w:tab w:val="left" w:pos="1290" w:leader="none"/>
              </w:tabs>
              <w:rPr>
                <w:rFonts w:cs="Arial"/>
                <w:sz w:val="22"/>
                <w:szCs w:val="22"/>
              </w:rPr>
            </w:pPr>
            <w:r>
              <w:rPr>
                <w:rFonts w:cs="Arial"/>
                <w:sz w:val="22"/>
                <w:szCs w:val="22"/>
              </w:rPr>
              <w:tab/>
            </w:r>
          </w:p>
          <w:p>
            <w:pPr>
              <w:pStyle w:val="Normal"/>
              <w:rPr>
                <w:rFonts w:cs="Arial"/>
                <w:sz w:val="22"/>
                <w:szCs w:val="22"/>
              </w:rPr>
            </w:pPr>
            <w:r>
              <w:rPr>
                <w:rFonts w:cs="Arial"/>
                <w:sz w:val="22"/>
                <w:szCs w:val="22"/>
              </w:rPr>
              <w:t>Ability to use basic and bespoke software, and to manage, interpret and manipulate database and other information.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effectively manage and use physical resources, including technical equipment associate with this role.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support and advise Elected Members, Cabinet Members, residents and vulnerable clients of the Council on technical aspects of Housing Enforcement, demonstrating empathy.</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Knowledge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Excellent understanding of current housing standards, legislation and Government proposals.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Good knowledge of the social, cultural and community context in which local services are provided.</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Excellent knowledge of the legal framework related to enforcement and compliance with appropriate legislation.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Good knowledge of local and central government processes and procedures, including on procurement issues.</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Good understanding of the respective roles of partners and residents within Housing Enforcement action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Work Circumstances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Willingness to work flexibly outside normal working hours, to undertake training and to attend meetings / conferences / seminars within and outside the Borough, as required.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demonstrate a commitment to the Council’s equality and diversity policies.</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jc w:val="both"/>
        <w:rPr/>
      </w:pPr>
      <w:r>
        <w:rPr/>
      </w:r>
    </w:p>
    <w:sectPr>
      <w:headerReference w:type="default" r:id="rId4"/>
      <w:headerReference w:type="first" r:id="rId5"/>
      <w:type w:val="nextPage"/>
      <w:pgSz w:w="11906" w:h="16838"/>
      <w:pgMar w:left="1440" w:right="1440" w:header="567" w:top="624" w:footer="0" w:bottom="1135"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Revision">
    <w:name w:val="Revision"/>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2026-05-15T10:24:00Z</dcterms:created>
  <dc:creator>OMBC</dc:creator>
  <dc:description/>
  <dc:language>en-US</dc:language>
  <cp:lastModifiedBy>Ian Robinson (HR)</cp:lastModifiedBy>
  <cp:lastPrinted>1995-11-21T17:41:00Z</cp:lastPrinted>
  <dcterms:modified xsi:type="dcterms:W3CDTF">2026-05-15T10:24:00Z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