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b/>
          <w:bCs/>
          <w:sz w:val="22"/>
          <w:szCs w:val="22"/>
        </w:rPr>
      </w:pPr>
      <w:r>
        <w:rPr>
          <w:rFonts w:cs="Arial"/>
          <w:b/>
          <w:bCs/>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1390" cy="109474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b/>
          <w:bCs/>
          <w:sz w:val="22"/>
          <w:szCs w:val="22"/>
        </w:rPr>
      </w:pPr>
      <w:r>
        <w:rPr>
          <w:rFonts w:cs="Arial"/>
          <w:b/>
          <w:bCs/>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AA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Solicitor – Commercial Contracts</w:t>
            </w:r>
          </w:p>
        </w:tc>
      </w:tr>
    </w:tbl>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2869"/>
        <w:gridCol w:w="2179"/>
        <w:gridCol w:w="3940"/>
      </w:tblGrid>
      <w:tr>
        <w:trPr/>
        <w:tc>
          <w:tcPr>
            <w:tcW w:w="1451" w:type="dxa"/>
            <w:tcBorders>
              <w:top w:val="single" w:sz="4" w:space="0" w:color="000000"/>
              <w:left w:val="single" w:sz="4" w:space="0" w:color="000000"/>
              <w:bottom w:val="single" w:sz="4" w:space="0" w:color="000000"/>
              <w:right w:val="single" w:sz="4" w:space="0" w:color="000000"/>
            </w:tcBorders>
            <w:shd w:fill="00AA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Resources</w:t>
            </w:r>
          </w:p>
        </w:tc>
        <w:tc>
          <w:tcPr>
            <w:tcW w:w="2179" w:type="dxa"/>
            <w:tcBorders>
              <w:top w:val="single" w:sz="4" w:space="0" w:color="000000"/>
              <w:left w:val="single" w:sz="4" w:space="0" w:color="000000"/>
              <w:bottom w:val="single" w:sz="4" w:space="0" w:color="000000"/>
              <w:right w:val="single" w:sz="4" w:space="0" w:color="000000"/>
            </w:tcBorders>
            <w:shd w:fill="00AA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Legal Services</w:t>
            </w:r>
          </w:p>
        </w:tc>
      </w:tr>
      <w:tr>
        <w:trPr/>
        <w:tc>
          <w:tcPr>
            <w:tcW w:w="1451" w:type="dxa"/>
            <w:tcBorders>
              <w:top w:val="single" w:sz="4" w:space="0" w:color="000000"/>
              <w:left w:val="single" w:sz="4" w:space="0" w:color="000000"/>
              <w:bottom w:val="single" w:sz="4" w:space="0" w:color="000000"/>
              <w:right w:val="single" w:sz="4" w:space="0" w:color="000000"/>
            </w:tcBorders>
            <w:shd w:fill="00AA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SM3</w:t>
            </w:r>
          </w:p>
        </w:tc>
        <w:tc>
          <w:tcPr>
            <w:tcW w:w="2179" w:type="dxa"/>
            <w:tcBorders>
              <w:top w:val="single" w:sz="4" w:space="0" w:color="000000"/>
              <w:left w:val="single" w:sz="4" w:space="0" w:color="000000"/>
              <w:bottom w:val="single" w:sz="4" w:space="0" w:color="000000"/>
              <w:right w:val="single" w:sz="4" w:space="0" w:color="000000"/>
            </w:tcBorders>
            <w:shd w:fill="00AA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3020</w:t>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rHeight w:val="390" w:hRule="atLeast"/>
        </w:trPr>
        <w:tc>
          <w:tcPr>
            <w:tcW w:w="10440" w:type="dxa"/>
            <w:tcBorders>
              <w:top w:val="single" w:sz="4" w:space="0" w:color="000000"/>
              <w:left w:val="single" w:sz="4" w:space="0" w:color="000000"/>
              <w:bottom w:val="single" w:sz="4" w:space="0" w:color="000000"/>
              <w:right w:val="single" w:sz="4" w:space="0" w:color="000000"/>
            </w:tcBorders>
            <w:shd w:fill="00AABE" w:val="clear"/>
          </w:tcPr>
          <w:p>
            <w:pPr>
              <w:pStyle w:val="EndnoteText"/>
              <w:jc w:val="both"/>
              <w:rPr>
                <w:rFonts w:ascii="Arial" w:hAnsi="Arial" w:cs="Arial"/>
                <w:b/>
                <w:sz w:val="22"/>
                <w:szCs w:val="22"/>
              </w:rPr>
            </w:pPr>
            <w:r>
              <w:rPr>
                <w:rFonts w:cs="Arial" w:ascii="Arial" w:hAnsi="Arial"/>
                <w:b/>
                <w:sz w:val="22"/>
                <w:szCs w:val="22"/>
              </w:rPr>
              <w:t xml:space="preserve">Job Purpose:   </w:t>
            </w:r>
          </w:p>
        </w:tc>
      </w:tr>
      <w:tr>
        <w:trPr>
          <w:trHeight w:val="390" w:hRule="atLeast"/>
        </w:trPr>
        <w:tc>
          <w:tcPr>
            <w:tcW w:w="104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pPr>
            <w:r>
              <w:rPr/>
            </w:r>
          </w:p>
          <w:p>
            <w:pPr>
              <w:pStyle w:val="Normal"/>
              <w:spacing w:before="40" w:after="40"/>
              <w:jc w:val="both"/>
              <w:rPr>
                <w:bCs/>
                <w:sz w:val="22"/>
                <w:szCs w:val="20"/>
              </w:rPr>
            </w:pPr>
            <w:r>
              <w:rPr>
                <w:bCs/>
                <w:sz w:val="22"/>
                <w:szCs w:val="20"/>
              </w:rPr>
              <w:t>To provide relevant legal advice and legal services on the legal aspects of procurement, contract drafting, contract management and contract dispute resolution and to enter into contracts for and on behalf of the Council from inception to completion.</w:t>
            </w:r>
          </w:p>
          <w:p>
            <w:pPr>
              <w:pStyle w:val="Normal"/>
              <w:spacing w:before="40" w:after="40"/>
              <w:jc w:val="both"/>
              <w:rPr>
                <w:bCs/>
                <w:sz w:val="22"/>
                <w:szCs w:val="20"/>
              </w:rPr>
            </w:pPr>
            <w:r>
              <w:rPr>
                <w:bCs/>
                <w:sz w:val="22"/>
                <w:szCs w:val="20"/>
              </w:rPr>
              <w:t>To provide legal advice and legal services in respect of all work falling within the remit of the section including advice in relation to commercial law, contract and procurement law and practice.</w:t>
            </w:r>
          </w:p>
          <w:p>
            <w:pPr>
              <w:pStyle w:val="Normal"/>
              <w:spacing w:before="40" w:after="40"/>
              <w:jc w:val="both"/>
              <w:rPr>
                <w:bCs/>
                <w:sz w:val="22"/>
                <w:szCs w:val="20"/>
              </w:rPr>
            </w:pPr>
            <w:r>
              <w:rPr>
                <w:bCs/>
                <w:sz w:val="22"/>
                <w:szCs w:val="20"/>
              </w:rPr>
              <w:t>To provide comprehensive advice, support and training where necessary to Council officers and managers in respect of contracts/procurement matters.</w:t>
            </w:r>
          </w:p>
          <w:p>
            <w:pPr>
              <w:pStyle w:val="Normal"/>
              <w:spacing w:before="40" w:after="40"/>
              <w:jc w:val="both"/>
              <w:rPr>
                <w:bCs/>
                <w:sz w:val="22"/>
                <w:szCs w:val="20"/>
              </w:rPr>
            </w:pPr>
            <w:r>
              <w:rPr>
                <w:bCs/>
                <w:sz w:val="22"/>
                <w:szCs w:val="20"/>
              </w:rPr>
              <w:t>To assist the Council in updating, development and interpretation and legal application of the Council’s Constitution and governance arrangements in relation to the Contract Procedure Rules.</w:t>
            </w:r>
          </w:p>
          <w:p>
            <w:pPr>
              <w:pStyle w:val="Normal"/>
              <w:spacing w:before="40" w:after="40"/>
              <w:jc w:val="both"/>
              <w:rPr>
                <w:bCs/>
                <w:sz w:val="22"/>
                <w:szCs w:val="20"/>
              </w:rPr>
            </w:pPr>
            <w:r>
              <w:rPr>
                <w:bCs/>
                <w:sz w:val="22"/>
                <w:szCs w:val="20"/>
              </w:rPr>
              <w:t>To provide support and assistance to the Corporate Team and contribute to the wider Legal Services and to liaise with Colleagues in the Business Support Unit as required.</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10440" w:type="dxa"/>
            <w:tcBorders>
              <w:top w:val="single" w:sz="4" w:space="0" w:color="000000"/>
              <w:left w:val="single" w:sz="4" w:space="0" w:color="000000"/>
              <w:bottom w:val="single" w:sz="4" w:space="0" w:color="000000"/>
              <w:right w:val="single" w:sz="4" w:space="0" w:color="000000"/>
            </w:tcBorders>
            <w:shd w:fill="00AABE" w:val="clear"/>
          </w:tcPr>
          <w:p>
            <w:pPr>
              <w:pStyle w:val="EndnoteText"/>
              <w:jc w:val="both"/>
              <w:rPr>
                <w:rFonts w:ascii="Arial" w:hAnsi="Arial" w:cs="Arial"/>
                <w:b/>
                <w:sz w:val="22"/>
                <w:szCs w:val="22"/>
              </w:rPr>
            </w:pPr>
            <w:r>
              <w:rPr>
                <w:rFonts w:cs="Arial" w:ascii="Arial" w:hAnsi="Arial"/>
                <w:b/>
                <w:sz w:val="22"/>
                <w:szCs w:val="22"/>
              </w:rPr>
              <w:t xml:space="preserve">General Responsibilities: </w:t>
            </w:r>
          </w:p>
        </w:tc>
      </w:tr>
      <w:tr>
        <w:trPr>
          <w:trHeight w:val="390"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t>To be accountable for a budget(s), monitoring, reckoning and providing explanation for the spend as necessary.</w:t>
            </w:r>
          </w:p>
          <w:p>
            <w:pPr>
              <w:pStyle w:val="Normal"/>
              <w:keepNext w:val="true"/>
              <w:numPr>
                <w:ilvl w:val="0"/>
                <w:numId w:val="0"/>
              </w:numPr>
              <w:ind w:hanging="0" w:left="0"/>
              <w:rPr>
                <w:rFonts w:cs="Arial"/>
                <w:sz w:val="22"/>
                <w:szCs w:val="22"/>
              </w:rPr>
            </w:pPr>
            <w:r>
              <w:rPr>
                <w:rFonts w:cs="Arial"/>
                <w:sz w:val="22"/>
                <w:szCs w:val="22"/>
              </w:rPr>
            </w:r>
          </w:p>
          <w:p>
            <w:pPr>
              <w:pStyle w:val="Normal"/>
              <w:rPr/>
            </w:pPr>
            <w:r>
              <w:rPr>
                <w:rFonts w:cs="Arial"/>
                <w:sz w:val="22"/>
                <w:szCs w:val="22"/>
              </w:rPr>
              <w:t>To be responsible for the delivery of the annual work plans, regularly monitor, identify potential</w:t>
            </w:r>
            <w:r>
              <w:rPr>
                <w:rFonts w:cs="Arial"/>
                <w:b/>
                <w:bCs/>
                <w:sz w:val="22"/>
                <w:szCs w:val="22"/>
              </w:rPr>
              <w:t xml:space="preserve"> </w:t>
            </w:r>
            <w:r>
              <w:rPr>
                <w:rFonts w:cs="Arial"/>
                <w:sz w:val="22"/>
                <w:szCs w:val="22"/>
              </w:rPr>
              <w:t xml:space="preserve">non-delivery and provide practical solutions for performance issues.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Contribute to efficiency and performance improvements and evidence value for money in service delivery.</w:t>
            </w:r>
          </w:p>
          <w:p>
            <w:pPr>
              <w:pStyle w:val="Normal"/>
              <w:rPr>
                <w:rFonts w:cs="Arial"/>
                <w:sz w:val="22"/>
                <w:szCs w:val="22"/>
              </w:rPr>
            </w:pPr>
            <w:r>
              <w:rPr>
                <w:rFonts w:cs="Arial"/>
                <w:sz w:val="22"/>
                <w:szCs w:val="22"/>
              </w:rPr>
            </w:r>
          </w:p>
          <w:p>
            <w:pPr>
              <w:pStyle w:val="Normal"/>
              <w:rPr>
                <w:rFonts w:cs="Arial"/>
                <w:bCs/>
                <w:sz w:val="22"/>
                <w:szCs w:val="22"/>
              </w:rPr>
            </w:pPr>
            <w:r>
              <w:rPr>
                <w:rFonts w:cs="Arial"/>
                <w:bCs/>
                <w:sz w:val="22"/>
                <w:szCs w:val="22"/>
              </w:rPr>
              <w:t>Contribute towards strategic planning by providing practical aspects to achieving goals and objectives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support the implementation of corporate initiatives and ensure they are embedded in the team.</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ensure effective working relationships with other managers across the directorate and the Council to deliver our corporate objectives.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contribute to the overall management of the service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666" w:type="dxa"/>
        <w:jc w:val="center"/>
        <w:tblInd w:w="0" w:type="dxa"/>
        <w:tblLayout w:type="fixed"/>
        <w:tblCellMar>
          <w:top w:w="0" w:type="dxa"/>
          <w:left w:w="108" w:type="dxa"/>
          <w:bottom w:w="0" w:type="dxa"/>
          <w:right w:w="108" w:type="dxa"/>
        </w:tblCellMar>
      </w:tblPr>
      <w:tblGrid>
        <w:gridCol w:w="10440"/>
        <w:gridCol w:w="226"/>
      </w:tblGrid>
      <w:tr>
        <w:trPr/>
        <w:tc>
          <w:tcPr>
            <w:tcW w:w="10666" w:type="dxa"/>
            <w:gridSpan w:val="2"/>
            <w:tcBorders>
              <w:top w:val="single" w:sz="4" w:space="0" w:color="000000"/>
              <w:left w:val="single" w:sz="4" w:space="0" w:color="000000"/>
              <w:bottom w:val="single" w:sz="4" w:space="0" w:color="000000"/>
              <w:right w:val="single" w:sz="4" w:space="0" w:color="000000"/>
            </w:tcBorders>
            <w:shd w:fill="00AABE" w:val="clear"/>
          </w:tcPr>
          <w:p>
            <w:pPr>
              <w:pStyle w:val="Normal"/>
              <w:jc w:val="both"/>
              <w:rPr>
                <w:rFonts w:cs="Arial"/>
                <w:b/>
                <w:sz w:val="22"/>
                <w:szCs w:val="22"/>
              </w:rPr>
            </w:pPr>
            <w:r>
              <w:rPr>
                <w:rFonts w:cs="Arial"/>
                <w:b/>
                <w:sz w:val="22"/>
                <w:szCs w:val="22"/>
              </w:rPr>
              <w:t xml:space="preserve">Key Tasks: </w:t>
            </w:r>
          </w:p>
          <w:p>
            <w:pPr>
              <w:pStyle w:val="Normal"/>
              <w:jc w:val="both"/>
              <w:rPr>
                <w:rFonts w:cs="Arial"/>
                <w:color w:val="FFFFFF"/>
                <w:sz w:val="22"/>
                <w:szCs w:val="22"/>
              </w:rPr>
            </w:pPr>
            <w:r>
              <w:rPr>
                <w:rFonts w:cs="Arial"/>
                <w:color w:val="FFFFFF"/>
                <w:sz w:val="22"/>
                <w:szCs w:val="22"/>
              </w:rPr>
            </w:r>
          </w:p>
        </w:tc>
      </w:tr>
      <w:tr>
        <w:trPr>
          <w:trHeight w:val="255" w:hRule="atLeast"/>
        </w:trPr>
        <w:tc>
          <w:tcPr>
            <w:tcW w:w="10666" w:type="dxa"/>
            <w:gridSpan w:val="2"/>
            <w:tcBorders>
              <w:top w:val="single" w:sz="4" w:space="0" w:color="000000"/>
              <w:left w:val="single" w:sz="4" w:space="0" w:color="000000"/>
              <w:bottom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Delivering comprehensive, timely legal advice and legal work in particular in the areas of commercial law, contract law, procurement law, company law and local government law and practice.</w:t>
            </w:r>
          </w:p>
          <w:p>
            <w:pPr>
              <w:pStyle w:val="Normal"/>
              <w:jc w:val="both"/>
              <w:rPr>
                <w:rFonts w:cs="Arial"/>
                <w:sz w:val="22"/>
                <w:szCs w:val="22"/>
              </w:rPr>
            </w:pPr>
            <w:r>
              <w:rPr>
                <w:rFonts w:cs="Arial"/>
                <w:sz w:val="22"/>
                <w:szCs w:val="22"/>
              </w:rPr>
            </w:r>
          </w:p>
        </w:tc>
      </w:tr>
      <w:tr>
        <w:trPr>
          <w:trHeight w:val="390" w:hRule="atLeast"/>
        </w:trPr>
        <w:tc>
          <w:tcPr>
            <w:tcW w:w="10440" w:type="dxa"/>
            <w:tcBorders>
              <w:top w:val="single" w:sz="4" w:space="0" w:color="000000"/>
              <w:left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 xml:space="preserve">Ensuring that decision-making in relation to the Council’s contracts and procurements is lawful and in accordance with the Council’s Constitution and the Council’s governance arrangements. </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ascii="Arial" w:hAnsi="Arial"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Support the provision of project management where required, and the provision of commercial support and governance of projects in accordance with the Council’s governance and management arrangements as required.</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ascii="Arial" w:hAnsi="Arial"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Undertaking legal work of a specialist and/or complex nature, including legal research, the preparation of advice to Council officers and Elected Members, the drafting of contracts, and the drafting and presentation of reports and other documentation as required and including use of the case management system.</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ascii="Arial" w:hAnsi="Arial"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Liaison with the Group Solicitor (Corporate) and the other managers/officers within Legal Services to ensure effective co-ordination of all legal services provided to the Council.</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ascii="Arial" w:hAnsi="Arial"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Working with client officers to ensure that they are appropriately advised and supported and are able to provide informed instructions to the Council’s external advisers (where engaged) as required.  Advising on the need for specialist external advice including procuring, instructing and managing external legal advisers.</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Normal"/>
              <w:jc w:val="both"/>
              <w:rPr/>
            </w:pPr>
            <w:r>
              <w:rPr/>
              <w:t>To design and deliver regular updates and training on developments in contract/procurement law and practice that have implications for the Council’s policies, procedures and Constitutional matters.</w:t>
            </w:r>
          </w:p>
          <w:p>
            <w:pPr>
              <w:pStyle w:val="Normal"/>
              <w:jc w:val="both"/>
              <w:rPr>
                <w:sz w:val="22"/>
                <w:szCs w:val="20"/>
              </w:rPr>
            </w:pPr>
            <w:r>
              <w:rPr>
                <w:sz w:val="22"/>
                <w:szCs w:val="20"/>
              </w:rPr>
            </w:r>
          </w:p>
        </w:tc>
        <w:tc>
          <w:tcPr>
            <w:tcW w:w="226" w:type="dxa"/>
            <w:tcBorders/>
            <w:tcMar>
              <w:left w:w="0" w:type="dxa"/>
              <w:right w:w="0" w:type="dxa"/>
            </w:tcMar>
          </w:tcPr>
          <w:p>
            <w:pPr>
              <w:pStyle w:val="Normal"/>
              <w:snapToGrid w:val="false"/>
              <w:rPr>
                <w:sz w:val="22"/>
                <w:szCs w:val="20"/>
              </w:rPr>
            </w:pPr>
            <w:r>
              <w:rPr>
                <w:sz w:val="22"/>
                <w:szCs w:val="20"/>
              </w:rPr>
            </w:r>
          </w:p>
        </w:tc>
      </w:tr>
      <w:tr>
        <w:trPr>
          <w:trHeight w:val="390" w:hRule="atLeast"/>
        </w:trPr>
        <w:tc>
          <w:tcPr>
            <w:tcW w:w="10440" w:type="dxa"/>
            <w:tcBorders>
              <w:left w:val="single" w:sz="4" w:space="0" w:color="000000"/>
              <w:right w:val="single" w:sz="4" w:space="0" w:color="000000"/>
            </w:tcBorders>
          </w:tcPr>
          <w:p>
            <w:pPr>
              <w:pStyle w:val="Normal"/>
              <w:jc w:val="both"/>
              <w:rPr/>
            </w:pPr>
            <w:r>
              <w:rPr/>
              <w:t>To design and update all relevant precedents and documentation needed to comply with the key duties of the post. Performing all functions and duties effectively and in accordance with the Council’s policies and Codes of Practice, the Council’s Constitution and the Office Manual as amended from time to time. All duties to be undertaken in accordance with the Council’s Equalities and Community Cohesion Policies, Health and Safety Policies and other policies and procedures.</w:t>
            </w:r>
          </w:p>
          <w:p>
            <w:pPr>
              <w:pStyle w:val="Normal"/>
              <w:jc w:val="both"/>
              <w:rPr>
                <w:sz w:val="22"/>
                <w:szCs w:val="20"/>
              </w:rPr>
            </w:pPr>
            <w:r>
              <w:rPr>
                <w:sz w:val="22"/>
                <w:szCs w:val="20"/>
              </w:rPr>
            </w:r>
          </w:p>
        </w:tc>
        <w:tc>
          <w:tcPr>
            <w:tcW w:w="226" w:type="dxa"/>
            <w:tcBorders/>
            <w:tcMar>
              <w:left w:w="0" w:type="dxa"/>
              <w:right w:w="0" w:type="dxa"/>
            </w:tcMar>
          </w:tcPr>
          <w:p>
            <w:pPr>
              <w:pStyle w:val="Normal"/>
              <w:snapToGrid w:val="false"/>
              <w:rPr>
                <w:rFonts w:ascii="Arial" w:hAnsi="Arial" w:cs="Arial"/>
                <w:sz w:val="22"/>
                <w:szCs w:val="24"/>
              </w:rPr>
            </w:pPr>
            <w:r>
              <w:rPr>
                <w:rFonts w:cs="Arial"/>
                <w:sz w:val="22"/>
                <w:szCs w:val="24"/>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Cs w:val="24"/>
              </w:rPr>
            </w:pPr>
            <w:r>
              <w:rPr>
                <w:rFonts w:cs="Arial" w:ascii="Arial" w:hAnsi="Arial"/>
                <w:szCs w:val="24"/>
              </w:rPr>
              <w:t>Participating in negotiations on behalf of the Council with contractors and their advisers and participating in the assessment and evaluation of contractors’ submissions when required.</w:t>
            </w:r>
          </w:p>
          <w:p>
            <w:pPr>
              <w:pStyle w:val="Normal"/>
              <w:jc w:val="both"/>
              <w:rPr>
                <w:rFonts w:cs="Arial"/>
                <w:sz w:val="22"/>
                <w:szCs w:val="22"/>
              </w:rPr>
            </w:pPr>
            <w:r>
              <w:rPr>
                <w:rFonts w:cs="Arial"/>
                <w:sz w:val="22"/>
                <w:szCs w:val="22"/>
              </w:rPr>
            </w:r>
          </w:p>
        </w:tc>
        <w:tc>
          <w:tcPr>
            <w:tcW w:w="226" w:type="dxa"/>
            <w:tcBorders/>
            <w:tcMar>
              <w:left w:w="0" w:type="dxa"/>
              <w:right w:w="0" w:type="dxa"/>
            </w:tcMar>
          </w:tcPr>
          <w:p>
            <w:pPr>
              <w:pStyle w:val="Normal"/>
              <w:snapToGrid w:val="false"/>
              <w:rPr>
                <w:rFonts w:cs="Arial"/>
                <w:sz w:val="22"/>
                <w:szCs w:val="22"/>
              </w:rPr>
            </w:pPr>
            <w:r>
              <w:rPr>
                <w:rFonts w:cs="Arial"/>
                <w:sz w:val="22"/>
                <w:szCs w:val="22"/>
              </w:rPr>
            </w:r>
          </w:p>
        </w:tc>
      </w:tr>
      <w:tr>
        <w:trPr>
          <w:trHeight w:val="390" w:hRule="atLeast"/>
        </w:trPr>
        <w:tc>
          <w:tcPr>
            <w:tcW w:w="10440" w:type="dxa"/>
            <w:tcBorders>
              <w:left w:val="single" w:sz="4" w:space="0" w:color="000000"/>
              <w:right w:val="single" w:sz="4" w:space="0" w:color="000000"/>
            </w:tcBorders>
          </w:tcPr>
          <w:p>
            <w:pPr>
              <w:pStyle w:val="Normal"/>
              <w:jc w:val="both"/>
              <w:rPr/>
            </w:pPr>
            <w:r>
              <w:rPr/>
              <w:t xml:space="preserve">To develop and advise on the implementation of appropriate risk management strategies. </w:t>
            </w:r>
          </w:p>
          <w:p>
            <w:pPr>
              <w:pStyle w:val="Normal"/>
              <w:jc w:val="both"/>
              <w:rPr>
                <w:sz w:val="22"/>
                <w:szCs w:val="20"/>
              </w:rPr>
            </w:pPr>
            <w:r>
              <w:rPr>
                <w:sz w:val="22"/>
                <w:szCs w:val="20"/>
              </w:rPr>
            </w:r>
          </w:p>
        </w:tc>
        <w:tc>
          <w:tcPr>
            <w:tcW w:w="226" w:type="dxa"/>
            <w:tcBorders/>
            <w:tcMar>
              <w:left w:w="0" w:type="dxa"/>
              <w:right w:w="0" w:type="dxa"/>
            </w:tcMar>
          </w:tcPr>
          <w:p>
            <w:pPr>
              <w:pStyle w:val="Normal"/>
              <w:snapToGrid w:val="false"/>
              <w:rPr>
                <w:rFonts w:ascii="Arial" w:hAnsi="Arial" w:cs="Arial"/>
                <w:sz w:val="22"/>
                <w:szCs w:val="24"/>
              </w:rPr>
            </w:pPr>
            <w:r>
              <w:rPr>
                <w:rFonts w:cs="Arial"/>
                <w:sz w:val="22"/>
                <w:szCs w:val="24"/>
              </w:rPr>
            </w:r>
          </w:p>
        </w:tc>
      </w:tr>
      <w:tr>
        <w:trPr>
          <w:trHeight w:val="390" w:hRule="atLeast"/>
        </w:trPr>
        <w:tc>
          <w:tcPr>
            <w:tcW w:w="10440" w:type="dxa"/>
            <w:tcBorders>
              <w:left w:val="single" w:sz="4" w:space="0" w:color="000000"/>
              <w:right w:val="single" w:sz="4" w:space="0" w:color="000000"/>
            </w:tcBorders>
          </w:tcPr>
          <w:p>
            <w:pPr>
              <w:pStyle w:val="EndnoteText"/>
              <w:jc w:val="both"/>
              <w:rPr>
                <w:rFonts w:ascii="Arial" w:hAnsi="Arial" w:cs="Arial"/>
                <w:szCs w:val="24"/>
              </w:rPr>
            </w:pPr>
            <w:r>
              <w:rPr>
                <w:rFonts w:cs="Arial" w:ascii="Arial" w:hAnsi="Arial"/>
                <w:szCs w:val="24"/>
              </w:rPr>
              <w:t>Keeping up to date with relevant developments in law and practice and working with colleagues in the legal team to ensure that other officers are aware of developments relevant to them.</w:t>
            </w:r>
          </w:p>
          <w:p>
            <w:pPr>
              <w:pStyle w:val="Normal"/>
              <w:jc w:val="both"/>
              <w:rPr>
                <w:rFonts w:cs="Arial"/>
              </w:rPr>
            </w:pPr>
            <w:r>
              <w:rPr>
                <w:rFonts w:cs="Arial"/>
              </w:rPr>
            </w:r>
          </w:p>
        </w:tc>
        <w:tc>
          <w:tcPr>
            <w:tcW w:w="226" w:type="dxa"/>
            <w:tcBorders/>
            <w:tcMar>
              <w:left w:w="0" w:type="dxa"/>
              <w:right w:w="0" w:type="dxa"/>
            </w:tcMar>
          </w:tcPr>
          <w:p>
            <w:pPr>
              <w:pStyle w:val="Normal"/>
              <w:snapToGrid w:val="false"/>
              <w:rPr>
                <w:rFonts w:ascii="Arial" w:hAnsi="Arial" w:cs="Arial"/>
                <w:szCs w:val="24"/>
              </w:rPr>
            </w:pPr>
            <w:r>
              <w:rPr>
                <w:rFonts w:cs="Arial"/>
                <w:szCs w:val="24"/>
              </w:rPr>
            </w:r>
          </w:p>
        </w:tc>
      </w:tr>
      <w:tr>
        <w:trPr>
          <w:trHeight w:val="390" w:hRule="atLeast"/>
        </w:trPr>
        <w:tc>
          <w:tcPr>
            <w:tcW w:w="10440" w:type="dxa"/>
            <w:tcBorders>
              <w:left w:val="single" w:sz="4" w:space="0" w:color="000000"/>
              <w:bottom w:val="single" w:sz="4" w:space="0" w:color="000000"/>
              <w:right w:val="single" w:sz="4" w:space="0" w:color="000000"/>
            </w:tcBorders>
          </w:tcPr>
          <w:p>
            <w:pPr>
              <w:pStyle w:val="EndnoteText"/>
              <w:jc w:val="both"/>
              <w:rPr>
                <w:rFonts w:ascii="Arial" w:hAnsi="Arial" w:cs="Arial"/>
                <w:szCs w:val="24"/>
              </w:rPr>
            </w:pPr>
            <w:r>
              <w:rPr>
                <w:rFonts w:cs="Arial" w:ascii="Arial" w:hAnsi="Arial"/>
                <w:szCs w:val="24"/>
              </w:rPr>
              <w:t>Carrying out the duties of the post and such other duties as may be reasonably commensurate with the post holder’s grade, experience, training and general level of responsibility in a proactive, enabling manner as so to facilitate, so far as practicable, compatible with the law, the policy and commercial objectives of the Council with a proper focus on the requirements of the Council corporately, client departments and its officers as customers at the initial place of work or at or from any of the Council’s establishments. This may include the provision of general legal advice and support under the management of the Group Solicitor  (Corporate) in the areas of commercial and charity law, utilising  any  spare capacity within the post.</w:t>
            </w:r>
          </w:p>
          <w:p>
            <w:pPr>
              <w:pStyle w:val="Normal"/>
              <w:jc w:val="both"/>
              <w:rPr>
                <w:rFonts w:cs="Arial"/>
              </w:rPr>
            </w:pPr>
            <w:r>
              <w:rPr>
                <w:rFonts w:cs="Arial"/>
              </w:rPr>
            </w:r>
          </w:p>
        </w:tc>
        <w:tc>
          <w:tcPr>
            <w:tcW w:w="226" w:type="dxa"/>
            <w:tcBorders/>
            <w:tcMar>
              <w:left w:w="0" w:type="dxa"/>
              <w:right w:w="0" w:type="dxa"/>
            </w:tcMar>
          </w:tcPr>
          <w:p>
            <w:pPr>
              <w:pStyle w:val="Normal"/>
              <w:snapToGrid w:val="false"/>
              <w:rPr>
                <w:rFonts w:cs="Arial"/>
              </w:rPr>
            </w:pPr>
            <w:r>
              <w:rPr>
                <w:rFonts w:cs="Arial"/>
              </w:rPr>
            </w:r>
          </w:p>
        </w:tc>
      </w:tr>
    </w:tbl>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AABE" w:val="clear"/>
          </w:tcPr>
          <w:p>
            <w:pPr>
              <w:pStyle w:val="Normal"/>
              <w:tabs>
                <w:tab w:val="clear" w:pos="720"/>
                <w:tab w:val="right" w:pos="10224" w:leader="none"/>
              </w:tabs>
              <w:jc w:val="both"/>
              <w:rPr>
                <w:rFonts w:cs="Arial"/>
                <w:b/>
              </w:rPr>
            </w:pPr>
            <w:r>
              <w:rPr>
                <w:rFonts w:cs="Arial"/>
                <w:b/>
              </w:rPr>
              <w:t>Standard Duties:</w:t>
              <w:tab/>
            </w:r>
          </w:p>
          <w:p>
            <w:pPr>
              <w:pStyle w:val="Normal"/>
              <w:jc w:val="both"/>
              <w:rPr>
                <w:rFonts w:cs="Arial"/>
                <w:color w:val="FFFFFF"/>
              </w:rPr>
            </w:pPr>
            <w:r>
              <w:rPr>
                <w:rFonts w:cs="Arial"/>
                <w:color w:val="FFFFFF"/>
              </w:rPr>
            </w:r>
          </w:p>
        </w:tc>
      </w:tr>
    </w:tbl>
    <w:p>
      <w:pPr>
        <w:pStyle w:val="Normal"/>
        <w:rPr>
          <w:rFonts w:cs="Arial"/>
        </w:rPr>
      </w:pPr>
      <w:r>
        <w:rPr>
          <w:rFonts w:cs="Arial"/>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rPr>
            </w:pPr>
            <w:r>
              <w:rPr>
                <w:rFonts w:cs="Arial"/>
              </w:rPr>
            </w:r>
          </w:p>
          <w:p>
            <w:pPr>
              <w:pStyle w:val="Normal"/>
              <w:jc w:val="both"/>
              <w:rPr>
                <w:rFonts w:cs="Arial"/>
              </w:rPr>
            </w:pPr>
            <w:r>
              <w:rPr>
                <w:rFonts w:cs="Arial"/>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rPr>
            </w:pPr>
            <w:r>
              <w:rPr>
                <w:rFonts w:cs="Arial"/>
              </w:rPr>
            </w:r>
          </w:p>
          <w:p>
            <w:pPr>
              <w:pStyle w:val="Normal"/>
              <w:jc w:val="both"/>
              <w:rPr>
                <w:rFonts w:cs="Arial"/>
              </w:rPr>
            </w:pPr>
            <w:r>
              <w:rPr>
                <w:rFonts w:cs="Arial"/>
              </w:rPr>
              <w:t>To actively promote the equalities and diversity agenda in the workplace and in service delivery.</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To uphold and implement policies and procedures of the Council, including customer care, data protection, finance, ICT, safeguarding and health &amp; safety policies.</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To actively engage with the behaviours and values of the Council to promote and support our Co-operative Agenda.</w:t>
            </w:r>
          </w:p>
          <w:p>
            <w:pPr>
              <w:pStyle w:val="Normal"/>
              <w:jc w:val="both"/>
              <w:rPr>
                <w:rFonts w:cs="Arial"/>
              </w:rPr>
            </w:pPr>
            <w:r>
              <w:rPr>
                <w:rFonts w:cs="Arial"/>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 xml:space="preserve">To undertake continuous professional development and to be aware of new developments, legislation, initiatives, guidelines, policies and procedures as appropriate to the role. </w:t>
            </w:r>
          </w:p>
          <w:p>
            <w:pPr>
              <w:pStyle w:val="Normal"/>
              <w:jc w:val="both"/>
              <w:rPr>
                <w:rFonts w:cs="Arial"/>
                <w:b/>
              </w:rPr>
            </w:pPr>
            <w:r>
              <w:rPr>
                <w:rFonts w:cs="Arial"/>
                <w:b/>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Undertake any additional duties commensurate with the level of the post.</w:t>
            </w:r>
          </w:p>
          <w:p>
            <w:pPr>
              <w:pStyle w:val="Normal"/>
              <w:jc w:val="both"/>
              <w:rPr>
                <w:rFonts w:cs="Arial"/>
                <w:b/>
              </w:rPr>
            </w:pPr>
            <w:r>
              <w:rPr>
                <w:rFonts w:cs="Arial"/>
                <w:b/>
              </w:rPr>
            </w:r>
          </w:p>
        </w:tc>
      </w:tr>
    </w:tbl>
    <w:p>
      <w:pPr>
        <w:pStyle w:val="Normal"/>
        <w:rPr>
          <w:rFonts w:cs="Arial"/>
        </w:rPr>
      </w:pPr>
      <w:r>
        <w:rPr>
          <w:rFonts w:cs="Arial"/>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rFonts w:cs="Arial"/>
                <w:b/>
              </w:rPr>
            </w:pPr>
            <w:r>
              <w:rPr>
                <w:rFonts w:cs="Arial"/>
                <w:b/>
              </w:rPr>
              <w:t>Contacts:</w:t>
            </w:r>
          </w:p>
          <w:p>
            <w:pPr>
              <w:pStyle w:val="Normal"/>
              <w:jc w:val="both"/>
              <w:rPr>
                <w:rFonts w:cs="Arial"/>
                <w:b/>
              </w:rPr>
            </w:pPr>
            <w:r>
              <w:rPr>
                <w:rFonts w:cs="Arial"/>
                <w:b/>
              </w:rPr>
            </w:r>
          </w:p>
          <w:p>
            <w:pPr>
              <w:pStyle w:val="Normal"/>
              <w:rPr/>
            </w:pPr>
            <w:r>
              <w:rPr/>
              <w:t xml:space="preserve">Managers and officers in the Directorate and other Client Services/Departments, Elected Members, third party lawyers and external advisers, Government Departments and other Authorities, Project Managers, and professional teams. </w:t>
            </w:r>
          </w:p>
          <w:p>
            <w:pPr>
              <w:pStyle w:val="Normal"/>
              <w:jc w:val="both"/>
              <w:rPr>
                <w:rFonts w:cs="Arial"/>
              </w:rPr>
            </w:pPr>
            <w:r>
              <w:rPr>
                <w:rFonts w:cs="Arial"/>
              </w:rPr>
            </w:r>
          </w:p>
        </w:tc>
      </w:tr>
    </w:tbl>
    <w:p>
      <w:pPr>
        <w:pStyle w:val="Normal"/>
        <w:rPr>
          <w:rFonts w:cs="Arial"/>
        </w:rPr>
      </w:pPr>
      <w:r>
        <w:rPr>
          <w:rFonts w:cs="Arial"/>
        </w:rPr>
      </w:r>
    </w:p>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AABE" w:val="clear"/>
          </w:tcPr>
          <w:p>
            <w:pPr>
              <w:pStyle w:val="BodyText"/>
              <w:rPr>
                <w:rFonts w:cs="Arial"/>
                <w:szCs w:val="22"/>
              </w:rPr>
            </w:pPr>
            <w:r>
              <w:rPr>
                <w:rFonts w:cs="Arial"/>
                <w:szCs w:val="22"/>
              </w:rPr>
              <w:t>Relationship To Other Posts in the Department:</w:t>
            </w:r>
          </w:p>
          <w:p>
            <w:pPr>
              <w:pStyle w:val="Normal"/>
              <w:rPr>
                <w:rFonts w:cs="Arial"/>
                <w:color w:val="FFFFFF"/>
                <w:sz w:val="22"/>
                <w:szCs w:val="22"/>
              </w:rPr>
            </w:pPr>
            <w:r>
              <w:rPr>
                <w:rFonts w:cs="Arial"/>
                <w:color w:val="FFFFFF"/>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b w:val="false"/>
              </w:rPr>
            </w:pPr>
            <w:r>
              <w:rPr>
                <w:b w:val="false"/>
              </w:rPr>
              <w:t>Group Solicitor – Corporate, Director of Legal Services</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pPr>
            <w:r>
              <w:rPr/>
              <w:t>No direct reports currently, however, the post-holder will be required to supervise the work of any officer who is assigned either permanently on an ad hoc basis to assist them with particular tasks/projects.</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Special Conditions:</w:t>
            </w:r>
          </w:p>
          <w:p>
            <w:pPr>
              <w:pStyle w:val="Normal"/>
              <w:rPr>
                <w:rFonts w:cs="Arial"/>
                <w:b/>
                <w:sz w:val="22"/>
                <w:szCs w:val="22"/>
              </w:rPr>
            </w:pPr>
            <w:r>
              <w:rPr>
                <w:rFonts w:cs="Arial"/>
                <w:b/>
                <w:sz w:val="22"/>
                <w:szCs w:val="22"/>
              </w:rPr>
            </w:r>
          </w:p>
          <w:p>
            <w:pPr>
              <w:pStyle w:val="Normal"/>
              <w:rPr>
                <w:rFonts w:cs="Arial"/>
                <w:sz w:val="22"/>
                <w:szCs w:val="22"/>
              </w:rPr>
            </w:pPr>
            <w:r>
              <w:rPr>
                <w:rFonts w:cs="Arial"/>
                <w:sz w:val="22"/>
                <w:szCs w:val="22"/>
              </w:rPr>
              <w:t>Politically restricted</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AABE" w:val="clear"/>
          </w:tcPr>
          <w:p>
            <w:pPr>
              <w:pStyle w:val="Normal"/>
              <w:rPr>
                <w:rFonts w:cs="Arial"/>
                <w:b/>
                <w:sz w:val="22"/>
                <w:szCs w:val="22"/>
              </w:rPr>
            </w:pPr>
            <w:r>
              <w:rPr>
                <w:rFonts w:cs="Arial"/>
                <w:b/>
                <w:sz w:val="22"/>
                <w:szCs w:val="22"/>
              </w:rPr>
              <w:t>Values and Behaviours:</w:t>
            </w:r>
          </w:p>
          <w:p>
            <w:pPr>
              <w:pStyle w:val="Normal"/>
              <w:rPr>
                <w:rFonts w:cs="Arial"/>
                <w:b/>
                <w:color w:val="FFFFFF"/>
                <w:sz w:val="22"/>
                <w:szCs w:val="22"/>
              </w:rPr>
            </w:pPr>
            <w:r>
              <w:rPr>
                <w:rFonts w:cs="Arial"/>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Normal"/>
              <w:numPr>
                <w:ilvl w:val="0"/>
                <w:numId w:val="2"/>
              </w:numPr>
              <w:spacing w:lineRule="auto" w:line="276" w:before="0" w:after="200"/>
              <w:contextualSpacing/>
              <w:rPr/>
            </w:pPr>
            <w:r>
              <w:rPr>
                <w:rFonts w:eastAsia="Arial" w:cs="Arial"/>
                <w:sz w:val="22"/>
                <w:szCs w:val="22"/>
              </w:rPr>
              <w:t>Work with a Resident Focus</w:t>
            </w:r>
          </w:p>
          <w:p>
            <w:pPr>
              <w:pStyle w:val="Normal"/>
              <w:numPr>
                <w:ilvl w:val="0"/>
                <w:numId w:val="2"/>
              </w:numPr>
              <w:spacing w:lineRule="auto" w:line="276" w:before="0" w:after="200"/>
              <w:contextualSpacing/>
              <w:rPr/>
            </w:pPr>
            <w:r>
              <w:rPr>
                <w:rFonts w:eastAsia="Arial" w:cs="Arial"/>
                <w:sz w:val="22"/>
                <w:szCs w:val="22"/>
              </w:rPr>
              <w:t>Support Local Leaders</w:t>
            </w:r>
          </w:p>
          <w:p>
            <w:pPr>
              <w:pStyle w:val="Normal"/>
              <w:numPr>
                <w:ilvl w:val="0"/>
                <w:numId w:val="2"/>
              </w:numPr>
              <w:spacing w:lineRule="auto" w:line="276" w:before="0" w:after="200"/>
              <w:contextualSpacing/>
              <w:rPr/>
            </w:pPr>
            <w:r>
              <w:rPr>
                <w:rFonts w:eastAsia="Arial" w:cs="Arial"/>
                <w:sz w:val="22"/>
                <w:szCs w:val="22"/>
              </w:rPr>
              <w:t>Committed to the Borough</w:t>
            </w:r>
          </w:p>
          <w:p>
            <w:pPr>
              <w:pStyle w:val="Normal"/>
              <w:numPr>
                <w:ilvl w:val="0"/>
                <w:numId w:val="2"/>
              </w:numPr>
              <w:spacing w:lineRule="auto" w:line="276" w:before="0" w:after="200"/>
              <w:contextualSpacing/>
              <w:rPr/>
            </w:pPr>
            <w:r>
              <w:rPr>
                <w:rFonts w:eastAsia="Arial" w:cs="Arial"/>
                <w:sz w:val="22"/>
                <w:szCs w:val="22"/>
              </w:rPr>
              <w:t>Take Ownership and Drive Change</w:t>
            </w:r>
          </w:p>
          <w:p>
            <w:pPr>
              <w:pStyle w:val="Normal"/>
              <w:numPr>
                <w:ilvl w:val="0"/>
                <w:numId w:val="2"/>
              </w:numPr>
              <w:spacing w:lineRule="auto" w:line="276" w:before="0" w:after="200"/>
              <w:contextualSpacing/>
              <w:rPr/>
            </w:pPr>
            <w:r>
              <w:rPr>
                <w:rFonts w:eastAsia="Arial" w:cs="Arial"/>
                <w:sz w:val="22"/>
                <w:szCs w:val="22"/>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Fonts w:eastAsia="Arial" w:cs="Arial"/>
                <w:color w:val="0563C1"/>
                <w:sz w:val="22"/>
                <w:szCs w:val="22"/>
                <w:u w:val="single"/>
              </w:rPr>
              <w:t>Greater. Jobs pages</w:t>
            </w:r>
            <w:r>
              <w:rPr>
                <w:rFonts w:eastAsia="Arial" w:cs="Arial"/>
                <w:sz w:val="22"/>
                <w:szCs w:val="22"/>
              </w:rPr>
              <w:t xml:space="preserve"> together with information about the staff benefits we offer.</w:t>
            </w:r>
          </w:p>
          <w:p>
            <w:pPr>
              <w:pStyle w:val="Normal"/>
              <w:rPr>
                <w:rFonts w:cs="Arial"/>
                <w:sz w:val="22"/>
                <w:szCs w:val="22"/>
              </w:rPr>
            </w:pPr>
            <w:r>
              <w:rPr>
                <w:rFonts w:cs="Arial"/>
                <w:sz w:val="22"/>
                <w:szCs w:val="22"/>
              </w:rPr>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AA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t>September 2012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0"/>
                <w:szCs w:val="20"/>
              </w:rPr>
            </w:pPr>
            <w:r>
              <w:fldChar w:fldCharType="begin">
                <w:ffData>
                  <w:name w:val="Text21"/>
                  <w:enabled/>
                  <w:calcOnExit w:val="0"/>
                  <w:textInput/>
                </w:ffData>
              </w:fldChar>
            </w:r>
            <w:r>
              <w:rPr>
                <w:sz w:val="20"/>
                <w:szCs w:val="20"/>
              </w:rPr>
              <w:instrText xml:space="preserve"> FORMTEXT </w:instrText>
            </w:r>
            <w:r>
              <w:rPr>
                <w:sz w:val="20"/>
                <w:szCs w:val="20"/>
              </w:rPr>
            </w:r>
            <w:r>
              <w:rPr>
                <w:sz w:val="20"/>
                <w:szCs w:val="20"/>
              </w:rPr>
              <w:fldChar w:fldCharType="separate"/>
            </w:r>
            <w:r>
              <w:rPr>
                <w:sz w:val="20"/>
                <w:szCs w:val="20"/>
              </w:rPr>
              <w:t>RL COLDICOTT</w:t>
            </w:r>
            <w:r/>
            <w:r>
              <w:rPr>
                <w:sz w:val="20"/>
                <w:szCs w:val="20"/>
              </w:rPr>
              <w:fldChar w:fldCharType="end"/>
            </w:r>
            <w:r>
              <w:rPr>
                <w:sz w:val="20"/>
                <w:szCs w:val="20"/>
              </w:rPr>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fldChar w:fldCharType="begin">
                <w:ffData>
                  <w:name w:val="Text22"/>
                  <w:enabled/>
                  <w:calcOnExit w:val="0"/>
                  <w:textInput/>
                </w:ffData>
              </w:fldChar>
            </w:r>
            <w:r>
              <w:rPr/>
              <w:instrText xml:space="preserve"> FORMTEXT </w:instrText>
            </w:r>
            <w:r>
              <w:rPr/>
            </w:r>
            <w:r>
              <w:rPr/>
              <w:fldChar w:fldCharType="separate"/>
            </w:r>
            <w:r>
              <w:rPr/>
              <w:t>Group Lawyer - Corporate</w:t>
            </w:r>
            <w:r/>
            <w:r>
              <w:rPr/>
              <w:fldChar w:fldCharType="end"/>
            </w:r>
            <w:r>
              <w:rPr/>
            </w:r>
          </w:p>
        </w:tc>
      </w:tr>
      <w:tr>
        <w:trPr/>
        <w:tc>
          <w:tcPr>
            <w:tcW w:w="1620"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rPr>
            </w:pPr>
            <w:r>
              <w:rPr>
                <w:rFonts w:cs="Arial"/>
              </w:rPr>
              <w:t>September 2017</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0"/>
                <w:szCs w:val="20"/>
              </w:rPr>
            </w:pPr>
            <w:r>
              <w:rPr>
                <w:rFonts w:cs="Arial"/>
                <w:sz w:val="20"/>
                <w:szCs w:val="20"/>
              </w:rPr>
              <w:t>RL BOYLE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t>Group Lawyer - Corporate</w:t>
            </w:r>
          </w:p>
        </w:tc>
      </w:tr>
      <w:tr>
        <w:trPr/>
        <w:tc>
          <w:tcPr>
            <w:tcW w:w="1620" w:type="dxa"/>
            <w:tcBorders>
              <w:top w:val="single" w:sz="4" w:space="0" w:color="000000"/>
              <w:left w:val="single" w:sz="4" w:space="0" w:color="000000"/>
              <w:bottom w:val="single" w:sz="4" w:space="0" w:color="000000"/>
              <w:right w:val="single" w:sz="4" w:space="0" w:color="000000"/>
            </w:tcBorders>
            <w:shd w:fill="00AABE" w:val="clear"/>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rPr>
            </w:pPr>
            <w:r>
              <w:rPr>
                <w:rFonts w:cs="Arial"/>
              </w:rPr>
              <w:t>October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0"/>
                <w:szCs w:val="20"/>
              </w:rPr>
            </w:pPr>
            <w:r>
              <w:rPr>
                <w:sz w:val="20"/>
                <w:szCs w:val="20"/>
              </w:rPr>
              <w:t>RL BOYLE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t>Group Lawyer - Corporate</w:t>
            </w:r>
          </w:p>
        </w:tc>
      </w:tr>
    </w:tbl>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r>
        <w:br w:type="page"/>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1390" cy="109474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1390" cy="1094740"/>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w:t>
      </w:r>
      <w:r>
        <w:rPr>
          <w:rFonts w:cs="Arial"/>
          <w:sz w:val="22"/>
          <w:szCs w:val="22"/>
        </w:rPr>
        <w:t>Solicitor – Commercial Contracts</w:t>
      </w:r>
    </w:p>
    <w:p>
      <w:pPr>
        <w:pStyle w:val="Normal"/>
        <w:rPr>
          <w:rFonts w:cs="Arial"/>
          <w:sz w:val="22"/>
          <w:szCs w:val="22"/>
        </w:rPr>
      </w:pPr>
      <w:r>
        <w:rPr>
          <w:rFonts w:cs="Arial"/>
          <w:sz w:val="22"/>
          <w:szCs w:val="22"/>
        </w:rPr>
      </w:r>
    </w:p>
    <w:tbl>
      <w:tblPr>
        <w:tblW w:w="10439" w:type="dxa"/>
        <w:jc w:val="left"/>
        <w:tblInd w:w="-606" w:type="dxa"/>
        <w:tblLayout w:type="fixed"/>
        <w:tblCellMar>
          <w:top w:w="0" w:type="dxa"/>
          <w:left w:w="108" w:type="dxa"/>
          <w:bottom w:w="0" w:type="dxa"/>
          <w:right w:w="108" w:type="dxa"/>
        </w:tblCellMar>
      </w:tblPr>
      <w:tblGrid>
        <w:gridCol w:w="1799"/>
        <w:gridCol w:w="3960"/>
        <w:gridCol w:w="3060"/>
        <w:gridCol w:w="1620"/>
      </w:tblGrid>
      <w:tr>
        <w:trPr>
          <w:trHeight w:val="1000" w:hRule="atLeast"/>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b/>
                <w:bCs/>
                <w:sz w:val="22"/>
                <w:szCs w:val="22"/>
              </w:rPr>
            </w:pPr>
            <w:r>
              <w:rPr>
                <w:rFonts w:cs="Arial"/>
                <w:b/>
                <w:bCs/>
                <w:sz w:val="22"/>
                <w:szCs w:val="22"/>
              </w:rPr>
            </w:r>
          </w:p>
          <w:p>
            <w:pPr>
              <w:pStyle w:val="Header"/>
              <w:tabs>
                <w:tab w:val="clear" w:pos="4153"/>
                <w:tab w:val="clear" w:pos="8306"/>
              </w:tabs>
              <w:rPr>
                <w:szCs w:val="22"/>
              </w:rPr>
            </w:pPr>
            <w:r>
              <w:rPr>
                <w:szCs w:val="22"/>
              </w:rPr>
              <w:t>Qualified solicitor or barrister</w:t>
            </w:r>
          </w:p>
          <w:p>
            <w:pPr>
              <w:pStyle w:val="Header"/>
              <w:tabs>
                <w:tab w:val="clear" w:pos="4153"/>
                <w:tab w:val="clear" w:pos="8306"/>
              </w:tabs>
              <w:rPr>
                <w:strike/>
                <w:szCs w:val="22"/>
              </w:rPr>
            </w:pPr>
            <w:r>
              <w:rPr>
                <w:strike/>
                <w:szCs w:val="22"/>
              </w:rPr>
            </w:r>
          </w:p>
          <w:p>
            <w:pPr>
              <w:pStyle w:val="Header"/>
              <w:tabs>
                <w:tab w:val="clear" w:pos="4153"/>
                <w:tab w:val="clear" w:pos="8306"/>
              </w:tabs>
              <w:rPr>
                <w:szCs w:val="22"/>
              </w:rPr>
            </w:pPr>
            <w:r>
              <w:rPr>
                <w:szCs w:val="22"/>
              </w:rPr>
              <w:t>Member of Governing Body/Law Society</w:t>
            </w:r>
          </w:p>
          <w:p>
            <w:pPr>
              <w:pStyle w:val="Header"/>
              <w:tabs>
                <w:tab w:val="clear" w:pos="4153"/>
                <w:tab w:val="clear" w:pos="8306"/>
              </w:tabs>
              <w:rPr>
                <w:szCs w:val="22"/>
              </w:rPr>
            </w:pPr>
            <w:r>
              <w:rPr>
                <w:szCs w:val="22"/>
              </w:rPr>
            </w:r>
          </w:p>
          <w:p>
            <w:pPr>
              <w:pStyle w:val="Header"/>
              <w:tabs>
                <w:tab w:val="clear" w:pos="4153"/>
                <w:tab w:val="clear" w:pos="8306"/>
              </w:tabs>
              <w:rPr>
                <w:szCs w:val="22"/>
              </w:rPr>
            </w:pPr>
            <w:r>
              <w:rPr>
                <w:szCs w:val="22"/>
              </w:rPr>
              <w:t>Evidence of continuing professional development</w:t>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p>
            <w:pPr>
              <w:pStyle w:val="Header"/>
              <w:tabs>
                <w:tab w:val="clear" w:pos="4153"/>
                <w:tab w:val="clear" w:pos="8306"/>
              </w:tabs>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jc w:val="center"/>
              <w:rPr>
                <w:rFonts w:cs="Arial"/>
                <w:szCs w:val="22"/>
              </w:rPr>
            </w:pPr>
            <w:r>
              <w:rPr>
                <w:rFonts w:cs="Arial"/>
                <w:szCs w:val="22"/>
              </w:rPr>
            </w:r>
          </w:p>
          <w:p>
            <w:pPr>
              <w:pStyle w:val="Header"/>
              <w:tabs>
                <w:tab w:val="clear" w:pos="4153"/>
                <w:tab w:val="clear" w:pos="8306"/>
              </w:tabs>
              <w:jc w:val="center"/>
              <w:rPr>
                <w:szCs w:val="22"/>
              </w:rPr>
            </w:pPr>
            <w:r>
              <w:rPr>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szCs w:val="22"/>
              </w:rPr>
            </w:pPr>
            <w:r>
              <w:rPr>
                <w:szCs w:val="22"/>
              </w:rPr>
              <w:t>PQE in providing legal advice on legal aspects of contract drafting, management and contract dispute resolution</w:t>
            </w:r>
          </w:p>
          <w:p>
            <w:pPr>
              <w:pStyle w:val="Normal"/>
              <w:rPr>
                <w:szCs w:val="22"/>
              </w:rPr>
            </w:pPr>
            <w:r>
              <w:rPr>
                <w:szCs w:val="22"/>
              </w:rPr>
            </w:r>
          </w:p>
          <w:p>
            <w:pPr>
              <w:pStyle w:val="Normal"/>
              <w:rPr>
                <w:szCs w:val="22"/>
              </w:rPr>
            </w:pPr>
            <w:r>
              <w:rPr>
                <w:szCs w:val="22"/>
              </w:rPr>
              <w:t>Experience of providing legal advice and services in relation to commercial law, contract and procurement law and practice</w:t>
            </w:r>
          </w:p>
          <w:p>
            <w:pPr>
              <w:pStyle w:val="Normal"/>
              <w:rPr>
                <w:szCs w:val="22"/>
              </w:rPr>
            </w:pPr>
            <w:r>
              <w:rPr>
                <w:szCs w:val="22"/>
              </w:rPr>
            </w:r>
          </w:p>
          <w:p>
            <w:pPr>
              <w:pStyle w:val="Normal"/>
              <w:rPr>
                <w:szCs w:val="22"/>
              </w:rPr>
            </w:pPr>
            <w:r>
              <w:rPr>
                <w:szCs w:val="22"/>
              </w:rPr>
              <w:t>Experience of using ICT to support service delivery and to complete tasks and duties effectively and efficiently</w:t>
            </w:r>
          </w:p>
          <w:p>
            <w:pPr>
              <w:pStyle w:val="Normal"/>
              <w:rPr>
                <w:szCs w:val="22"/>
              </w:rPr>
            </w:pPr>
            <w:r>
              <w:rPr>
                <w:szCs w:val="22"/>
              </w:rPr>
            </w:r>
          </w:p>
          <w:p>
            <w:pPr>
              <w:pStyle w:val="Normal"/>
              <w:rPr>
                <w:szCs w:val="22"/>
              </w:rPr>
            </w:pPr>
            <w:r>
              <w:rPr>
                <w:szCs w:val="22"/>
              </w:rPr>
              <w:t>Experience of delivering presentations and training sessions, including to those who may not have a prior background in this technical area</w:t>
            </w:r>
          </w:p>
          <w:p>
            <w:pPr>
              <w:pStyle w:val="Normal"/>
              <w:rPr>
                <w:szCs w:val="22"/>
              </w:rPr>
            </w:pPr>
            <w:r>
              <w:rPr>
                <w:szCs w:val="22"/>
              </w:rPr>
            </w:r>
          </w:p>
          <w:p>
            <w:pPr>
              <w:pStyle w:val="Normal"/>
              <w:rPr>
                <w:szCs w:val="22"/>
              </w:rPr>
            </w:pPr>
            <w:r>
              <w:rPr>
                <w:szCs w:val="22"/>
              </w:rPr>
              <w:t>Experience of advising senior officers and elected members, including advising at meetings.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szCs w:val="22"/>
              </w:rPr>
            </w:pPr>
            <w:r>
              <w:rPr>
                <w:szCs w:val="22"/>
              </w:rPr>
              <w:t>Experience of contract law within a local government environment.</w:t>
            </w:r>
          </w:p>
          <w:p>
            <w:pPr>
              <w:pStyle w:val="Normal"/>
              <w:rPr>
                <w:szCs w:val="22"/>
              </w:rPr>
            </w:pPr>
            <w:r>
              <w:rPr>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jc w:val="center"/>
              <w:rPr>
                <w:szCs w:val="22"/>
              </w:rPr>
            </w:pPr>
            <w:r>
              <w:rPr>
                <w:szCs w:val="22"/>
              </w:rPr>
              <w:t>AF / I/T</w:t>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szCs w:val="22"/>
              </w:rPr>
            </w:pPr>
            <w:r>
              <w:rPr>
                <w:szCs w:val="22"/>
              </w:rPr>
              <w:t>Interpersonal skills to establish and maintain professional working relationships with others internally and externally, and to influence, convince and negotiate with others, with a view to progressing the objectives of the Council.</w:t>
            </w:r>
          </w:p>
          <w:p>
            <w:pPr>
              <w:pStyle w:val="Normal"/>
              <w:rPr>
                <w:szCs w:val="22"/>
              </w:rPr>
            </w:pPr>
            <w:r>
              <w:rPr>
                <w:szCs w:val="22"/>
              </w:rPr>
            </w:r>
          </w:p>
          <w:p>
            <w:pPr>
              <w:pStyle w:val="Normal"/>
              <w:rPr>
                <w:szCs w:val="22"/>
              </w:rPr>
            </w:pPr>
            <w:r>
              <w:rPr>
                <w:szCs w:val="22"/>
              </w:rPr>
              <w:t xml:space="preserve">Communication skills to draft and write reports, presentations and training materials appropriate in style and content to the intended audience. </w:t>
            </w:r>
          </w:p>
          <w:p>
            <w:pPr>
              <w:pStyle w:val="Normal"/>
              <w:rPr>
                <w:szCs w:val="22"/>
              </w:rPr>
            </w:pPr>
            <w:r>
              <w:rPr>
                <w:szCs w:val="22"/>
              </w:rPr>
            </w:r>
          </w:p>
          <w:p>
            <w:pPr>
              <w:pStyle w:val="Normal"/>
              <w:rPr>
                <w:szCs w:val="22"/>
              </w:rPr>
            </w:pPr>
            <w:r>
              <w:rPr>
                <w:szCs w:val="22"/>
              </w:rPr>
              <w:t>Analytical skills to research and interpret data and information to be used in the Council’s decision-making processes, including determining risk, weighing up options and feasibility and recommending courses of action.</w:t>
            </w:r>
          </w:p>
          <w:p>
            <w:pPr>
              <w:pStyle w:val="Normal"/>
              <w:rPr>
                <w:szCs w:val="22"/>
              </w:rPr>
            </w:pPr>
            <w:r>
              <w:rPr>
                <w:szCs w:val="22"/>
              </w:rPr>
            </w:r>
          </w:p>
          <w:p>
            <w:pPr>
              <w:pStyle w:val="Normal"/>
              <w:rPr>
                <w:szCs w:val="22"/>
              </w:rPr>
            </w:pPr>
            <w:r>
              <w:rPr>
                <w:szCs w:val="22"/>
              </w:rPr>
              <w:t>Organisational skills to plan own workload, working under pressure to meet potentially conflicting deadlines.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Arial"/>
                <w:sz w:val="22"/>
                <w:szCs w:val="22"/>
              </w:rPr>
            </w:pPr>
            <w:r>
              <w:rPr>
                <w:rFonts w:cs="Arial"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szCs w:val="22"/>
              </w:rPr>
            </w:pPr>
            <w:r>
              <w:rPr>
                <w:szCs w:val="22"/>
              </w:rPr>
              <w:t>AF / I/T</w:t>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szCs w:val="22"/>
                <w:lang w:val="en-US"/>
              </w:rPr>
            </w:pPr>
            <w:r>
              <w:rPr>
                <w:szCs w:val="22"/>
                <w:lang w:val="en-US"/>
              </w:rPr>
              <w:t>Detailed knowledge of the law relating to contract and procurement issues, EU law, governance and Local Government law as it relates to contracts, procurement and governance issues.</w:t>
            </w:r>
          </w:p>
          <w:p>
            <w:pPr>
              <w:pStyle w:val="Normal"/>
              <w:rPr>
                <w:szCs w:val="22"/>
                <w:lang w:val="en-US"/>
              </w:rPr>
            </w:pPr>
            <w:r>
              <w:rPr>
                <w:szCs w:val="22"/>
                <w:lang w:val="en-US"/>
              </w:rPr>
            </w:r>
          </w:p>
          <w:p>
            <w:pPr>
              <w:pStyle w:val="Normal"/>
              <w:rPr>
                <w:szCs w:val="22"/>
                <w:lang w:val="en-US"/>
              </w:rPr>
            </w:pPr>
            <w:r>
              <w:rPr>
                <w:szCs w:val="22"/>
                <w:lang w:val="en-US"/>
              </w:rPr>
              <w:t>Understanding of project management methodologies and processes.</w:t>
            </w:r>
          </w:p>
          <w:p>
            <w:pPr>
              <w:pStyle w:val="Normal"/>
              <w:rPr>
                <w:szCs w:val="22"/>
                <w:lang w:val="en-US"/>
              </w:rPr>
            </w:pPr>
            <w:r>
              <w:rPr>
                <w:szCs w:val="22"/>
                <w:lang w:val="en-US"/>
              </w:rPr>
            </w:r>
          </w:p>
          <w:p>
            <w:pPr>
              <w:pStyle w:val="Normal"/>
              <w:rPr>
                <w:szCs w:val="22"/>
                <w:lang w:val="en-US"/>
              </w:rPr>
            </w:pPr>
            <w:r>
              <w:rPr>
                <w:szCs w:val="22"/>
                <w:lang w:val="en-US"/>
              </w:rPr>
              <w:t>Understanding of Local Authority governance processes and Constitution.</w:t>
            </w:r>
          </w:p>
          <w:p>
            <w:pPr>
              <w:pStyle w:val="Normal"/>
              <w:rPr>
                <w:szCs w:val="22"/>
                <w:lang w:val="en-US"/>
              </w:rPr>
            </w:pPr>
            <w:r>
              <w:rPr>
                <w:szCs w:val="22"/>
                <w:lang w:val="en-US"/>
              </w:rPr>
            </w:r>
          </w:p>
          <w:p>
            <w:pPr>
              <w:pStyle w:val="Normal"/>
              <w:rPr>
                <w:szCs w:val="22"/>
                <w:lang w:val="en-US"/>
              </w:rPr>
            </w:pPr>
            <w:r>
              <w:rPr>
                <w:szCs w:val="22"/>
                <w:lang w:val="en-US"/>
              </w:rPr>
              <w:t>Broad understanding of range of services delivered by local government to their citizens and service users.</w:t>
            </w:r>
          </w:p>
          <w:p>
            <w:pPr>
              <w:pStyle w:val="Normal"/>
              <w:rPr>
                <w:szCs w:val="22"/>
                <w:lang w:val="en-US"/>
              </w:rPr>
            </w:pPr>
            <w:r>
              <w:rPr>
                <w:szCs w:val="22"/>
                <w:lang w:val="en-US"/>
              </w:rPr>
            </w:r>
          </w:p>
          <w:p>
            <w:pPr>
              <w:pStyle w:val="Normal"/>
              <w:rPr>
                <w:szCs w:val="22"/>
                <w:lang w:val="en-US"/>
              </w:rPr>
            </w:pPr>
            <w:r>
              <w:rPr>
                <w:szCs w:val="22"/>
                <w:lang w:val="en-US"/>
              </w:rPr>
              <w:t xml:space="preserve">Drafting skills, negotiation and influencing skills, understanding and commitment to team working, ability to work to tight deadlines and think in innovative ways. </w:t>
            </w:r>
          </w:p>
          <w:p>
            <w:pPr>
              <w:pStyle w:val="Normal"/>
              <w:rPr>
                <w:szCs w:val="22"/>
                <w:lang w:val="en-US"/>
              </w:rPr>
            </w:pPr>
            <w:r>
              <w:rPr>
                <w:szCs w:val="22"/>
                <w:lang w:val="en-US"/>
              </w:rPr>
            </w:r>
          </w:p>
          <w:p>
            <w:pPr>
              <w:pStyle w:val="Normal"/>
              <w:rPr>
                <w:rFonts w:cs="Arial"/>
              </w:rPr>
            </w:pPr>
            <w:r>
              <w:rPr>
                <w:rFonts w:cs="Arial"/>
              </w:rPr>
              <w:t>A clear understanding and knowledge of the workings of local government, including its legal, financial, social and political context, political processes and the current issues faced in a multi-cultural area.</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Cs w:val="22"/>
              </w:rPr>
            </w:pPr>
            <w:r>
              <w:rPr>
                <w:rFonts w:cs="Arial"/>
                <w:szCs w:val="22"/>
              </w:rPr>
            </w:r>
          </w:p>
          <w:p>
            <w:pPr>
              <w:pStyle w:val="Normal"/>
              <w:rPr>
                <w:rFonts w:cs="Arial"/>
                <w:szCs w:val="22"/>
              </w:rPr>
            </w:pPr>
            <w:r>
              <w:rPr>
                <w:rFonts w:cs="Arial"/>
                <w:szCs w:val="22"/>
              </w:rPr>
            </w:r>
          </w:p>
          <w:p>
            <w:pPr>
              <w:pStyle w:val="Normal"/>
              <w:rPr>
                <w:rFonts w:cs="Arial"/>
                <w:szCs w:val="22"/>
              </w:rPr>
            </w:pPr>
            <w:r>
              <w:rPr>
                <w:rFonts w:cs="Arial"/>
                <w:szCs w:val="22"/>
              </w:rPr>
            </w:r>
          </w:p>
          <w:p>
            <w:pPr>
              <w:pStyle w:val="Normal"/>
              <w:rPr>
                <w:rFonts w:cs="Arial"/>
                <w:szCs w:val="22"/>
              </w:rPr>
            </w:pPr>
            <w:r>
              <w:rPr>
                <w:rFonts w:cs="Arial"/>
                <w:szCs w:val="22"/>
              </w:rPr>
            </w:r>
          </w:p>
          <w:p>
            <w:pPr>
              <w:pStyle w:val="Normal"/>
              <w:rPr>
                <w:rFonts w:cs="Arial"/>
                <w:szCs w:val="22"/>
              </w:rPr>
            </w:pPr>
            <w:r>
              <w:rPr>
                <w:rFonts w:cs="Arial"/>
                <w:szCs w:val="22"/>
              </w:rPr>
            </w:r>
          </w:p>
          <w:p>
            <w:pPr>
              <w:pStyle w:val="Normal"/>
              <w:rPr>
                <w:rFonts w:cs="Arial"/>
                <w:szCs w:val="22"/>
              </w:rPr>
            </w:pPr>
            <w:r>
              <w:rPr>
                <w:rFonts w:cs="Arial"/>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szCs w:val="22"/>
              </w:rPr>
            </w:pPr>
            <w:r>
              <w:rPr>
                <w:szCs w:val="22"/>
              </w:rPr>
              <w:t>AF / I/T</w:t>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szCs w:val="22"/>
              </w:rPr>
            </w:pPr>
            <w:r>
              <w:rPr>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AA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tabs>
                <w:tab w:val="clear" w:pos="720"/>
                <w:tab w:val="left" w:pos="389" w:leader="none"/>
              </w:tabs>
              <w:overflowPunct w:val="true"/>
              <w:textAlignment w:val="baseline"/>
              <w:rPr>
                <w:rFonts w:cs="Arial"/>
                <w:sz w:val="22"/>
                <w:szCs w:val="22"/>
              </w:rPr>
            </w:pPr>
            <w:r>
              <w:rPr>
                <w:rFonts w:cs="Arial"/>
                <w:sz w:val="22"/>
                <w:szCs w:val="22"/>
              </w:rPr>
              <w:t>Able to work flexibly to meet the demands of the service (including evening and weekend as necessary)</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are aged 24 or under and have previously been in or currently in care, those that are carers, and those who have served in the Armed Forces as a regular, reserve or cadet.</w:t>
      </w:r>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Helvetica">
    <w:altName w:val="Arial"/>
    <w:charset w:val="00"/>
    <w:family w:val="swiss"/>
    <w:pitch w:val="variable"/>
  </w:font>
  <w:font w:name="Gautam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ing6Char">
    <w:name w:val="Heading 6 Char"/>
    <w:qFormat/>
    <w:rPr>
      <w:rFonts w:ascii="Calibri" w:hAnsi="Calibri" w:eastAsia="Times New Roman" w:cs="Times New Roman"/>
      <w:b/>
      <w:bCs/>
      <w:sz w:val="22"/>
      <w:szCs w:val="22"/>
      <w:lang w:eastAsia="en-US"/>
    </w:rPr>
  </w:style>
  <w:style w:type="character" w:styleId="FooterChar">
    <w:name w:val="Footer Char"/>
    <w:qFormat/>
    <w:rPr>
      <w:rFonts w:ascii="Arial" w:hAnsi="Arial" w:cs="Arial"/>
      <w:sz w:val="24"/>
      <w:szCs w:val="24"/>
      <w:lang w:eastAsia="en-US"/>
    </w:rPr>
  </w:style>
  <w:style w:type="character" w:styleId="BodyText3Char">
    <w:name w:val="Body Text 3 Char"/>
    <w:qFormat/>
    <w:rPr>
      <w:rFonts w:ascii="Arial" w:hAnsi="Arial" w:cs="Arial"/>
      <w:color w:val="808080"/>
      <w:sz w:val="18"/>
      <w:szCs w:val="18"/>
      <w:lang w:eastAsia="en-US"/>
    </w:rPr>
  </w:style>
  <w:style w:type="character" w:styleId="Hyperlink">
    <w:name w:val="Hyperlink"/>
    <w:rPr>
      <w:color w:val="0563C1"/>
      <w:u w:val="single"/>
    </w:rPr>
  </w:style>
  <w:style w:type="character" w:styleId="EndnoteTextChar">
    <w:name w:val="Endnote Text Char"/>
    <w:basedOn w:val="DefaultParagraphFont"/>
    <w:qFormat/>
    <w:rPr>
      <w:rFonts w:ascii="Palatino" w:hAnsi="Palatino" w:cs="Palatino"/>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ooter">
    <w:name w:val="Footer"/>
    <w:basedOn w:val="Normal"/>
    <w:pPr>
      <w:tabs>
        <w:tab w:val="clear" w:pos="720"/>
        <w:tab w:val="center" w:pos="4513" w:leader="none"/>
        <w:tab w:val="right" w:pos="9026" w:leader="none"/>
      </w:tabs>
    </w:pPr>
    <w:rPr/>
  </w:style>
  <w:style w:type="paragraph" w:styleId="BodyText3">
    <w:name w:val="Body Text 3"/>
    <w:basedOn w:val="Normal"/>
    <w:qFormat/>
    <w:pPr/>
    <w:rPr>
      <w:color w:val="808080"/>
      <w:sz w:val="18"/>
      <w:szCs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