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cs="Arial"/>
        </w:rPr>
      </w:pPr>
      <w:r>
        <w:rPr>
          <w:rFonts w:cs="Arial"/>
        </w:rPr>
      </w:r>
    </w:p>
    <w:p>
      <w:pPr>
        <w:pStyle w:val="Heading1"/>
        <w:spacing w:lineRule="auto" w:line="240"/>
        <w:ind w:hanging="0" w:left="0"/>
        <w:rPr>
          <w:rFonts w:cs="Arial"/>
          <w:sz w:val="24"/>
          <w:szCs w:val="24"/>
        </w:rPr>
      </w:pPr>
      <w:r>
        <w:rPr>
          <w:rFonts w:cs="Arial"/>
          <w:sz w:val="24"/>
          <w:szCs w:val="24"/>
        </w:rPr>
      </w:r>
    </w:p>
    <w:p>
      <w:pPr>
        <w:pStyle w:val="Normal"/>
        <w:jc w:val="center"/>
        <w:rPr>
          <w:rFonts w:cs="Arial"/>
          <w:b/>
          <w:bCs/>
          <w:u w:val="single"/>
        </w:rPr>
      </w:pPr>
      <w:r>
        <w:rPr>
          <w:rFonts w:cs="Arial"/>
          <w:b/>
          <w:bCs/>
          <w:u w:val="single"/>
        </w:rPr>
        <w:t>OLDHAM COUNCIL</w:t>
      </w:r>
    </w:p>
    <w:p>
      <w:pPr>
        <w:pStyle w:val="Normal"/>
        <w:jc w:val="center"/>
        <w:rPr>
          <w:rFonts w:cs="Arial"/>
          <w:b/>
          <w:bCs/>
          <w:u w:val="single"/>
        </w:rPr>
      </w:pPr>
      <w:r>
        <w:rPr>
          <w:rFonts w:cs="Arial"/>
          <w:b/>
          <w:bCs/>
          <w:u w:val="single"/>
        </w:rPr>
      </w:r>
    </w:p>
    <w:p>
      <w:pPr>
        <w:pStyle w:val="Normal"/>
        <w:jc w:val="center"/>
        <w:rPr>
          <w:rFonts w:cs="Arial"/>
          <w:b/>
          <w:bCs/>
          <w:u w:val="single"/>
        </w:rPr>
      </w:pPr>
      <w:r>
        <w:rPr>
          <w:rFonts w:cs="Arial"/>
          <w:b/>
          <w:bCs/>
          <w:u w:val="single"/>
        </w:rPr>
        <w:t>JOB DESCRIPTION</w:t>
      </w:r>
    </w:p>
    <w:p>
      <w:pPr>
        <w:pStyle w:val="Normal"/>
        <w:jc w:val="center"/>
        <w:rPr>
          <w:rFonts w:cs="Arial"/>
          <w:b/>
          <w:bCs/>
          <w:u w:val="single"/>
        </w:rPr>
      </w:pPr>
      <w:r>
        <w:rPr>
          <w:rFonts w:cs="Arial"/>
          <w:b/>
          <w:bCs/>
          <w:u w:val="single"/>
        </w:rPr>
      </w:r>
    </w:p>
    <w:tbl>
      <w:tblPr>
        <w:tblW w:w="10439" w:type="dxa"/>
        <w:jc w:val="left"/>
        <w:tblInd w:w="-604" w:type="dxa"/>
        <w:tblLayout w:type="fixed"/>
        <w:tblCellMar>
          <w:top w:w="0" w:type="dxa"/>
          <w:left w:w="108" w:type="dxa"/>
          <w:bottom w:w="0" w:type="dxa"/>
          <w:right w:w="108" w:type="dxa"/>
        </w:tblCellMar>
      </w:tblPr>
      <w:tblGrid>
        <w:gridCol w:w="1451"/>
        <w:gridCol w:w="8988"/>
      </w:tblGrid>
      <w:tr>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rPr>
            </w:pPr>
            <w:r>
              <w:rPr>
                <w:rFonts w:cs="Arial"/>
                <w:b/>
              </w:rPr>
              <w:t xml:space="preserve">Job Title: </w:t>
            </w:r>
          </w:p>
          <w:p>
            <w:pPr>
              <w:pStyle w:val="Normal"/>
              <w:rPr>
                <w:rFonts w:cs="Arial"/>
              </w:rPr>
            </w:pPr>
            <w:r>
              <w:rPr>
                <w:rFonts w:cs="Arial"/>
              </w:rPr>
            </w:r>
          </w:p>
        </w:tc>
        <w:tc>
          <w:tcPr>
            <w:tcW w:w="8988" w:type="dxa"/>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Cs w:val="24"/>
              </w:rPr>
            </w:pPr>
            <w:r>
              <w:rPr>
                <w:rFonts w:cs="Arial" w:ascii="Arial" w:hAnsi="Arial"/>
                <w:szCs w:val="24"/>
              </w:rPr>
              <w:t xml:space="preserve">Children’s Workforce Development Strategic Lead </w:t>
            </w:r>
          </w:p>
        </w:tc>
      </w:tr>
    </w:tbl>
    <w:p>
      <w:pPr>
        <w:pStyle w:val="Normal"/>
        <w:rPr>
          <w:rFonts w:cs="Arial"/>
          <w:b/>
          <w:bCs/>
          <w:u w:val="single"/>
        </w:rPr>
      </w:pPr>
      <w:r>
        <w:rPr>
          <w:rFonts w:cs="Arial"/>
          <w:b/>
          <w:bCs/>
          <w:u w:val="single"/>
        </w:rPr>
      </w:r>
    </w:p>
    <w:tbl>
      <w:tblPr>
        <w:tblW w:w="10439" w:type="dxa"/>
        <w:jc w:val="left"/>
        <w:tblInd w:w="-604" w:type="dxa"/>
        <w:tblLayout w:type="fixed"/>
        <w:tblCellMar>
          <w:top w:w="0" w:type="dxa"/>
          <w:left w:w="108" w:type="dxa"/>
          <w:bottom w:w="0" w:type="dxa"/>
          <w:right w:w="108" w:type="dxa"/>
        </w:tblCellMar>
      </w:tblPr>
      <w:tblGrid>
        <w:gridCol w:w="1575"/>
        <w:gridCol w:w="2745"/>
        <w:gridCol w:w="2179"/>
        <w:gridCol w:w="3940"/>
      </w:tblGrid>
      <w:tr>
        <w:trPr/>
        <w:tc>
          <w:tcPr>
            <w:tcW w:w="1575"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rPr>
              <w:t>Directorate:</w:t>
            </w:r>
            <w:r>
              <w:rPr>
                <w:rFonts w:cs="Arial"/>
              </w:rPr>
              <w:t xml:space="preserve">  </w:t>
            </w:r>
          </w:p>
        </w:tc>
        <w:tc>
          <w:tcPr>
            <w:tcW w:w="2745"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 xml:space="preserve">Children &amp; Young People </w:t>
            </w:r>
          </w:p>
        </w:tc>
        <w:tc>
          <w:tcPr>
            <w:tcW w:w="2179"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rPr>
              <w:t>Division/Section:</w:t>
            </w:r>
            <w:r>
              <w:rPr>
                <w:rFonts w:cs="Arial"/>
              </w:rPr>
              <w:t xml:space="preserve"> </w:t>
            </w:r>
          </w:p>
          <w:p>
            <w:pPr>
              <w:pStyle w:val="Normal"/>
              <w:rPr>
                <w:rFonts w:cs="Arial"/>
              </w:rPr>
            </w:pPr>
            <w:r>
              <w:rPr>
                <w:rFonts w:cs="Arial"/>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Quality, Practice and Partnerships</w:t>
            </w:r>
          </w:p>
        </w:tc>
      </w:tr>
      <w:tr>
        <w:trPr/>
        <w:tc>
          <w:tcPr>
            <w:tcW w:w="1575"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rPr>
            </w:pPr>
            <w:r>
              <w:rPr>
                <w:rFonts w:cs="Arial"/>
                <w:b/>
              </w:rPr>
              <w:t xml:space="preserve">Grade:  </w:t>
            </w:r>
          </w:p>
          <w:p>
            <w:pPr>
              <w:pStyle w:val="Normal"/>
              <w:rPr>
                <w:rFonts w:cs="Arial"/>
              </w:rPr>
            </w:pPr>
            <w:r>
              <w:rPr>
                <w:rFonts w:cs="Arial"/>
              </w:rPr>
            </w:r>
          </w:p>
        </w:tc>
        <w:tc>
          <w:tcPr>
            <w:tcW w:w="2745"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 w:val="24"/>
                <w:szCs w:val="24"/>
              </w:rPr>
            </w:pPr>
            <w:r>
              <w:rPr>
                <w:rFonts w:cs="Arial"/>
                <w:sz w:val="24"/>
                <w:szCs w:val="24"/>
              </w:rPr>
              <w:t>SM3</w:t>
            </w:r>
          </w:p>
        </w:tc>
        <w:tc>
          <w:tcPr>
            <w:tcW w:w="2179"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rPr>
                <w:rFonts w:cs="Arial"/>
                <w:b/>
                <w:sz w:val="24"/>
                <w:szCs w:val="24"/>
              </w:rPr>
            </w:pPr>
            <w:r>
              <w:rPr>
                <w:rFonts w:cs="Arial"/>
                <w:b/>
                <w:sz w:val="24"/>
                <w:szCs w:val="24"/>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 w:val="24"/>
                <w:szCs w:val="24"/>
              </w:rPr>
            </w:pPr>
            <w:r>
              <w:rPr>
                <w:rFonts w:cs="Arial"/>
                <w:sz w:val="24"/>
                <w:szCs w:val="24"/>
              </w:rPr>
              <w:t>3758</w:t>
            </w:r>
          </w:p>
        </w:tc>
      </w:tr>
    </w:tbl>
    <w:p>
      <w:pPr>
        <w:pStyle w:val="Normal"/>
        <w:rPr>
          <w:rFonts w:cs="Arial"/>
        </w:rPr>
      </w:pPr>
      <w:r>
        <w:rPr>
          <w:rFonts w:cs="Arial"/>
        </w:rPr>
      </w:r>
    </w:p>
    <w:p>
      <w:pPr>
        <w:pStyle w:val="Normal"/>
        <w:rPr>
          <w:rFonts w:cs="Arial"/>
        </w:rPr>
      </w:pPr>
      <w:r>
        <w:rPr>
          <w:rFonts w:cs="Arial"/>
        </w:rPr>
      </w:r>
    </w:p>
    <w:tbl>
      <w:tblPr>
        <w:tblW w:w="10348" w:type="dxa"/>
        <w:jc w:val="left"/>
        <w:tblInd w:w="-559" w:type="dxa"/>
        <w:tblLayout w:type="fixed"/>
        <w:tblCellMar>
          <w:top w:w="0" w:type="dxa"/>
          <w:left w:w="108" w:type="dxa"/>
          <w:bottom w:w="0" w:type="dxa"/>
          <w:right w:w="108" w:type="dxa"/>
        </w:tblCellMar>
      </w:tblPr>
      <w:tblGrid>
        <w:gridCol w:w="10348"/>
      </w:tblGrid>
      <w:tr>
        <w:trPr/>
        <w:tc>
          <w:tcPr>
            <w:tcW w:w="1034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Cs/>
              </w:rPr>
            </w:pPr>
            <w:r>
              <w:rPr>
                <w:rFonts w:cs="Arial"/>
                <w:b/>
                <w:bCs/>
              </w:rPr>
              <w:t>Job Purpose</w:t>
            </w:r>
          </w:p>
          <w:p>
            <w:pPr>
              <w:pStyle w:val="Normal"/>
              <w:rPr>
                <w:rFonts w:cs="Arial"/>
              </w:rPr>
            </w:pPr>
            <w:r>
              <w:rPr>
                <w:rFonts w:cs="Arial"/>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The Children’s Services Workforce Lead will play a pivotal role in supporting the local authority and partner organisations across the borough to strengthen and develop the children's services workforce at a time of significant national reform.</w:t>
            </w:r>
          </w:p>
          <w:p>
            <w:pPr>
              <w:pStyle w:val="Normal"/>
              <w:rPr>
                <w:rFonts w:cs="Arial"/>
              </w:rPr>
            </w:pPr>
            <w:r>
              <w:rPr>
                <w:rFonts w:cs="Arial"/>
              </w:rPr>
            </w:r>
          </w:p>
          <w:p>
            <w:pPr>
              <w:pStyle w:val="Normal"/>
              <w:rPr>
                <w:rFonts w:cs="Arial"/>
              </w:rPr>
            </w:pPr>
            <w:r>
              <w:rPr>
                <w:rFonts w:cs="Arial"/>
              </w:rPr>
              <w:t>This is a strategic and delivery-focused role, leading a programme of workforce improvement projects designed to improve recruitment, retention, workforce stability, career development and skills across children's services. A particular focus of the role will be supporting implementation of national children's social care reforms and ensuring that Oldham is well positioned to meet future workforce challenges.</w:t>
            </w:r>
          </w:p>
          <w:p>
            <w:pPr>
              <w:pStyle w:val="Normal"/>
              <w:rPr>
                <w:rFonts w:cs="Arial"/>
              </w:rPr>
            </w:pPr>
            <w:r>
              <w:rPr>
                <w:rFonts w:cs="Arial"/>
              </w:rPr>
            </w:r>
          </w:p>
          <w:p>
            <w:pPr>
              <w:pStyle w:val="Normal"/>
              <w:rPr>
                <w:rFonts w:cs="Arial"/>
              </w:rPr>
            </w:pPr>
            <w:r>
              <w:rPr>
                <w:rFonts w:cs="Arial"/>
              </w:rPr>
              <w:t>Working across the service and the wider partnerships the postholder will develop innovative solutions, drive collaboration and support the delivery of evidence-based workforce initiatives that improve outcomes for children, young people and families.</w:t>
            </w:r>
          </w:p>
          <w:p>
            <w:pPr>
              <w:pStyle w:val="Normal"/>
              <w:rPr>
                <w:rFonts w:cs="Arial"/>
              </w:rPr>
            </w:pPr>
            <w:r>
              <w:rPr>
                <w:rFonts w:cs="Arial"/>
              </w:rPr>
            </w:r>
          </w:p>
          <w:p>
            <w:pPr>
              <w:pStyle w:val="Normal"/>
              <w:spacing w:before="0" w:after="120"/>
              <w:rPr>
                <w:rFonts w:cs="Arial"/>
              </w:rPr>
            </w:pPr>
            <w:r>
              <w:rPr>
                <w:rFonts w:cs="Arial"/>
              </w:rPr>
              <w:t>The successful candidate will be very experienced in and have a strong understanding of children's services and workforce development, ideally gained through a background in social care, early help, family support, education, youth services or a related child-focused profession.</w:t>
            </w:r>
          </w:p>
          <w:p>
            <w:pPr>
              <w:pStyle w:val="Normal"/>
              <w:jc w:val="both"/>
              <w:rPr>
                <w:rFonts w:cs="Arial"/>
                <w:bCs/>
              </w:rPr>
            </w:pPr>
            <w:r>
              <w:rPr>
                <w:rFonts w:cs="Arial"/>
                <w:bCs/>
              </w:rPr>
            </w:r>
          </w:p>
          <w:p>
            <w:pPr>
              <w:pStyle w:val="Normal"/>
              <w:jc w:val="both"/>
              <w:rPr>
                <w:rFonts w:cs="Arial"/>
                <w:bCs/>
              </w:rPr>
            </w:pPr>
            <w:r>
              <w:rPr>
                <w:rFonts w:cs="Arial"/>
                <w:bCs/>
              </w:rPr>
            </w:r>
          </w:p>
        </w:tc>
      </w:tr>
      <w:tr>
        <w:trPr/>
        <w:tc>
          <w:tcPr>
            <w:tcW w:w="1034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Cs/>
              </w:rPr>
            </w:pPr>
            <w:r>
              <w:rPr>
                <w:rFonts w:cs="Arial"/>
                <w:b/>
                <w:bCs/>
              </w:rPr>
              <w:t>Key Tasks</w:t>
            </w:r>
          </w:p>
          <w:p>
            <w:pPr>
              <w:pStyle w:val="Normal"/>
              <w:rPr>
                <w:rFonts w:cs="Arial"/>
              </w:rPr>
            </w:pPr>
            <w:r>
              <w:rPr>
                <w:rFonts w:cs="Arial"/>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rPr>
                <w:rFonts w:cs="Arial"/>
                <w:b/>
                <w:bCs/>
                <w:lang w:val="en-US"/>
              </w:rPr>
            </w:pPr>
            <w:r>
              <w:rPr>
                <w:rFonts w:cs="Arial"/>
                <w:b/>
                <w:bCs/>
                <w:lang w:val="en-US"/>
              </w:rPr>
              <w:t>Workforce Strategy and Leadership</w:t>
            </w:r>
          </w:p>
          <w:p>
            <w:pPr>
              <w:pStyle w:val="Normal"/>
              <w:rPr>
                <w:rFonts w:cs="Arial"/>
                <w:b/>
                <w:bCs/>
                <w:lang w:val="en-US"/>
              </w:rPr>
            </w:pPr>
            <w:r>
              <w:rPr>
                <w:rFonts w:cs="Arial"/>
                <w:b/>
                <w:bCs/>
                <w:lang w:val="en-US"/>
              </w:rPr>
            </w:r>
          </w:p>
          <w:p>
            <w:pPr>
              <w:pStyle w:val="Normal"/>
              <w:numPr>
                <w:ilvl w:val="0"/>
                <w:numId w:val="3"/>
              </w:numPr>
              <w:rPr/>
            </w:pPr>
            <w:r>
              <w:rPr>
                <w:rFonts w:cs="Arial"/>
                <w:lang w:val="en-US"/>
              </w:rPr>
              <w:t>Provide strategic leadership for Oldham’s workforce agenda across Children’s Services, ensuring a sustainable, skilled and resilient workforce that can deliver excellent outcomes for children, young people and families.</w:t>
            </w:r>
          </w:p>
          <w:p>
            <w:pPr>
              <w:pStyle w:val="Normal"/>
              <w:numPr>
                <w:ilvl w:val="0"/>
                <w:numId w:val="3"/>
              </w:numPr>
              <w:rPr/>
            </w:pPr>
            <w:r>
              <w:rPr>
                <w:rFonts w:cs="Arial"/>
                <w:lang w:val="en-US"/>
              </w:rPr>
              <w:t>Lead and develop the dedicated Families First Programme Workforce Team, creating a culture of innovation, continuous improvement and high performance.</w:t>
            </w:r>
          </w:p>
          <w:p>
            <w:pPr>
              <w:pStyle w:val="Normal"/>
              <w:numPr>
                <w:ilvl w:val="0"/>
                <w:numId w:val="3"/>
              </w:numPr>
              <w:rPr/>
            </w:pPr>
            <w:r>
              <w:rPr>
                <w:rFonts w:cs="Arial"/>
                <w:lang w:val="en-US"/>
              </w:rPr>
              <w:t>Develop and deliver a comprehensive workforce strategy that improves recruitment, retention, workforce stability, succession planning and employee engagement across Children's Services and the wider partnership.</w:t>
            </w:r>
          </w:p>
          <w:p>
            <w:pPr>
              <w:pStyle w:val="Normal"/>
              <w:numPr>
                <w:ilvl w:val="0"/>
                <w:numId w:val="3"/>
              </w:numPr>
              <w:rPr/>
            </w:pPr>
            <w:r>
              <w:rPr>
                <w:rFonts w:cs="Arial"/>
                <w:lang w:val="en-US"/>
              </w:rPr>
              <w:t>Utilise workforce intelligence, performance data, labour market trends and evidence-based practice to inform strategic workforce planning, identify current and future workforce challenges and develop solutions to address workforce risks and opportunities.</w:t>
            </w:r>
          </w:p>
          <w:p>
            <w:pPr>
              <w:pStyle w:val="Normal"/>
              <w:numPr>
                <w:ilvl w:val="0"/>
                <w:numId w:val="3"/>
              </w:numPr>
              <w:rPr/>
            </w:pPr>
            <w:r>
              <w:rPr>
                <w:rFonts w:cs="Arial"/>
                <w:lang w:val="en-US"/>
              </w:rPr>
              <w:t>Provide leadership and coordination of workforce programmes and workstreams arising from Children's Social Care Reform, Families First for Children reforms and wider national workforce developments.</w:t>
            </w:r>
          </w:p>
          <w:p>
            <w:pPr>
              <w:pStyle w:val="Normal"/>
              <w:numPr>
                <w:ilvl w:val="0"/>
                <w:numId w:val="3"/>
              </w:numPr>
              <w:rPr/>
            </w:pPr>
            <w:r>
              <w:rPr>
                <w:rFonts w:cs="Arial"/>
                <w:lang w:val="en-US"/>
              </w:rPr>
              <w:t>Advise and influence senior leaders, directors and partners on workforce priorities, ensuring alignment with local, regional and national strategies and policy developments.</w:t>
            </w:r>
          </w:p>
          <w:p>
            <w:pPr>
              <w:pStyle w:val="Normal"/>
              <w:numPr>
                <w:ilvl w:val="0"/>
                <w:numId w:val="3"/>
              </w:numPr>
              <w:rPr/>
            </w:pPr>
            <w:r>
              <w:rPr>
                <w:rFonts w:cs="Arial"/>
                <w:lang w:val="en-US"/>
              </w:rPr>
              <w:t>Act as the strategic lead for workforce transformation, shaping organisational approaches that strengthen workforce capacity, capability and resilience.</w:t>
            </w:r>
          </w:p>
          <w:p>
            <w:pPr>
              <w:pStyle w:val="Normal"/>
              <w:ind w:left="720" w:right="0"/>
              <w:rPr>
                <w:rFonts w:cs="Arial"/>
                <w:b/>
                <w:bCs/>
                <w:lang w:val="en-US"/>
              </w:rPr>
            </w:pPr>
            <w:r>
              <w:rPr>
                <w:rFonts w:cs="Arial"/>
                <w:b/>
                <w:bCs/>
                <w:lang w:val="en-US"/>
              </w:rPr>
            </w:r>
          </w:p>
          <w:p>
            <w:pPr>
              <w:pStyle w:val="Normal"/>
              <w:rPr>
                <w:rFonts w:cs="Arial"/>
                <w:b/>
                <w:bCs/>
                <w:lang w:val="en-US"/>
              </w:rPr>
            </w:pPr>
            <w:r>
              <w:rPr>
                <w:rFonts w:cs="Arial"/>
                <w:b/>
                <w:bCs/>
                <w:lang w:val="en-US"/>
              </w:rPr>
              <w:t>Financial and Resource Management</w:t>
            </w:r>
          </w:p>
          <w:p>
            <w:pPr>
              <w:pStyle w:val="Normal"/>
              <w:rPr>
                <w:rFonts w:cs="Arial"/>
                <w:b/>
                <w:bCs/>
                <w:lang w:val="en-US"/>
              </w:rPr>
            </w:pPr>
            <w:r>
              <w:rPr>
                <w:rFonts w:cs="Arial"/>
                <w:b/>
                <w:bCs/>
                <w:lang w:val="en-US"/>
              </w:rPr>
            </w:r>
          </w:p>
          <w:p>
            <w:pPr>
              <w:pStyle w:val="Normal"/>
              <w:numPr>
                <w:ilvl w:val="0"/>
                <w:numId w:val="4"/>
              </w:numPr>
              <w:rPr/>
            </w:pPr>
            <w:r>
              <w:rPr>
                <w:rFonts w:cs="Arial"/>
                <w:lang w:val="en-US"/>
              </w:rPr>
              <w:t>Manage programme budgets and partnership workforce development resources effectively, ensuring robust financial governance and accountability.</w:t>
            </w:r>
          </w:p>
          <w:p>
            <w:pPr>
              <w:pStyle w:val="Normal"/>
              <w:numPr>
                <w:ilvl w:val="0"/>
                <w:numId w:val="4"/>
              </w:numPr>
              <w:rPr/>
            </w:pPr>
            <w:r>
              <w:rPr>
                <w:rFonts w:cs="Arial"/>
                <w:lang w:val="en-US"/>
              </w:rPr>
              <w:t>Monitor expenditure and performance to ensure value for money and achievement of partnership workforce outcomes.</w:t>
            </w:r>
          </w:p>
          <w:p>
            <w:pPr>
              <w:pStyle w:val="Normal"/>
              <w:numPr>
                <w:ilvl w:val="0"/>
                <w:numId w:val="4"/>
              </w:numPr>
              <w:rPr/>
            </w:pPr>
            <w:r>
              <w:rPr>
                <w:rFonts w:cs="Arial"/>
                <w:lang w:val="en-US"/>
              </w:rPr>
              <w:t>Commission, procure and oversee workforce development initiatives, programmes and services, ensuring delivery against agreed objectives and measurable impact.</w:t>
            </w:r>
          </w:p>
          <w:p>
            <w:pPr>
              <w:pStyle w:val="Normal"/>
              <w:ind w:left="720" w:right="0"/>
              <w:rPr>
                <w:rFonts w:cs="Arial"/>
                <w:lang w:val="en-US"/>
              </w:rPr>
            </w:pPr>
            <w:r>
              <w:rPr>
                <w:rFonts w:cs="Arial"/>
                <w:lang w:val="en-US"/>
              </w:rPr>
            </w:r>
          </w:p>
          <w:p>
            <w:pPr>
              <w:pStyle w:val="Normal"/>
              <w:rPr>
                <w:rFonts w:cs="Arial"/>
                <w:b/>
                <w:bCs/>
                <w:lang w:val="en-US"/>
              </w:rPr>
            </w:pPr>
            <w:r>
              <w:rPr>
                <w:rFonts w:cs="Arial"/>
                <w:b/>
                <w:bCs/>
                <w:lang w:val="en-US"/>
              </w:rPr>
              <w:t>Recruitment, Retention and Workforce Stability</w:t>
            </w:r>
          </w:p>
          <w:p>
            <w:pPr>
              <w:pStyle w:val="Normal"/>
              <w:rPr>
                <w:rFonts w:cs="Arial"/>
                <w:b/>
                <w:bCs/>
                <w:lang w:val="en-US"/>
              </w:rPr>
            </w:pPr>
            <w:r>
              <w:rPr>
                <w:rFonts w:cs="Arial"/>
                <w:b/>
                <w:bCs/>
                <w:lang w:val="en-US"/>
              </w:rPr>
            </w:r>
          </w:p>
          <w:p>
            <w:pPr>
              <w:pStyle w:val="Normal"/>
              <w:numPr>
                <w:ilvl w:val="0"/>
                <w:numId w:val="5"/>
              </w:numPr>
              <w:rPr/>
            </w:pPr>
            <w:r>
              <w:rPr>
                <w:rFonts w:cs="Arial"/>
                <w:lang w:val="en-US"/>
              </w:rPr>
              <w:t>Lead the development and implementation of innovative recruitment, attraction and retention strategies that position Oldham as an employer of choice.</w:t>
            </w:r>
          </w:p>
          <w:p>
            <w:pPr>
              <w:pStyle w:val="Normal"/>
              <w:numPr>
                <w:ilvl w:val="0"/>
                <w:numId w:val="5"/>
              </w:numPr>
              <w:rPr/>
            </w:pPr>
            <w:r>
              <w:rPr>
                <w:rFonts w:cs="Arial"/>
                <w:lang w:val="en-US"/>
              </w:rPr>
              <w:t>Develop sustainable workforce pipelines to meet the requirements of the FFP programme through collaboration with education providers, regional partners and professional bodies.</w:t>
            </w:r>
          </w:p>
          <w:p>
            <w:pPr>
              <w:pStyle w:val="Normal"/>
              <w:numPr>
                <w:ilvl w:val="0"/>
                <w:numId w:val="5"/>
              </w:numPr>
              <w:rPr/>
            </w:pPr>
            <w:r>
              <w:rPr>
                <w:rFonts w:cs="Arial"/>
                <w:lang w:val="en-US"/>
              </w:rPr>
              <w:t>Implement initiatives that reduce workforce shortages, agency reliance and turnover, whilst improving workforce wellbeing, engagement and retention.</w:t>
            </w:r>
          </w:p>
          <w:p>
            <w:pPr>
              <w:pStyle w:val="Normal"/>
              <w:numPr>
                <w:ilvl w:val="0"/>
                <w:numId w:val="5"/>
              </w:numPr>
              <w:rPr/>
            </w:pPr>
            <w:r>
              <w:rPr>
                <w:rFonts w:cs="Arial"/>
                <w:lang w:val="en-US"/>
              </w:rPr>
              <w:t>Drive succession planning and talent management approaches to ensure leadership and specialist capacity across Children's Services.</w:t>
            </w:r>
          </w:p>
          <w:p>
            <w:pPr>
              <w:pStyle w:val="Normal"/>
              <w:ind w:left="720" w:right="0"/>
              <w:rPr>
                <w:rFonts w:cs="Arial"/>
                <w:b/>
                <w:bCs/>
                <w:lang w:val="en-US"/>
              </w:rPr>
            </w:pPr>
            <w:r>
              <w:rPr>
                <w:rFonts w:cs="Arial"/>
                <w:b/>
                <w:bCs/>
                <w:lang w:val="en-US"/>
              </w:rPr>
            </w:r>
          </w:p>
          <w:p>
            <w:pPr>
              <w:pStyle w:val="Normal"/>
              <w:rPr>
                <w:rFonts w:cs="Arial"/>
                <w:b/>
                <w:bCs/>
                <w:lang w:val="en-US"/>
              </w:rPr>
            </w:pPr>
            <w:r>
              <w:rPr>
                <w:rFonts w:cs="Arial"/>
                <w:b/>
                <w:bCs/>
                <w:lang w:val="en-US"/>
              </w:rPr>
              <w:t>Learning, Development and Workforce Capability</w:t>
            </w:r>
          </w:p>
          <w:p>
            <w:pPr>
              <w:pStyle w:val="Normal"/>
              <w:rPr>
                <w:rFonts w:cs="Arial"/>
                <w:b/>
                <w:bCs/>
                <w:lang w:val="en-US"/>
              </w:rPr>
            </w:pPr>
            <w:r>
              <w:rPr>
                <w:rFonts w:cs="Arial"/>
                <w:b/>
                <w:bCs/>
                <w:lang w:val="en-US"/>
              </w:rPr>
            </w:r>
          </w:p>
          <w:p>
            <w:pPr>
              <w:pStyle w:val="Normal"/>
              <w:numPr>
                <w:ilvl w:val="0"/>
                <w:numId w:val="6"/>
              </w:numPr>
              <w:rPr/>
            </w:pPr>
            <w:r>
              <w:rPr>
                <w:rFonts w:cs="Arial"/>
                <w:lang w:val="en-US"/>
              </w:rPr>
              <w:t>Lead strategic workforce development programmes that strengthen professional capability, workforce competence and leadership capacity.</w:t>
            </w:r>
          </w:p>
          <w:p>
            <w:pPr>
              <w:pStyle w:val="Normal"/>
              <w:numPr>
                <w:ilvl w:val="0"/>
                <w:numId w:val="6"/>
              </w:numPr>
              <w:rPr/>
            </w:pPr>
            <w:r>
              <w:rPr>
                <w:rFonts w:cs="Arial"/>
                <w:lang w:val="en-US"/>
              </w:rPr>
              <w:t>Oversee the development of career pathways, progression frameworks and talent development opportunities that support workforce growth and retention.</w:t>
            </w:r>
          </w:p>
          <w:p>
            <w:pPr>
              <w:pStyle w:val="Normal"/>
              <w:numPr>
                <w:ilvl w:val="0"/>
                <w:numId w:val="6"/>
              </w:numPr>
              <w:rPr/>
            </w:pPr>
            <w:r>
              <w:rPr>
                <w:rFonts w:cs="Arial"/>
                <w:lang w:val="en-US"/>
              </w:rPr>
              <w:t>Ensure learning and development activity responds to organisational priorities, emerging practice requirements and reform agendas.</w:t>
            </w:r>
          </w:p>
          <w:p>
            <w:pPr>
              <w:pStyle w:val="Normal"/>
              <w:ind w:left="720" w:right="0"/>
              <w:rPr>
                <w:rFonts w:cs="Arial"/>
                <w:b/>
                <w:bCs/>
                <w:lang w:val="en-US"/>
              </w:rPr>
            </w:pPr>
            <w:r>
              <w:rPr>
                <w:rFonts w:cs="Arial"/>
                <w:b/>
                <w:bCs/>
                <w:lang w:val="en-US"/>
              </w:rPr>
            </w:r>
          </w:p>
          <w:p>
            <w:pPr>
              <w:pStyle w:val="Normal"/>
              <w:rPr>
                <w:rFonts w:cs="Arial"/>
                <w:b/>
                <w:bCs/>
                <w:lang w:val="en-US"/>
              </w:rPr>
            </w:pPr>
            <w:r>
              <w:rPr>
                <w:rFonts w:cs="Arial"/>
                <w:b/>
                <w:bCs/>
                <w:lang w:val="en-US"/>
              </w:rPr>
              <w:t>Children's Social Care Reform and System Transformation</w:t>
            </w:r>
          </w:p>
          <w:p>
            <w:pPr>
              <w:pStyle w:val="Normal"/>
              <w:rPr>
                <w:rFonts w:cs="Arial"/>
                <w:b/>
                <w:bCs/>
                <w:lang w:val="en-US"/>
              </w:rPr>
            </w:pPr>
            <w:r>
              <w:rPr>
                <w:rFonts w:cs="Arial"/>
                <w:b/>
                <w:bCs/>
                <w:lang w:val="en-US"/>
              </w:rPr>
            </w:r>
          </w:p>
          <w:p>
            <w:pPr>
              <w:pStyle w:val="Normal"/>
              <w:numPr>
                <w:ilvl w:val="0"/>
                <w:numId w:val="7"/>
              </w:numPr>
              <w:rPr/>
            </w:pPr>
            <w:r>
              <w:rPr>
                <w:rFonts w:cs="Arial"/>
                <w:lang w:val="en-US"/>
              </w:rPr>
              <w:t>Act as the strategic workforce lead for the implementation of Children's Social Care Reform and the national care reform agenda.</w:t>
            </w:r>
          </w:p>
          <w:p>
            <w:pPr>
              <w:pStyle w:val="Normal"/>
              <w:numPr>
                <w:ilvl w:val="0"/>
                <w:numId w:val="7"/>
              </w:numPr>
              <w:rPr/>
            </w:pPr>
            <w:r>
              <w:rPr>
                <w:rFonts w:cs="Arial"/>
                <w:lang w:val="en-US"/>
              </w:rPr>
              <w:t>Assess the people, skills and organisational implications of policy and legislative developments, ensuring services are prepared to respond effectively.</w:t>
            </w:r>
          </w:p>
          <w:p>
            <w:pPr>
              <w:pStyle w:val="Normal"/>
              <w:numPr>
                <w:ilvl w:val="0"/>
                <w:numId w:val="7"/>
              </w:numPr>
              <w:rPr/>
            </w:pPr>
            <w:r>
              <w:rPr>
                <w:rFonts w:cs="Arial"/>
                <w:lang w:val="en-US"/>
              </w:rPr>
              <w:t>Lead workforce transformation activity that supports the redesign of services, operating models and workforce structures to meet future demand.</w:t>
            </w:r>
          </w:p>
          <w:p>
            <w:pPr>
              <w:pStyle w:val="Normal"/>
              <w:ind w:left="720" w:right="0"/>
              <w:rPr>
                <w:rFonts w:cs="Arial"/>
                <w:b/>
                <w:bCs/>
                <w:lang w:val="en-US"/>
              </w:rPr>
            </w:pPr>
            <w:r>
              <w:rPr>
                <w:rFonts w:cs="Arial"/>
                <w:b/>
                <w:bCs/>
                <w:lang w:val="en-US"/>
              </w:rPr>
            </w:r>
          </w:p>
          <w:p>
            <w:pPr>
              <w:pStyle w:val="Normal"/>
              <w:rPr>
                <w:rFonts w:cs="Arial"/>
                <w:b/>
                <w:bCs/>
                <w:lang w:val="en-US"/>
              </w:rPr>
            </w:pPr>
            <w:r>
              <w:rPr>
                <w:rFonts w:cs="Arial"/>
                <w:b/>
                <w:bCs/>
                <w:lang w:val="en-US"/>
              </w:rPr>
              <w:t>Programme, Project and Performance Management</w:t>
            </w:r>
          </w:p>
          <w:p>
            <w:pPr>
              <w:pStyle w:val="Normal"/>
              <w:rPr>
                <w:rFonts w:cs="Arial"/>
                <w:b/>
                <w:bCs/>
                <w:lang w:val="en-US"/>
              </w:rPr>
            </w:pPr>
            <w:r>
              <w:rPr>
                <w:rFonts w:cs="Arial"/>
                <w:b/>
                <w:bCs/>
                <w:lang w:val="en-US"/>
              </w:rPr>
            </w:r>
          </w:p>
          <w:p>
            <w:pPr>
              <w:pStyle w:val="Normal"/>
              <w:numPr>
                <w:ilvl w:val="0"/>
                <w:numId w:val="8"/>
              </w:numPr>
              <w:rPr/>
            </w:pPr>
            <w:r>
              <w:rPr>
                <w:rFonts w:cs="Arial"/>
                <w:lang w:val="en-US"/>
              </w:rPr>
              <w:t>Lead complex strategic workforce programmes and projects from inception through to implementation, embedding effective governance, risk management and evaluation frameworks.</w:t>
            </w:r>
          </w:p>
          <w:p>
            <w:pPr>
              <w:pStyle w:val="Normal"/>
              <w:numPr>
                <w:ilvl w:val="0"/>
                <w:numId w:val="8"/>
              </w:numPr>
              <w:rPr/>
            </w:pPr>
            <w:r>
              <w:rPr>
                <w:rFonts w:cs="Arial"/>
                <w:lang w:val="en-US"/>
              </w:rPr>
              <w:t>Establish programme plans, milestones, outcomes and performance measures, monitoring delivery and ensuring benefits are realised.</w:t>
            </w:r>
          </w:p>
          <w:p>
            <w:pPr>
              <w:pStyle w:val="Normal"/>
              <w:numPr>
                <w:ilvl w:val="0"/>
                <w:numId w:val="8"/>
              </w:numPr>
              <w:rPr/>
            </w:pPr>
            <w:r>
              <w:rPr>
                <w:rFonts w:cs="Arial"/>
                <w:lang w:val="en-US"/>
              </w:rPr>
              <w:t>Produce high-quality reports, briefings and recommendations for senior leadership teams, governance boards and partnership forums.</w:t>
            </w:r>
          </w:p>
          <w:p>
            <w:pPr>
              <w:pStyle w:val="Normal"/>
              <w:ind w:left="720" w:right="0"/>
              <w:rPr>
                <w:rFonts w:cs="Arial"/>
                <w:b/>
                <w:bCs/>
                <w:lang w:val="en-US"/>
              </w:rPr>
            </w:pPr>
            <w:r>
              <w:rPr>
                <w:rFonts w:cs="Arial"/>
                <w:b/>
                <w:bCs/>
                <w:lang w:val="en-US"/>
              </w:rPr>
            </w:r>
          </w:p>
          <w:p>
            <w:pPr>
              <w:pStyle w:val="Normal"/>
              <w:rPr>
                <w:rFonts w:cs="Arial"/>
                <w:b/>
                <w:bCs/>
                <w:lang w:val="en-US"/>
              </w:rPr>
            </w:pPr>
            <w:r>
              <w:rPr>
                <w:rFonts w:cs="Arial"/>
                <w:b/>
                <w:bCs/>
                <w:lang w:val="en-US"/>
              </w:rPr>
              <w:t>Partnership Working and Influencing</w:t>
            </w:r>
          </w:p>
          <w:p>
            <w:pPr>
              <w:pStyle w:val="Normal"/>
              <w:rPr>
                <w:rFonts w:cs="Arial"/>
                <w:b/>
                <w:bCs/>
                <w:lang w:val="en-US"/>
              </w:rPr>
            </w:pPr>
            <w:r>
              <w:rPr>
                <w:rFonts w:cs="Arial"/>
                <w:b/>
                <w:bCs/>
                <w:lang w:val="en-US"/>
              </w:rPr>
            </w:r>
          </w:p>
          <w:p>
            <w:pPr>
              <w:pStyle w:val="Normal"/>
              <w:numPr>
                <w:ilvl w:val="0"/>
                <w:numId w:val="9"/>
              </w:numPr>
              <w:rPr/>
            </w:pPr>
            <w:r>
              <w:rPr>
                <w:rFonts w:cs="Arial"/>
                <w:lang w:val="en-US"/>
              </w:rPr>
              <w:t>Build and maintain effective relationships with senior leaders, workforce leads, practitioners, partner agencies, education providers and regional networks to deliver shared workforce priorities.</w:t>
            </w:r>
          </w:p>
          <w:p>
            <w:pPr>
              <w:pStyle w:val="Normal"/>
              <w:numPr>
                <w:ilvl w:val="0"/>
                <w:numId w:val="9"/>
              </w:numPr>
              <w:rPr/>
            </w:pPr>
            <w:r>
              <w:rPr>
                <w:rFonts w:cs="Arial"/>
                <w:lang w:val="en-US"/>
              </w:rPr>
              <w:t>Influence workforce policy, practice and development through active participation in regional, sub-regional and national forums.</w:t>
            </w:r>
          </w:p>
          <w:p>
            <w:pPr>
              <w:pStyle w:val="Normal"/>
              <w:numPr>
                <w:ilvl w:val="0"/>
                <w:numId w:val="9"/>
              </w:numPr>
              <w:rPr/>
            </w:pPr>
            <w:r>
              <w:rPr>
                <w:rFonts w:cs="Arial"/>
                <w:lang w:val="en-US"/>
              </w:rPr>
              <w:t>Represent Oldham at regional and national workforce boards, networks and communities of practice, promoting innovation, learning and best practice.</w:t>
            </w:r>
          </w:p>
          <w:p>
            <w:pPr>
              <w:pStyle w:val="Normal"/>
              <w:numPr>
                <w:ilvl w:val="0"/>
                <w:numId w:val="9"/>
              </w:numPr>
              <w:rPr/>
            </w:pPr>
            <w:r>
              <w:rPr>
                <w:rFonts w:cs="Arial"/>
                <w:lang w:val="en-US"/>
              </w:rPr>
              <w:t>Champion collaborative approaches to workforce planning and development across the children's workforce system to maximise impact and improve outcomes.</w:t>
            </w:r>
          </w:p>
          <w:p>
            <w:pPr>
              <w:pStyle w:val="Normal"/>
              <w:rPr>
                <w:rFonts w:cs="Arial"/>
              </w:rPr>
            </w:pPr>
            <w:r>
              <w:rPr>
                <w:rFonts w:cs="Arial"/>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rPr>
            </w:pPr>
            <w:r>
              <w:rPr>
                <w:rFonts w:cs="Arial"/>
                <w:b/>
                <w:bCs/>
              </w:rPr>
            </w:r>
          </w:p>
        </w:tc>
      </w:tr>
    </w:tbl>
    <w:p>
      <w:pPr>
        <w:pStyle w:val="Normal"/>
        <w:rPr>
          <w:rFonts w:cs="Arial"/>
        </w:rPr>
      </w:pPr>
      <w:r>
        <w:rPr>
          <w:rFonts w:cs="Arial"/>
        </w:rPr>
      </w:r>
    </w:p>
    <w:tbl>
      <w:tblPr>
        <w:tblW w:w="10440" w:type="dxa"/>
        <w:jc w:val="left"/>
        <w:tblInd w:w="-6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rPr>
            </w:pPr>
            <w:r>
              <w:rPr>
                <w:rFonts w:cs="Arial"/>
                <w:b/>
              </w:rPr>
              <w:t>Standard Duties:</w:t>
            </w:r>
          </w:p>
          <w:p>
            <w:pPr>
              <w:pStyle w:val="Normal"/>
              <w:jc w:val="both"/>
              <w:rPr>
                <w:rFonts w:cs="Arial"/>
              </w:rPr>
            </w:pPr>
            <w:r>
              <w:rPr>
                <w:rFonts w:cs="Arial"/>
              </w:rPr>
            </w:r>
          </w:p>
        </w:tc>
      </w:tr>
    </w:tbl>
    <w:p>
      <w:pPr>
        <w:pStyle w:val="Normal"/>
        <w:rPr>
          <w:rFonts w:cs="Arial"/>
        </w:rPr>
      </w:pPr>
      <w:r>
        <w:rPr>
          <w:rFonts w:cs="Arial"/>
        </w:rPr>
      </w:r>
    </w:p>
    <w:tbl>
      <w:tblPr>
        <w:tblW w:w="10439" w:type="dxa"/>
        <w:jc w:val="left"/>
        <w:tblInd w:w="-604" w:type="dxa"/>
        <w:tblLayout w:type="fixed"/>
        <w:tblCellMar>
          <w:top w:w="0" w:type="dxa"/>
          <w:left w:w="108" w:type="dxa"/>
          <w:bottom w:w="0" w:type="dxa"/>
          <w:right w:w="108" w:type="dxa"/>
        </w:tblCellMar>
      </w:tblPr>
      <w:tblGrid>
        <w:gridCol w:w="522"/>
        <w:gridCol w:w="9917"/>
      </w:tblGrid>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cs="Arial"/>
              </w:rPr>
            </w:pPr>
            <w:r>
              <w:rPr>
                <w:rFonts w:cs="Arial"/>
              </w:rPr>
            </w:r>
          </w:p>
          <w:p>
            <w:pPr>
              <w:pStyle w:val="Normal"/>
              <w:jc w:val="both"/>
              <w:rPr>
                <w:rFonts w:cs="Arial"/>
              </w:rPr>
            </w:pPr>
            <w:r>
              <w:rPr>
                <w:rFonts w:cs="Arial"/>
              </w:rPr>
              <w:t>1.</w:t>
            </w:r>
          </w:p>
        </w:tc>
        <w:tc>
          <w:tcPr>
            <w:tcW w:w="9917"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cs="Arial"/>
              </w:rPr>
            </w:pPr>
            <w:r>
              <w:rPr>
                <w:rFonts w:cs="Arial"/>
              </w:rPr>
            </w:r>
          </w:p>
          <w:p>
            <w:pPr>
              <w:pStyle w:val="Normal"/>
              <w:jc w:val="both"/>
              <w:rPr>
                <w:rFonts w:cs="Arial"/>
              </w:rPr>
            </w:pPr>
            <w:r>
              <w:rPr>
                <w:rFonts w:cs="Arial"/>
              </w:rPr>
              <w:t>To actively promote Equality, Diversity and Inclusion in the workplace and in service delivery.</w:t>
            </w:r>
          </w:p>
          <w:p>
            <w:pPr>
              <w:pStyle w:val="Normal"/>
              <w:jc w:val="both"/>
              <w:rPr>
                <w:rFonts w:cs="Arial"/>
              </w:rPr>
            </w:pPr>
            <w:r>
              <w:rPr>
                <w:rFonts w:cs="Arial"/>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rPr>
            </w:pPr>
            <w:r>
              <w:rPr>
                <w:rFonts w:cs="Arial"/>
              </w:rPr>
              <w:t>2.</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rPr>
            </w:pPr>
            <w:r>
              <w:rPr>
                <w:rFonts w:cs="Arial"/>
              </w:rPr>
              <w:t>To uphold and implement policies and procedures of the Council, including customer care, data protection, finance, ICT, safeguarding and health &amp; safety policies.</w:t>
            </w:r>
          </w:p>
          <w:p>
            <w:pPr>
              <w:pStyle w:val="Normal"/>
              <w:jc w:val="both"/>
              <w:rPr>
                <w:rFonts w:cs="Arial"/>
              </w:rPr>
            </w:pPr>
            <w:r>
              <w:rPr>
                <w:rFonts w:cs="Arial"/>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rPr>
            </w:pPr>
            <w:r>
              <w:rPr>
                <w:rFonts w:cs="Arial"/>
              </w:rPr>
              <w:t>3.</w:t>
            </w:r>
          </w:p>
        </w:tc>
        <w:tc>
          <w:tcPr>
            <w:tcW w:w="9917" w:type="dxa"/>
            <w:tcBorders>
              <w:top w:val="single" w:sz="4" w:space="0" w:color="000000"/>
              <w:left w:val="single" w:sz="4" w:space="0" w:color="000000"/>
              <w:bottom w:val="single" w:sz="4" w:space="0" w:color="000000"/>
              <w:right w:val="single" w:sz="4" w:space="0" w:color="000000"/>
            </w:tcBorders>
          </w:tcPr>
          <w:p>
            <w:pPr>
              <w:pStyle w:val="Normal"/>
              <w:spacing w:lineRule="auto" w:line="256"/>
              <w:jc w:val="both"/>
              <w:rPr>
                <w:rFonts w:cs="Arial"/>
              </w:rPr>
            </w:pPr>
            <w:r>
              <w:rPr>
                <w:rFonts w:cs="Arial"/>
              </w:rPr>
              <w:t>To actively engage with the behaviours and values of the Council to promote and support the delivery of our Corporate plan.</w:t>
            </w:r>
          </w:p>
          <w:p>
            <w:pPr>
              <w:pStyle w:val="Normal"/>
              <w:jc w:val="both"/>
              <w:rPr>
                <w:rFonts w:cs="Arial"/>
              </w:rPr>
            </w:pPr>
            <w:r>
              <w:rPr>
                <w:rFonts w:cs="Arial"/>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rPr>
            </w:pPr>
            <w:r>
              <w:rPr>
                <w:rFonts w:cs="Arial"/>
              </w:rPr>
              <w:t>4.</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rPr>
            </w:pPr>
            <w:r>
              <w:rPr>
                <w:rFonts w:cs="Arial"/>
              </w:rPr>
              <w:t xml:space="preserve">To undertake continuous professional development and to be aware of new developments, legislation, initiatives, guidelines, policies and procedures as appropriate to the role. </w:t>
            </w:r>
          </w:p>
          <w:p>
            <w:pPr>
              <w:pStyle w:val="Normal"/>
              <w:jc w:val="both"/>
              <w:rPr>
                <w:rFonts w:cs="Arial"/>
                <w:b/>
              </w:rPr>
            </w:pPr>
            <w:r>
              <w:rPr>
                <w:rFonts w:cs="Arial"/>
                <w:b/>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rPr>
            </w:pPr>
            <w:r>
              <w:rPr>
                <w:rFonts w:cs="Arial"/>
              </w:rPr>
              <w:t>5.</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rPr>
            </w:pPr>
            <w:r>
              <w:rPr>
                <w:rFonts w:cs="Arial"/>
              </w:rPr>
              <w:t>Undertake any additional duties commensurate with the level of the post.</w:t>
            </w:r>
          </w:p>
          <w:p>
            <w:pPr>
              <w:pStyle w:val="Normal"/>
              <w:jc w:val="both"/>
              <w:rPr>
                <w:rFonts w:cs="Arial"/>
                <w:b/>
              </w:rPr>
            </w:pPr>
            <w:r>
              <w:rPr>
                <w:rFonts w:cs="Arial"/>
                <w:b/>
              </w:rPr>
            </w:r>
          </w:p>
        </w:tc>
      </w:tr>
    </w:tbl>
    <w:p>
      <w:pPr>
        <w:pStyle w:val="Normal"/>
        <w:rPr>
          <w:rFonts w:cs="Arial"/>
        </w:rPr>
      </w:pPr>
      <w:r>
        <w:rPr>
          <w:rFonts w:cs="Arial"/>
        </w:rPr>
      </w:r>
    </w:p>
    <w:tbl>
      <w:tblPr>
        <w:tblW w:w="10440" w:type="dxa"/>
        <w:jc w:val="center"/>
        <w:tblInd w:w="0"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ind w:hanging="1560" w:left="1560" w:right="0"/>
              <w:jc w:val="both"/>
              <w:rPr/>
            </w:pPr>
            <w:r>
              <w:rPr>
                <w:rFonts w:cs="Arial"/>
                <w:b/>
              </w:rPr>
              <w:t>Contacts:</w:t>
            </w:r>
            <w:r>
              <w:rPr>
                <w:rFonts w:cs="Arial"/>
              </w:rPr>
              <w:t xml:space="preserve"> </w:t>
            </w:r>
          </w:p>
          <w:p>
            <w:pPr>
              <w:pStyle w:val="Normal"/>
              <w:rPr>
                <w:rFonts w:cs="Arial"/>
              </w:rPr>
            </w:pPr>
            <w:r>
              <w:rPr>
                <w:rFonts w:cs="Arial"/>
              </w:rPr>
            </w:r>
          </w:p>
        </w:tc>
      </w:tr>
    </w:tbl>
    <w:p>
      <w:pPr>
        <w:pStyle w:val="Normal"/>
        <w:rPr>
          <w:rFonts w:cs="Arial"/>
        </w:rPr>
      </w:pPr>
      <w:r>
        <w:rPr>
          <w:rFonts w:cs="Arial"/>
        </w:rPr>
      </w:r>
    </w:p>
    <w:tbl>
      <w:tblPr>
        <w:tblW w:w="10440" w:type="dxa"/>
        <w:jc w:val="center"/>
        <w:tblInd w:w="0"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BodyText"/>
              <w:rPr>
                <w:rFonts w:cs="Arial"/>
                <w:sz w:val="24"/>
                <w:szCs w:val="24"/>
              </w:rPr>
            </w:pPr>
            <w:r>
              <w:rPr>
                <w:rFonts w:cs="Arial"/>
                <w:sz w:val="24"/>
                <w:szCs w:val="24"/>
              </w:rPr>
              <w:t>Relationship To Other Posts in the Department:</w:t>
            </w:r>
          </w:p>
          <w:p>
            <w:pPr>
              <w:pStyle w:val="Normal"/>
              <w:rPr>
                <w:rFonts w:cs="Arial"/>
              </w:rPr>
            </w:pPr>
            <w:r>
              <w:rPr>
                <w:rFonts w:cs="Arial"/>
              </w:rPr>
            </w:r>
          </w:p>
        </w:tc>
      </w:tr>
    </w:tbl>
    <w:p>
      <w:pPr>
        <w:pStyle w:val="Normal"/>
        <w:rPr>
          <w:rFonts w:cs="Arial"/>
        </w:rPr>
      </w:pPr>
      <w:r>
        <w:rPr>
          <w:rFonts w:cs="Arial"/>
        </w:rPr>
      </w:r>
    </w:p>
    <w:tbl>
      <w:tblPr>
        <w:tblW w:w="10439" w:type="dxa"/>
        <w:jc w:val="center"/>
        <w:tblInd w:w="0" w:type="dxa"/>
        <w:tblLayout w:type="fixed"/>
        <w:tblCellMar>
          <w:top w:w="0" w:type="dxa"/>
          <w:left w:w="108" w:type="dxa"/>
          <w:bottom w:w="0" w:type="dxa"/>
          <w:right w:w="108" w:type="dxa"/>
        </w:tblCellMar>
      </w:tblPr>
      <w:tblGrid>
        <w:gridCol w:w="2106"/>
        <w:gridCol w:w="8333"/>
      </w:tblGrid>
      <w:tr>
        <w:trPr>
          <w:trHeight w:val="518" w:hRule="atLeast"/>
        </w:trPr>
        <w:tc>
          <w:tcPr>
            <w:tcW w:w="2106" w:type="dxa"/>
            <w:tcBorders>
              <w:top w:val="single" w:sz="4" w:space="0" w:color="000000"/>
              <w:left w:val="single" w:sz="4" w:space="0" w:color="000000"/>
              <w:bottom w:val="single" w:sz="4" w:space="0" w:color="000000"/>
              <w:right w:val="single" w:sz="4" w:space="0" w:color="000000"/>
            </w:tcBorders>
          </w:tcPr>
          <w:p>
            <w:pPr>
              <w:pStyle w:val="Normal"/>
              <w:rPr>
                <w:rFonts w:cs="Arial"/>
                <w:b/>
              </w:rPr>
            </w:pPr>
            <w:r>
              <w:rPr>
                <w:rFonts w:cs="Arial"/>
                <w:b/>
              </w:rPr>
              <w:t xml:space="preserve">Responsible to:  </w:t>
            </w:r>
          </w:p>
          <w:p>
            <w:pPr>
              <w:pStyle w:val="Normal"/>
              <w:rPr>
                <w:rFonts w:cs="Arial"/>
              </w:rPr>
            </w:pPr>
            <w:r>
              <w:rPr>
                <w:rFonts w:cs="Arial"/>
              </w:rPr>
            </w:r>
          </w:p>
        </w:tc>
        <w:tc>
          <w:tcPr>
            <w:tcW w:w="8333" w:type="dxa"/>
            <w:tcBorders>
              <w:top w:val="single" w:sz="4" w:space="0" w:color="000000"/>
              <w:left w:val="single" w:sz="4" w:space="0" w:color="000000"/>
              <w:bottom w:val="single" w:sz="4" w:space="0" w:color="000000"/>
              <w:right w:val="single" w:sz="4" w:space="0" w:color="000000"/>
            </w:tcBorders>
          </w:tcPr>
          <w:p>
            <w:pPr>
              <w:pStyle w:val="BodyText"/>
              <w:rPr>
                <w:rFonts w:cs="Arial"/>
                <w:sz w:val="24"/>
                <w:szCs w:val="24"/>
              </w:rPr>
            </w:pPr>
            <w:r>
              <w:rPr>
                <w:rFonts w:cs="Arial"/>
                <w:sz w:val="24"/>
                <w:szCs w:val="24"/>
              </w:rPr>
              <w:t>Assistant Director Quality, Practice &amp; Partnerships</w:t>
            </w:r>
          </w:p>
        </w:tc>
      </w:tr>
      <w:tr>
        <w:trPr>
          <w:trHeight w:val="517" w:hRule="atLeast"/>
        </w:trPr>
        <w:tc>
          <w:tcPr>
            <w:tcW w:w="2106" w:type="dxa"/>
            <w:tcBorders>
              <w:top w:val="single" w:sz="4" w:space="0" w:color="000000"/>
              <w:left w:val="single" w:sz="4" w:space="0" w:color="000000"/>
              <w:bottom w:val="single" w:sz="4" w:space="0" w:color="000000"/>
              <w:right w:val="single" w:sz="4" w:space="0" w:color="000000"/>
            </w:tcBorders>
          </w:tcPr>
          <w:p>
            <w:pPr>
              <w:pStyle w:val="Normal"/>
              <w:rPr>
                <w:rFonts w:cs="Arial"/>
                <w:b/>
              </w:rPr>
            </w:pPr>
            <w:r>
              <w:rPr>
                <w:rFonts w:cs="Arial"/>
                <w:b/>
              </w:rPr>
              <w:t>Responsible for:</w:t>
            </w:r>
          </w:p>
        </w:tc>
        <w:tc>
          <w:tcPr>
            <w:tcW w:w="8333"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FFP Workforce development team</w:t>
            </w:r>
            <w:bookmarkStart w:id="0" w:name="_Hlk95121094"/>
            <w:bookmarkEnd w:id="0"/>
          </w:p>
        </w:tc>
      </w:tr>
    </w:tbl>
    <w:p>
      <w:pPr>
        <w:pStyle w:val="Normal"/>
        <w:rPr>
          <w:rFonts w:cs="Arial"/>
        </w:rPr>
      </w:pPr>
      <w:r>
        <w:rPr>
          <w:rFonts w:cs="Arial"/>
        </w:rPr>
      </w:r>
    </w:p>
    <w:tbl>
      <w:tblPr>
        <w:tblW w:w="10440" w:type="dxa"/>
        <w:jc w:val="left"/>
        <w:tblInd w:w="-6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rFonts w:cs="Arial"/>
                <w:b/>
              </w:rPr>
            </w:pPr>
            <w:r>
              <w:rPr>
                <w:rFonts w:cs="Arial"/>
                <w:b/>
              </w:rPr>
              <w:t xml:space="preserve">Special Conditions:  </w:t>
            </w:r>
          </w:p>
          <w:p>
            <w:pPr>
              <w:pStyle w:val="Normal"/>
              <w:rPr>
                <w:rFonts w:cs="Arial"/>
              </w:rPr>
            </w:pPr>
            <w:r>
              <w:rPr>
                <w:rFonts w:cs="Arial"/>
              </w:rPr>
            </w:r>
          </w:p>
          <w:p>
            <w:pPr>
              <w:pStyle w:val="Normal"/>
              <w:rPr>
                <w:rFonts w:cs="Arial"/>
              </w:rPr>
            </w:pPr>
            <w:r>
              <w:rPr>
                <w:rFonts w:cs="Arial"/>
              </w:rPr>
              <w:t>None</w:t>
            </w:r>
          </w:p>
        </w:tc>
      </w:tr>
    </w:tbl>
    <w:p>
      <w:pPr>
        <w:pStyle w:val="Normal"/>
        <w:rPr>
          <w:rFonts w:cs="Arial"/>
        </w:rPr>
      </w:pPr>
      <w:r>
        <w:rPr>
          <w:rFonts w:cs="Arial"/>
        </w:rPr>
      </w:r>
    </w:p>
    <w:tbl>
      <w:tblPr>
        <w:tblW w:w="10440" w:type="dxa"/>
        <w:jc w:val="left"/>
        <w:tblInd w:w="-6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rPr>
            </w:pPr>
            <w:r>
              <w:rPr>
                <w:rFonts w:cs="Arial"/>
                <w:b/>
              </w:rPr>
              <w:t>Values and Behaviours:</w:t>
            </w:r>
          </w:p>
          <w:p>
            <w:pPr>
              <w:pStyle w:val="Normal"/>
              <w:rPr>
                <w:rFonts w:cs="Arial"/>
                <w:b/>
              </w:rPr>
            </w:pPr>
            <w:r>
              <w:rPr>
                <w:rFonts w:cs="Arial"/>
                <w:b/>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56" w:before="0" w:after="379"/>
              <w:jc w:val="both"/>
              <w:rPr/>
            </w:pPr>
            <w:r>
              <w:rPr>
                <w:rFonts w:eastAsia="Helvetica;Arial" w:cs="Arial"/>
                <w:lang w:val="en-US"/>
              </w:rPr>
              <w:t>B</w:t>
            </w:r>
            <w:r>
              <w:rPr>
                <w:rFonts w:eastAsia="Arial" w:cs="Arial"/>
                <w:lang w:val="en-US"/>
              </w:rPr>
              <w:t>y living our Values and Behaviours we will deliver the change we need to meet our Corporate ambitions for Oldham.</w:t>
            </w:r>
          </w:p>
          <w:p>
            <w:pPr>
              <w:pStyle w:val="Normal"/>
              <w:spacing w:lineRule="auto" w:line="256" w:before="280" w:after="280"/>
              <w:jc w:val="both"/>
              <w:rPr>
                <w:rFonts w:eastAsia="Arial" w:cs="Arial"/>
                <w:b/>
                <w:bCs/>
                <w:lang w:val="en-US" w:eastAsia="en-GB"/>
              </w:rPr>
            </w:pPr>
            <w:r>
              <w:rPr>
                <w:rFonts w:eastAsia="Arial" w:cs="Arial"/>
                <w:b/>
                <w:bCs/>
                <w:lang w:val="en-US" w:eastAsia="en-GB"/>
              </w:rPr>
              <w:t>Our Values:</w:t>
            </w:r>
          </w:p>
          <w:p>
            <w:pPr>
              <w:pStyle w:val="Normal"/>
              <w:spacing w:lineRule="auto" w:line="256" w:before="280" w:after="280"/>
              <w:jc w:val="both"/>
              <w:rPr>
                <w:rFonts w:eastAsia="Arial" w:cs="Arial"/>
                <w:b/>
                <w:bCs/>
                <w:lang w:val="en-US"/>
              </w:rPr>
            </w:pPr>
            <w:r>
              <w:rPr>
                <w:rFonts w:eastAsia="Arial" w:cs="Arial"/>
                <w:b/>
                <w:bCs/>
                <w:lang w:val="en-US"/>
              </w:rPr>
              <w:t>Proud</w:t>
            </w:r>
          </w:p>
          <w:p>
            <w:pPr>
              <w:pStyle w:val="Normal"/>
              <w:shd w:fill="FFFFFF" w:val="clear"/>
              <w:spacing w:before="0" w:after="379"/>
              <w:jc w:val="both"/>
              <w:rPr>
                <w:rFonts w:eastAsia="Arial" w:cs="Arial"/>
                <w:lang w:val="en-US"/>
              </w:rPr>
            </w:pPr>
            <w:r>
              <w:rPr>
                <w:rFonts w:eastAsia="Arial" w:cs="Arial"/>
                <w:lang w:val="en-US"/>
              </w:rPr>
              <w:t>We take pride not only in what we deliver for the residents of Oldham but also in how we deliver it.</w:t>
            </w:r>
          </w:p>
          <w:p>
            <w:pPr>
              <w:pStyle w:val="Normal"/>
              <w:spacing w:lineRule="auto" w:line="256" w:before="280" w:after="280"/>
              <w:jc w:val="both"/>
              <w:rPr>
                <w:rFonts w:eastAsia="Arial" w:cs="Arial"/>
                <w:b/>
                <w:bCs/>
                <w:lang w:val="en-US"/>
              </w:rPr>
            </w:pPr>
            <w:r>
              <w:rPr>
                <w:rFonts w:eastAsia="Arial" w:cs="Arial"/>
                <w:b/>
                <w:bCs/>
                <w:lang w:val="en-US"/>
              </w:rPr>
              <w:t>Ambitious</w:t>
            </w:r>
          </w:p>
          <w:p>
            <w:pPr>
              <w:pStyle w:val="Normal"/>
              <w:shd w:fill="FFFFFF" w:val="clear"/>
              <w:spacing w:before="0" w:after="379"/>
              <w:jc w:val="both"/>
              <w:rPr>
                <w:rFonts w:eastAsia="Arial" w:cs="Arial"/>
                <w:lang w:val="en-US"/>
              </w:rPr>
            </w:pPr>
            <w:r>
              <w:rPr>
                <w:rFonts w:eastAsia="Arial" w:cs="Arial"/>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Cs/>
                <w:lang w:val="en-US"/>
              </w:rPr>
            </w:pPr>
            <w:r>
              <w:rPr>
                <w:rFonts w:eastAsia="Arial" w:cs="Arial"/>
                <w:b/>
                <w:bCs/>
                <w:lang w:val="en-US"/>
              </w:rPr>
              <w:t>Together</w:t>
            </w:r>
          </w:p>
          <w:p>
            <w:pPr>
              <w:pStyle w:val="Normal"/>
              <w:shd w:fill="FFFFFF" w:val="clear"/>
              <w:spacing w:before="0" w:after="379"/>
              <w:jc w:val="both"/>
              <w:rPr>
                <w:rFonts w:eastAsia="Arial" w:cs="Arial"/>
                <w:lang w:val="en-US"/>
              </w:rPr>
            </w:pPr>
            <w:r>
              <w:rPr>
                <w:rFonts w:eastAsia="Arial" w:cs="Arial"/>
                <w:lang w:val="en-US"/>
              </w:rPr>
              <w:t>We believe in shared solutions, working across sectors and with our communities to achieve common goals and deliver the quality services Oldham deserves.</w:t>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rPr/>
            </w:pPr>
            <w:r>
              <w:rPr>
                <w:rFonts w:eastAsia="Arial" w:cs="Arial"/>
                <w:lang w:val="en"/>
              </w:rPr>
              <w:t xml:space="preserve">We have </w:t>
            </w:r>
            <w:r>
              <w:rPr>
                <w:rFonts w:eastAsia="Arial" w:cs="Arial"/>
                <w:b/>
                <w:bCs/>
                <w:lang w:val="en"/>
              </w:rPr>
              <w:t xml:space="preserve">five Behaviours </w:t>
            </w:r>
            <w:r>
              <w:rPr>
                <w:rFonts w:eastAsia="Arial" w:cs="Arial"/>
                <w:lang w:val="en"/>
              </w:rPr>
              <w:t>which outline the priority areas of focus for staff at all levels:</w:t>
            </w:r>
          </w:p>
          <w:p>
            <w:pPr>
              <w:pStyle w:val="Normal"/>
              <w:rPr>
                <w:rFonts w:eastAsia="Arial" w:cs="Arial"/>
              </w:rPr>
            </w:pPr>
            <w:r>
              <w:rPr>
                <w:rFonts w:eastAsia="Arial" w:cs="Arial"/>
              </w:rPr>
            </w:r>
          </w:p>
          <w:p>
            <w:pPr>
              <w:pStyle w:val="ListParagraph"/>
              <w:numPr>
                <w:ilvl w:val="0"/>
                <w:numId w:val="2"/>
              </w:numPr>
              <w:rPr/>
            </w:pPr>
            <w:r>
              <w:rPr>
                <w:rFonts w:eastAsia="Arial" w:cs="Arial" w:ascii="Arial" w:hAnsi="Arial"/>
                <w:sz w:val="24"/>
                <w:szCs w:val="24"/>
              </w:rPr>
              <w:t>Work with a Resident Focus</w:t>
            </w:r>
          </w:p>
          <w:p>
            <w:pPr>
              <w:pStyle w:val="ListParagraph"/>
              <w:numPr>
                <w:ilvl w:val="0"/>
                <w:numId w:val="2"/>
              </w:numPr>
              <w:rPr/>
            </w:pPr>
            <w:r>
              <w:rPr>
                <w:rFonts w:eastAsia="Arial" w:cs="Arial" w:ascii="Arial" w:hAnsi="Arial"/>
                <w:sz w:val="24"/>
                <w:szCs w:val="24"/>
              </w:rPr>
              <w:t>Support Local Leaders</w:t>
            </w:r>
          </w:p>
          <w:p>
            <w:pPr>
              <w:pStyle w:val="ListParagraph"/>
              <w:numPr>
                <w:ilvl w:val="0"/>
                <w:numId w:val="2"/>
              </w:numPr>
              <w:rPr/>
            </w:pPr>
            <w:r>
              <w:rPr>
                <w:rFonts w:eastAsia="Arial" w:cs="Arial" w:ascii="Arial" w:hAnsi="Arial"/>
                <w:sz w:val="24"/>
                <w:szCs w:val="24"/>
              </w:rPr>
              <w:t>Committed to the Borough</w:t>
            </w:r>
          </w:p>
          <w:p>
            <w:pPr>
              <w:pStyle w:val="ListParagraph"/>
              <w:numPr>
                <w:ilvl w:val="0"/>
                <w:numId w:val="2"/>
              </w:numPr>
              <w:rPr/>
            </w:pPr>
            <w:r>
              <w:rPr>
                <w:rFonts w:eastAsia="Arial" w:cs="Arial" w:ascii="Arial" w:hAnsi="Arial"/>
                <w:sz w:val="24"/>
                <w:szCs w:val="24"/>
              </w:rPr>
              <w:t>Take Ownership and Drive Change</w:t>
            </w:r>
          </w:p>
          <w:p>
            <w:pPr>
              <w:pStyle w:val="ListParagraph"/>
              <w:numPr>
                <w:ilvl w:val="0"/>
                <w:numId w:val="2"/>
              </w:numPr>
              <w:rPr/>
            </w:pPr>
            <w:r>
              <w:rPr>
                <w:rFonts w:eastAsia="Arial" w:cs="Arial" w:ascii="Arial" w:hAnsi="Arial"/>
                <w:sz w:val="24"/>
                <w:szCs w:val="24"/>
              </w:rPr>
              <w:t xml:space="preserve">Deliver High Performance </w:t>
            </w:r>
          </w:p>
          <w:p>
            <w:pPr>
              <w:pStyle w:val="Normal"/>
              <w:rPr>
                <w:rFonts w:eastAsia="Arial" w:cs="Arial"/>
              </w:rPr>
            </w:pPr>
            <w:r>
              <w:rPr>
                <w:rFonts w:eastAsia="Arial" w:cs="Arial"/>
              </w:rPr>
            </w:r>
          </w:p>
          <w:p>
            <w:pPr>
              <w:pStyle w:val="Normal"/>
              <w:rPr/>
            </w:pPr>
            <w:r>
              <w:rPr>
                <w:rFonts w:eastAsia="Arial" w:cs="Arial"/>
              </w:rPr>
              <w:t xml:space="preserve">More information about our Corporate Plan and our Values and Behaviours can be found on our </w:t>
            </w:r>
            <w:r>
              <w:rPr>
                <w:rStyle w:val="Hyperlink"/>
                <w:rFonts w:eastAsia="Arial" w:cs="Arial"/>
              </w:rPr>
              <w:t>Greater. Jobs pages</w:t>
            </w:r>
            <w:r>
              <w:rPr>
                <w:rFonts w:eastAsia="Arial" w:cs="Arial"/>
              </w:rPr>
              <w:t xml:space="preserve"> together with information about the staff benefits we offer.</w:t>
            </w:r>
          </w:p>
          <w:p>
            <w:pPr>
              <w:pStyle w:val="Normal"/>
              <w:rPr>
                <w:rFonts w:cs="Arial"/>
                <w:b/>
              </w:rPr>
            </w:pPr>
            <w:r>
              <w:rPr>
                <w:rFonts w:cs="Arial"/>
                <w:b/>
              </w:rPr>
            </w:r>
          </w:p>
        </w:tc>
      </w:tr>
    </w:tbl>
    <w:p>
      <w:pPr>
        <w:pStyle w:val="Normal"/>
        <w:rPr>
          <w:rFonts w:cs="Arial"/>
        </w:rPr>
      </w:pPr>
      <w:r>
        <w:rPr>
          <w:rFonts w:cs="Arial"/>
        </w:rPr>
      </w:r>
    </w:p>
    <w:p>
      <w:pPr>
        <w:pStyle w:val="Normal"/>
        <w:rPr>
          <w:rFonts w:cs="Arial"/>
        </w:rPr>
      </w:pPr>
      <w:r>
        <w:rPr>
          <w:rFonts w:cs="Arial"/>
        </w:rPr>
      </w:r>
    </w:p>
    <w:tbl>
      <w:tblPr>
        <w:tblW w:w="10439" w:type="dxa"/>
        <w:jc w:val="left"/>
        <w:tblInd w:w="-6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sz w:val="24"/>
                <w:szCs w:val="24"/>
              </w:rPr>
            </w:pPr>
            <w:r>
              <w:rPr>
                <w:rFonts w:cs="Arial"/>
                <w:sz w:val="24"/>
                <w:szCs w:val="24"/>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rPr>
            </w:pPr>
            <w:r>
              <w:rPr>
                <w:rFonts w:cs="Arial"/>
                <w:b/>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rPr>
            </w:pPr>
            <w:r>
              <w:rPr>
                <w:rFonts w:cs="Arial"/>
                <w:b/>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rPr>
            </w:pPr>
            <w:r>
              <w:rPr>
                <w:rFonts w:cs="Arial"/>
                <w:b/>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rPr>
            </w:pPr>
            <w:r>
              <w:rPr>
                <w:rFonts w:cs="Arial"/>
                <w:b/>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rPr>
            </w:pPr>
            <w:r>
              <w:rPr>
                <w:rFonts w:cs="Arial"/>
              </w:rPr>
              <w:t>02.09.2026</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rPr>
            </w:pPr>
            <w:r>
              <w:rPr>
                <w:rFonts w:cs="Arial"/>
              </w:rPr>
              <w:t xml:space="preserve">Jude Brown </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rPr>
            </w:pPr>
            <w:r>
              <w:rPr>
                <w:rFonts w:cs="Arial"/>
              </w:rPr>
              <w:t xml:space="preserve">Assistant Director – Safeguarding and Quality Assurance </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rPr>
            </w:pPr>
            <w:r>
              <w:rPr>
                <w:rFonts w:cs="Arial"/>
                <w:b/>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rPr>
            </w:pPr>
            <w:r>
              <w:rPr>
                <w:rFonts w:cs="Arial"/>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rPr>
            </w:pPr>
            <w:r>
              <w:rPr>
                <w:rFonts w:cs="Arial"/>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rPr>
            </w:pPr>
            <w:r>
              <w:rPr>
                <w:rFonts w:cs="Arial"/>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rPr>
            </w:pPr>
            <w:r>
              <w:rPr>
                <w:rFonts w:cs="Arial"/>
                <w:b/>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rPr>
            </w:pPr>
            <w:r>
              <w:rPr>
                <w:rFonts w:cs="Arial"/>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rPr>
            </w:pPr>
            <w:r>
              <w:rPr>
                <w:rFonts w:cs="Arial"/>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rPr>
            </w:pPr>
            <w:r>
              <w:rPr>
                <w:rFonts w:cs="Arial"/>
              </w:rPr>
            </w:r>
          </w:p>
        </w:tc>
      </w:tr>
    </w:tbl>
    <w:p>
      <w:pPr>
        <w:pStyle w:val="Normal"/>
        <w:jc w:val="center"/>
        <w:rPr>
          <w:rFonts w:cs="Arial"/>
          <w:b/>
          <w:bCs/>
          <w:u w:val="single"/>
        </w:rPr>
      </w:pPr>
      <w:r>
        <w:br w:type="page"/>
      </w:r>
      <w:r>
        <w:rPr>
          <w:rFonts w:cs="Arial"/>
          <w:b/>
          <w:bCs/>
          <w:u w:val="single"/>
        </w:rPr>
        <w:t>OLDHAM COUNCIL</w:t>
      </w:r>
    </w:p>
    <w:p>
      <w:pPr>
        <w:pStyle w:val="Normal"/>
        <w:jc w:val="center"/>
        <w:rPr>
          <w:rFonts w:cs="Arial"/>
          <w:b/>
          <w:bCs/>
          <w:u w:val="single"/>
        </w:rPr>
      </w:pPr>
      <w:r>
        <w:rPr>
          <w:rFonts w:cs="Arial"/>
          <w:b/>
          <w:bCs/>
          <w:u w:val="single"/>
        </w:rPr>
      </w:r>
    </w:p>
    <w:p>
      <w:pPr>
        <w:pStyle w:val="Normal"/>
        <w:jc w:val="center"/>
        <w:rPr>
          <w:rFonts w:cs="Arial"/>
          <w:b/>
          <w:bCs/>
          <w:u w:val="single"/>
        </w:rPr>
      </w:pPr>
      <w:r>
        <w:rPr>
          <w:rFonts w:cs="Arial"/>
          <w:b/>
          <w:bCs/>
          <w:u w:val="single"/>
        </w:rPr>
        <w:t>PERSON SPECIFICATION</w:t>
      </w:r>
    </w:p>
    <w:p>
      <w:pPr>
        <w:pStyle w:val="Normal"/>
        <w:rPr>
          <w:rFonts w:cs="Arial"/>
          <w:bCs/>
        </w:rPr>
      </w:pPr>
      <w:r>
        <w:rPr>
          <w:rFonts w:cs="Arial"/>
          <w:bCs/>
        </w:rPr>
      </w:r>
    </w:p>
    <w:p>
      <w:pPr>
        <w:pStyle w:val="EndnoteText"/>
        <w:rPr>
          <w:rFonts w:ascii="Arial" w:hAnsi="Arial" w:cs="Arial"/>
          <w:b/>
          <w:bCs/>
          <w:szCs w:val="24"/>
        </w:rPr>
      </w:pPr>
      <w:r>
        <w:rPr>
          <w:rFonts w:cs="Arial" w:ascii="Arial" w:hAnsi="Arial"/>
          <w:b/>
          <w:bCs/>
          <w:szCs w:val="24"/>
        </w:rPr>
      </w:r>
    </w:p>
    <w:p>
      <w:pPr>
        <w:pStyle w:val="EndnoteText"/>
        <w:rPr/>
      </w:pPr>
      <w:r>
        <w:rPr>
          <w:rFonts w:cs="Arial" w:ascii="Arial" w:hAnsi="Arial"/>
          <w:b/>
          <w:bCs/>
          <w:szCs w:val="24"/>
        </w:rPr>
        <w:t xml:space="preserve">Job Title: </w:t>
      </w:r>
      <w:r>
        <w:rPr>
          <w:rFonts w:cs="Arial" w:ascii="Arial" w:hAnsi="Arial"/>
          <w:szCs w:val="24"/>
        </w:rPr>
        <w:t>Children’s Workforce Development Strategic Lead</w:t>
      </w:r>
    </w:p>
    <w:p>
      <w:pPr>
        <w:pStyle w:val="Normal"/>
        <w:rPr>
          <w:rFonts w:cs="Arial"/>
        </w:rPr>
      </w:pPr>
      <w:r>
        <w:rPr>
          <w:rFonts w:cs="Arial"/>
        </w:rPr>
      </w:r>
    </w:p>
    <w:tbl>
      <w:tblPr>
        <w:tblW w:w="10439" w:type="dxa"/>
        <w:jc w:val="left"/>
        <w:tblInd w:w="-604" w:type="dxa"/>
        <w:tblLayout w:type="fixed"/>
        <w:tblCellMar>
          <w:top w:w="0" w:type="dxa"/>
          <w:left w:w="108" w:type="dxa"/>
          <w:bottom w:w="0" w:type="dxa"/>
          <w:right w:w="108" w:type="dxa"/>
        </w:tblCellMar>
      </w:tblPr>
      <w:tblGrid>
        <w:gridCol w:w="1964"/>
        <w:gridCol w:w="3795"/>
        <w:gridCol w:w="3060"/>
        <w:gridCol w:w="1620"/>
      </w:tblGrid>
      <w:tr>
        <w:trPr>
          <w:trHeight w:val="1000" w:hRule="atLeast"/>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rPr>
            </w:pPr>
            <w:r>
              <w:rPr>
                <w:rFonts w:cs="Arial"/>
                <w:b/>
                <w:bCs/>
              </w:rPr>
            </w:r>
          </w:p>
        </w:tc>
        <w:tc>
          <w:tcPr>
            <w:tcW w:w="3795"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rPr>
            </w:pPr>
            <w:r>
              <w:rPr>
                <w:rFonts w:cs="Arial"/>
                <w:b/>
                <w:bCs/>
              </w:rPr>
            </w:r>
          </w:p>
          <w:p>
            <w:pPr>
              <w:pStyle w:val="Normal"/>
              <w:jc w:val="center"/>
              <w:rPr>
                <w:rFonts w:cs="Arial"/>
                <w:b/>
                <w:bCs/>
              </w:rPr>
            </w:pPr>
            <w:r>
              <w:rPr>
                <w:rFonts w:cs="Arial"/>
                <w:b/>
                <w:bCs/>
              </w:rPr>
              <w:t xml:space="preserve">Selection criteria </w:t>
            </w:r>
          </w:p>
          <w:p>
            <w:pPr>
              <w:pStyle w:val="Normal"/>
              <w:jc w:val="center"/>
              <w:rPr>
                <w:rFonts w:cs="Arial"/>
                <w:b/>
                <w:bCs/>
              </w:rPr>
            </w:pPr>
            <w:r>
              <w:rPr>
                <w:rFonts w:cs="Arial"/>
                <w:b/>
                <w:bCs/>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rPr>
            </w:pPr>
            <w:r>
              <w:rPr>
                <w:rFonts w:cs="Arial"/>
                <w:b/>
                <w:bCs/>
              </w:rPr>
            </w:r>
          </w:p>
          <w:p>
            <w:pPr>
              <w:pStyle w:val="Normal"/>
              <w:jc w:val="center"/>
              <w:rPr>
                <w:rFonts w:cs="Arial"/>
                <w:b/>
                <w:bCs/>
              </w:rPr>
            </w:pPr>
            <w:r>
              <w:rPr>
                <w:rFonts w:cs="Arial"/>
                <w:b/>
                <w:bCs/>
              </w:rPr>
              <w:t xml:space="preserve">Selection criteria </w:t>
            </w:r>
          </w:p>
          <w:p>
            <w:pPr>
              <w:pStyle w:val="Normal"/>
              <w:jc w:val="center"/>
              <w:rPr>
                <w:rFonts w:cs="Arial"/>
                <w:b/>
                <w:bCs/>
              </w:rPr>
            </w:pPr>
            <w:r>
              <w:rPr>
                <w:rFonts w:cs="Arial"/>
                <w:b/>
                <w:bCs/>
              </w:rPr>
              <w:t>(Desirable)</w:t>
            </w:r>
          </w:p>
          <w:p>
            <w:pPr>
              <w:pStyle w:val="Normal"/>
              <w:jc w:val="center"/>
              <w:rPr>
                <w:rFonts w:cs="Arial"/>
                <w:b/>
                <w:bCs/>
              </w:rPr>
            </w:pPr>
            <w:r>
              <w:rPr>
                <w:rFonts w:cs="Arial"/>
                <w:b/>
                <w:bCs/>
              </w:rPr>
            </w:r>
          </w:p>
        </w:tc>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rPr>
            </w:pPr>
            <w:r>
              <w:rPr>
                <w:rFonts w:cs="Arial"/>
                <w:b/>
                <w:bCs/>
              </w:rPr>
            </w:r>
          </w:p>
          <w:p>
            <w:pPr>
              <w:pStyle w:val="Normal"/>
              <w:jc w:val="center"/>
              <w:rPr>
                <w:rFonts w:cs="Arial"/>
                <w:b/>
                <w:bCs/>
              </w:rPr>
            </w:pPr>
            <w:r>
              <w:rPr>
                <w:rFonts w:cs="Arial"/>
                <w:b/>
                <w:bCs/>
              </w:rPr>
              <w:t>How Assessed</w:t>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rPr>
            </w:pPr>
            <w:r>
              <w:rPr>
                <w:rFonts w:cs="Arial"/>
                <w:b/>
                <w:bCs/>
              </w:rPr>
            </w:r>
          </w:p>
          <w:p>
            <w:pPr>
              <w:pStyle w:val="BodyText"/>
              <w:rPr>
                <w:rFonts w:cs="Arial"/>
                <w:bCs/>
                <w:sz w:val="24"/>
                <w:szCs w:val="24"/>
              </w:rPr>
            </w:pPr>
            <w:r>
              <w:rPr>
                <w:rFonts w:cs="Arial"/>
                <w:bCs/>
                <w:sz w:val="24"/>
                <w:szCs w:val="24"/>
              </w:rPr>
              <w:t>Education &amp; Qualifications</w:t>
            </w:r>
          </w:p>
          <w:p>
            <w:pPr>
              <w:pStyle w:val="Normal"/>
              <w:rPr>
                <w:rFonts w:cs="Arial"/>
                <w:b/>
                <w:bCs/>
              </w:rPr>
            </w:pPr>
            <w:r>
              <w:rPr>
                <w:rFonts w:cs="Arial"/>
                <w:b/>
                <w:bCs/>
              </w:rPr>
            </w:r>
          </w:p>
        </w:tc>
        <w:tc>
          <w:tcPr>
            <w:tcW w:w="3795" w:type="dxa"/>
            <w:tcBorders>
              <w:top w:val="single" w:sz="4" w:space="0" w:color="000000"/>
              <w:left w:val="single" w:sz="4" w:space="0" w:color="000000"/>
              <w:bottom w:val="single" w:sz="4" w:space="0" w:color="000000"/>
              <w:right w:val="single" w:sz="4" w:space="0" w:color="000000"/>
            </w:tcBorders>
          </w:tcPr>
          <w:p>
            <w:pPr>
              <w:pStyle w:val="Normal"/>
              <w:rPr>
                <w:rFonts w:cs="Arial"/>
                <w:lang w:val="en-US"/>
              </w:rPr>
            </w:pPr>
            <w:r>
              <w:rPr>
                <w:rFonts w:cs="Arial"/>
                <w:lang w:val="en-US"/>
              </w:rPr>
              <w:t>Educated to degree level or able to demonstrate equivalent knowledge, skills and experience gained through significant professional practice and leadership experience relevant to the role</w:t>
            </w:r>
          </w:p>
          <w:p>
            <w:pPr>
              <w:pStyle w:val="Normal"/>
              <w:rPr>
                <w:rFonts w:cs="Arial"/>
              </w:rPr>
            </w:pPr>
            <w:r>
              <w:rPr>
                <w:rFonts w:cs="Arial"/>
              </w:rPr>
            </w:r>
          </w:p>
        </w:tc>
        <w:tc>
          <w:tcPr>
            <w:tcW w:w="306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 w:val="24"/>
                <w:szCs w:val="24"/>
              </w:rPr>
            </w:pPr>
            <w:r>
              <w:rPr>
                <w:rFonts w:cs="Arial"/>
                <w:sz w:val="24"/>
                <w:szCs w:val="24"/>
              </w:rPr>
              <w:t>Social Work qualification and registration, or equivalent professional qualification within children's services.</w:t>
            </w:r>
          </w:p>
          <w:p>
            <w:pPr>
              <w:pStyle w:val="Header"/>
              <w:tabs>
                <w:tab w:val="clear" w:pos="4153"/>
                <w:tab w:val="clear" w:pos="8306"/>
              </w:tabs>
              <w:rPr>
                <w:rFonts w:cs="Arial"/>
                <w:sz w:val="24"/>
                <w:szCs w:val="24"/>
              </w:rPr>
            </w:pPr>
            <w:r>
              <w:rPr>
                <w:rFonts w:cs="Arial"/>
                <w:sz w:val="24"/>
                <w:szCs w:val="24"/>
              </w:rPr>
            </w:r>
          </w:p>
          <w:p>
            <w:pPr>
              <w:pStyle w:val="Header"/>
              <w:tabs>
                <w:tab w:val="clear" w:pos="4153"/>
                <w:tab w:val="clear" w:pos="8306"/>
              </w:tabs>
              <w:rPr>
                <w:rFonts w:cs="Arial"/>
                <w:sz w:val="24"/>
                <w:szCs w:val="24"/>
              </w:rPr>
            </w:pPr>
            <w:r>
              <w:rPr>
                <w:rFonts w:cs="Arial"/>
                <w:sz w:val="24"/>
                <w:szCs w:val="24"/>
              </w:rPr>
              <w:t>Project management qualification (e.g. PRINCE2, MSP, Agile).</w:t>
            </w:r>
          </w:p>
        </w:tc>
        <w:tc>
          <w:tcPr>
            <w:tcW w:w="1620" w:type="dxa"/>
            <w:tcBorders>
              <w:top w:val="single" w:sz="4" w:space="0" w:color="000000"/>
              <w:left w:val="single" w:sz="4" w:space="0" w:color="000000"/>
              <w:bottom w:val="single" w:sz="4" w:space="0" w:color="000000"/>
              <w:right w:val="single" w:sz="4" w:space="0" w:color="000000"/>
            </w:tcBorders>
          </w:tcPr>
          <w:p>
            <w:pPr>
              <w:pStyle w:val="EndnoteText"/>
              <w:jc w:val="center"/>
              <w:rPr>
                <w:rFonts w:ascii="Arial" w:hAnsi="Arial" w:cs="Arial"/>
                <w:szCs w:val="24"/>
              </w:rPr>
            </w:pPr>
            <w:r>
              <w:rPr>
                <w:rFonts w:cs="Arial" w:ascii="Arial" w:hAnsi="Arial"/>
                <w:szCs w:val="24"/>
              </w:rPr>
              <w:t>AF/I</w:t>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rPr>
            </w:pPr>
            <w:r>
              <w:rPr>
                <w:rFonts w:cs="Arial"/>
                <w:b/>
                <w:bCs/>
              </w:rPr>
            </w:r>
          </w:p>
          <w:p>
            <w:pPr>
              <w:pStyle w:val="Normal"/>
              <w:rPr>
                <w:rFonts w:cs="Arial"/>
                <w:b/>
                <w:bCs/>
              </w:rPr>
            </w:pPr>
            <w:r>
              <w:rPr>
                <w:rFonts w:cs="Arial"/>
                <w:b/>
                <w:bCs/>
              </w:rPr>
              <w:t>Experience</w:t>
            </w:r>
          </w:p>
          <w:p>
            <w:pPr>
              <w:pStyle w:val="Normal"/>
              <w:rPr>
                <w:rFonts w:cs="Arial"/>
                <w:b/>
                <w:bCs/>
              </w:rPr>
            </w:pPr>
            <w:r>
              <w:rPr>
                <w:rFonts w:cs="Arial"/>
                <w:b/>
                <w:bCs/>
              </w:rPr>
            </w:r>
          </w:p>
        </w:tc>
        <w:tc>
          <w:tcPr>
            <w:tcW w:w="3795"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Professional background in social care, early help, family support, education, youth services or another child-focused service area.</w:t>
            </w:r>
          </w:p>
          <w:p>
            <w:pPr>
              <w:pStyle w:val="Normal"/>
              <w:rPr>
                <w:rFonts w:cs="Arial"/>
              </w:rPr>
            </w:pPr>
            <w:r>
              <w:rPr>
                <w:rFonts w:cs="Arial"/>
              </w:rPr>
            </w:r>
          </w:p>
          <w:p>
            <w:pPr>
              <w:pStyle w:val="Normal"/>
              <w:rPr>
                <w:rFonts w:cs="Arial"/>
              </w:rPr>
            </w:pPr>
            <w:r>
              <w:rPr>
                <w:rFonts w:cs="Arial"/>
              </w:rPr>
              <w:t>Experience of managing complex projects involving multiple stakeholders.</w:t>
            </w:r>
          </w:p>
          <w:p>
            <w:pPr>
              <w:pStyle w:val="Normal"/>
              <w:rPr>
                <w:rFonts w:cs="Arial"/>
              </w:rPr>
            </w:pPr>
            <w:r>
              <w:rPr>
                <w:rFonts w:cs="Arial"/>
              </w:rPr>
            </w:r>
          </w:p>
          <w:p>
            <w:pPr>
              <w:pStyle w:val="Normal"/>
              <w:rPr>
                <w:rFonts w:cs="Arial"/>
              </w:rPr>
            </w:pPr>
            <w:r>
              <w:rPr>
                <w:rFonts w:cs="Arial"/>
              </w:rPr>
              <w:t>Experience of recruitment, retention, workforce planning and workforce development strategies.</w:t>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t>Experience of working effectively with senior leaders and strategic partnerships.</w:t>
            </w:r>
          </w:p>
          <w:p>
            <w:pPr>
              <w:pStyle w:val="Normal"/>
              <w:rPr>
                <w:rFonts w:cs="Arial"/>
              </w:rPr>
            </w:pPr>
            <w:r>
              <w:rPr>
                <w:rFonts w:cs="Arial"/>
              </w:rPr>
            </w:r>
          </w:p>
          <w:p>
            <w:pPr>
              <w:pStyle w:val="Normal"/>
              <w:rPr>
                <w:rFonts w:cs="Arial"/>
              </w:rPr>
            </w:pPr>
            <w:r>
              <w:rPr>
                <w:rFonts w:cs="Arial"/>
              </w:rPr>
              <w:t>Demonstrable experience of delivering improvements through collaboration, influence and engagement.</w:t>
            </w:r>
          </w:p>
        </w:tc>
        <w:tc>
          <w:tcPr>
            <w:tcW w:w="3060"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Experience of regional partnership working.</w:t>
            </w:r>
          </w:p>
          <w:p>
            <w:pPr>
              <w:pStyle w:val="Normal"/>
              <w:rPr>
                <w:rFonts w:cs="Arial"/>
              </w:rPr>
            </w:pPr>
            <w:r>
              <w:rPr>
                <w:rFonts w:cs="Arial"/>
              </w:rPr>
            </w:r>
          </w:p>
          <w:p>
            <w:pPr>
              <w:pStyle w:val="Normal"/>
              <w:rPr>
                <w:rFonts w:cs="Arial"/>
              </w:rPr>
            </w:pPr>
            <w:r>
              <w:rPr>
                <w:rFonts w:cs="Arial"/>
              </w:rPr>
              <w:t>Experience of workforce initiatives linked to children's social care reform.</w:t>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rPr>
            </w:pPr>
            <w:r>
              <w:rPr>
                <w:rFonts w:cs="Arial"/>
              </w:rPr>
              <w:t>AF/I</w:t>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rPr>
            </w:pPr>
            <w:r>
              <w:rPr>
                <w:rFonts w:cs="Arial"/>
                <w:b/>
                <w:bCs/>
              </w:rPr>
            </w:r>
          </w:p>
          <w:p>
            <w:pPr>
              <w:pStyle w:val="Normal"/>
              <w:rPr>
                <w:rFonts w:cs="Arial"/>
                <w:b/>
                <w:bCs/>
              </w:rPr>
            </w:pPr>
            <w:r>
              <w:rPr>
                <w:rFonts w:cs="Arial"/>
                <w:b/>
                <w:bCs/>
              </w:rPr>
              <w:t>Skills &amp; Abilities</w:t>
            </w:r>
          </w:p>
          <w:p>
            <w:pPr>
              <w:pStyle w:val="Normal"/>
              <w:rPr>
                <w:rFonts w:cs="Arial"/>
                <w:b/>
                <w:bCs/>
              </w:rPr>
            </w:pPr>
            <w:r>
              <w:rPr>
                <w:rFonts w:cs="Arial"/>
                <w:b/>
                <w:bCs/>
              </w:rPr>
            </w:r>
          </w:p>
        </w:tc>
        <w:tc>
          <w:tcPr>
            <w:tcW w:w="3795"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Strong strategic thinking and analytical skills.</w:t>
            </w:r>
          </w:p>
          <w:p>
            <w:pPr>
              <w:pStyle w:val="Normal"/>
              <w:rPr>
                <w:rFonts w:cs="Arial"/>
              </w:rPr>
            </w:pPr>
            <w:r>
              <w:rPr>
                <w:rFonts w:cs="Arial"/>
              </w:rPr>
            </w:r>
          </w:p>
          <w:p>
            <w:pPr>
              <w:pStyle w:val="Normal"/>
              <w:rPr>
                <w:rFonts w:cs="Arial"/>
              </w:rPr>
            </w:pPr>
            <w:r>
              <w:rPr>
                <w:rFonts w:cs="Arial"/>
              </w:rPr>
              <w:t>Excellent programme and project management capability.</w:t>
            </w:r>
          </w:p>
          <w:p>
            <w:pPr>
              <w:pStyle w:val="Normal"/>
              <w:rPr>
                <w:rFonts w:cs="Arial"/>
              </w:rPr>
            </w:pPr>
            <w:r>
              <w:rPr>
                <w:rFonts w:cs="Arial"/>
              </w:rPr>
            </w:r>
          </w:p>
          <w:p>
            <w:pPr>
              <w:pStyle w:val="Normal"/>
              <w:rPr>
                <w:rFonts w:cs="Arial"/>
              </w:rPr>
            </w:pPr>
            <w:r>
              <w:rPr>
                <w:rFonts w:cs="Arial"/>
              </w:rPr>
              <w:t>Excellent communication, presentation and facilitation skills.</w:t>
            </w:r>
          </w:p>
          <w:p>
            <w:pPr>
              <w:pStyle w:val="Normal"/>
              <w:rPr>
                <w:rFonts w:cs="Arial"/>
              </w:rPr>
            </w:pPr>
            <w:r>
              <w:rPr>
                <w:rFonts w:cs="Arial"/>
              </w:rPr>
            </w:r>
          </w:p>
          <w:p>
            <w:pPr>
              <w:pStyle w:val="Normal"/>
              <w:rPr>
                <w:rFonts w:cs="Arial"/>
              </w:rPr>
            </w:pPr>
            <w:r>
              <w:rPr>
                <w:rFonts w:cs="Arial"/>
              </w:rPr>
              <w:t>Ability to influence and negotiate across organisational boundaries.</w:t>
            </w:r>
          </w:p>
          <w:p>
            <w:pPr>
              <w:pStyle w:val="Normal"/>
              <w:rPr>
                <w:rFonts w:cs="Arial"/>
              </w:rPr>
            </w:pPr>
            <w:r>
              <w:rPr>
                <w:rFonts w:cs="Arial"/>
              </w:rPr>
            </w:r>
          </w:p>
          <w:p>
            <w:pPr>
              <w:pStyle w:val="Normal"/>
              <w:rPr>
                <w:rFonts w:cs="Arial"/>
              </w:rPr>
            </w:pPr>
            <w:r>
              <w:rPr>
                <w:rFonts w:cs="Arial"/>
              </w:rPr>
              <w:t>Strong stakeholder engagement and relationship management skills.</w:t>
            </w:r>
          </w:p>
          <w:p>
            <w:pPr>
              <w:pStyle w:val="Normal"/>
              <w:rPr>
                <w:rFonts w:cs="Arial"/>
              </w:rPr>
            </w:pPr>
            <w:r>
              <w:rPr>
                <w:rFonts w:cs="Arial"/>
              </w:rPr>
            </w:r>
          </w:p>
          <w:p>
            <w:pPr>
              <w:pStyle w:val="Normal"/>
              <w:rPr>
                <w:rFonts w:cs="Arial"/>
              </w:rPr>
            </w:pPr>
            <w:r>
              <w:rPr>
                <w:rFonts w:cs="Arial"/>
              </w:rPr>
              <w:t>Ability to use data and evidence to inform decisions and evaluate impact.</w:t>
            </w:r>
          </w:p>
          <w:p>
            <w:pPr>
              <w:pStyle w:val="Normal"/>
              <w:rPr>
                <w:rFonts w:cs="Arial"/>
              </w:rPr>
            </w:pPr>
            <w:r>
              <w:rPr>
                <w:rFonts w:cs="Arial"/>
              </w:rPr>
            </w:r>
          </w:p>
          <w:p>
            <w:pPr>
              <w:pStyle w:val="Normal"/>
              <w:rPr>
                <w:rFonts w:cs="Arial"/>
              </w:rPr>
            </w:pPr>
            <w:r>
              <w:rPr>
                <w:rFonts w:cs="Arial"/>
              </w:rPr>
              <w:t>Ability to manage competing priorities and deliver outcomes within tight timescales.</w:t>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rPr>
            </w:pPr>
            <w:r>
              <w:rPr>
                <w:rFonts w:cs="Arial"/>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rPr>
            </w:pPr>
            <w:r>
              <w:rPr>
                <w:rFonts w:cs="Arial"/>
              </w:rPr>
              <w:t>AF/I</w:t>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rPr>
            </w:pPr>
            <w:r>
              <w:rPr>
                <w:rFonts w:cs="Arial"/>
                <w:b/>
                <w:bCs/>
              </w:rPr>
            </w:r>
          </w:p>
          <w:p>
            <w:pPr>
              <w:pStyle w:val="Normal"/>
              <w:rPr>
                <w:rFonts w:cs="Arial"/>
                <w:b/>
                <w:bCs/>
              </w:rPr>
            </w:pPr>
            <w:r>
              <w:rPr>
                <w:rFonts w:cs="Arial"/>
                <w:b/>
                <w:bCs/>
              </w:rPr>
              <w:t>Knowledge</w:t>
            </w:r>
          </w:p>
          <w:p>
            <w:pPr>
              <w:pStyle w:val="Normal"/>
              <w:rPr>
                <w:rFonts w:cs="Arial"/>
                <w:b/>
                <w:bCs/>
              </w:rPr>
            </w:pPr>
            <w:r>
              <w:rPr>
                <w:rFonts w:cs="Arial"/>
                <w:b/>
                <w:bCs/>
              </w:rPr>
            </w:r>
          </w:p>
        </w:tc>
        <w:tc>
          <w:tcPr>
            <w:tcW w:w="3795" w:type="dxa"/>
            <w:tcBorders>
              <w:top w:val="single" w:sz="4" w:space="0" w:color="000000"/>
              <w:left w:val="single" w:sz="4" w:space="0" w:color="000000"/>
              <w:bottom w:val="single" w:sz="4" w:space="0" w:color="000000"/>
              <w:right w:val="single" w:sz="4" w:space="0" w:color="000000"/>
            </w:tcBorders>
          </w:tcPr>
          <w:p>
            <w:pPr>
              <w:pStyle w:val="Normal"/>
              <w:rPr>
                <w:rFonts w:cs="Arial"/>
                <w:lang w:val="en-US"/>
              </w:rPr>
            </w:pPr>
            <w:r>
              <w:rPr>
                <w:rFonts w:cs="Arial"/>
                <w:lang w:val="en-US"/>
              </w:rPr>
              <w:t>Strong understanding of workforce development, organisational development, service improvement or transformation programmes.</w:t>
            </w:r>
          </w:p>
          <w:p>
            <w:pPr>
              <w:pStyle w:val="Normal"/>
              <w:rPr>
                <w:rFonts w:cs="Arial"/>
                <w:lang w:val="en-US"/>
              </w:rPr>
            </w:pPr>
            <w:r>
              <w:rPr>
                <w:rFonts w:cs="Arial"/>
                <w:lang w:val="en-US"/>
              </w:rPr>
            </w:r>
          </w:p>
          <w:p>
            <w:pPr>
              <w:pStyle w:val="Normal"/>
              <w:rPr>
                <w:rFonts w:cs="Arial"/>
                <w:lang w:val="en-US"/>
              </w:rPr>
            </w:pPr>
            <w:r>
              <w:rPr>
                <w:rFonts w:cs="Arial"/>
                <w:lang w:val="en-US"/>
              </w:rPr>
            </w:r>
          </w:p>
          <w:p>
            <w:pPr>
              <w:pStyle w:val="Normal"/>
              <w:rPr>
                <w:rFonts w:cs="Arial"/>
              </w:rPr>
            </w:pPr>
            <w:r>
              <w:rPr>
                <w:rFonts w:cs="Arial"/>
              </w:rPr>
              <w:t>Knowledge of current children's services policy, workforce challenges and reform programmes.</w:t>
            </w:r>
          </w:p>
          <w:p>
            <w:pPr>
              <w:pStyle w:val="Normal"/>
              <w:rPr>
                <w:rFonts w:cs="Arial"/>
                <w:lang w:val="en-US"/>
              </w:rPr>
            </w:pPr>
            <w:r>
              <w:rPr>
                <w:rFonts w:cs="Arial"/>
                <w:lang w:val="en-US"/>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lang w:val="en-US"/>
              </w:rPr>
            </w:pPr>
            <w:r>
              <w:rPr>
                <w:rFonts w:cs="Arial"/>
                <w:lang w:val="en-US"/>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rPr>
            </w:pPr>
            <w:r>
              <w:rPr>
                <w:rFonts w:cs="Arial"/>
              </w:rPr>
              <w:t>AF/I</w:t>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rPr>
            </w:pPr>
            <w:r>
              <w:rPr>
                <w:rFonts w:cs="Arial"/>
                <w:b/>
                <w:bCs/>
              </w:rPr>
            </w:r>
          </w:p>
          <w:p>
            <w:pPr>
              <w:pStyle w:val="BodyText"/>
              <w:rPr>
                <w:rFonts w:cs="Arial"/>
                <w:bCs/>
                <w:sz w:val="24"/>
                <w:szCs w:val="24"/>
              </w:rPr>
            </w:pPr>
            <w:r>
              <w:rPr>
                <w:rFonts w:cs="Arial"/>
                <w:bCs/>
                <w:sz w:val="24"/>
                <w:szCs w:val="24"/>
              </w:rPr>
              <w:t>Work Circumstances</w:t>
            </w:r>
          </w:p>
          <w:p>
            <w:pPr>
              <w:pStyle w:val="Normal"/>
              <w:rPr>
                <w:rFonts w:cs="Arial"/>
                <w:b/>
                <w:bCs/>
              </w:rPr>
            </w:pPr>
            <w:r>
              <w:rPr>
                <w:rFonts w:cs="Arial"/>
                <w:b/>
                <w:bCs/>
              </w:rPr>
            </w:r>
          </w:p>
        </w:tc>
        <w:tc>
          <w:tcPr>
            <w:tcW w:w="3795" w:type="dxa"/>
            <w:tcBorders>
              <w:top w:val="single" w:sz="4" w:space="0" w:color="000000"/>
              <w:left w:val="single" w:sz="4" w:space="0" w:color="000000"/>
              <w:bottom w:val="single" w:sz="4" w:space="0" w:color="000000"/>
              <w:right w:val="single" w:sz="4" w:space="0" w:color="000000"/>
            </w:tcBorders>
          </w:tcPr>
          <w:p>
            <w:pPr>
              <w:pStyle w:val="Normal"/>
              <w:overflowPunct w:val="true"/>
              <w:snapToGrid w:val="false"/>
              <w:textAlignment w:val="baseline"/>
              <w:rPr>
                <w:rFonts w:cs="Arial"/>
                <w:b/>
                <w:bCs/>
              </w:rPr>
            </w:pPr>
            <w:r>
              <w:rPr>
                <w:rFonts w:cs="Arial"/>
                <w:b/>
                <w:bCs/>
              </w:rPr>
            </w:r>
          </w:p>
          <w:p>
            <w:pPr>
              <w:pStyle w:val="Normal"/>
              <w:overflowPunct w:val="true"/>
              <w:textAlignment w:val="baseline"/>
              <w:rPr>
                <w:rFonts w:cs="Arial"/>
                <w:lang w:val="en-US"/>
              </w:rPr>
            </w:pPr>
            <w:r>
              <w:rPr>
                <w:rFonts w:cs="Arial"/>
                <w:lang w:val="en-US"/>
              </w:rPr>
              <w:t>The postholder will be expected to work flexibly to meet the needs of the service, including occasional evening working to support programme delivery, partnership engagement and key organisational priorities</w:t>
            </w:r>
          </w:p>
          <w:p>
            <w:pPr>
              <w:pStyle w:val="Normal"/>
              <w:overflowPunct w:val="true"/>
              <w:textAlignment w:val="baseline"/>
              <w:rPr>
                <w:rFonts w:cs="Arial"/>
              </w:rPr>
            </w:pPr>
            <w:r>
              <w:rPr>
                <w:rFonts w:cs="Arial"/>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rPr>
            </w:pPr>
            <w:r>
              <w:rPr>
                <w:rFonts w:cs="Arial"/>
              </w:rPr>
            </w:r>
          </w:p>
        </w:tc>
        <w:tc>
          <w:tcPr>
            <w:tcW w:w="1620" w:type="dxa"/>
            <w:tcBorders>
              <w:top w:val="single" w:sz="4" w:space="0" w:color="000000"/>
              <w:left w:val="single" w:sz="4" w:space="0" w:color="000000"/>
              <w:bottom w:val="single" w:sz="4" w:space="0" w:color="000000"/>
              <w:right w:val="single" w:sz="4" w:space="0" w:color="000000"/>
            </w:tcBorders>
          </w:tcPr>
          <w:p>
            <w:pPr>
              <w:pStyle w:val="Normal"/>
              <w:ind w:left="360" w:right="0"/>
              <w:jc w:val="center"/>
              <w:rPr>
                <w:rFonts w:cs="Arial"/>
              </w:rPr>
            </w:pPr>
            <w:r>
              <w:rPr>
                <w:rFonts w:cs="Arial"/>
              </w:rPr>
              <w:t>AF/I</w:t>
            </w:r>
          </w:p>
        </w:tc>
      </w:tr>
    </w:tbl>
    <w:p>
      <w:pPr>
        <w:pStyle w:val="Normal"/>
        <w:rPr>
          <w:rFonts w:cs="Arial"/>
        </w:rPr>
      </w:pPr>
      <w:r>
        <w:rPr>
          <w:rFonts w:cs="Arial"/>
        </w:rPr>
      </w:r>
    </w:p>
    <w:p>
      <w:pPr>
        <w:pStyle w:val="Normal"/>
        <w:spacing w:before="0" w:after="60"/>
        <w:jc w:val="both"/>
        <w:rPr/>
      </w:pPr>
      <w:r>
        <w:rPr>
          <w:rFonts w:cs="Arial"/>
          <w:i/>
        </w:rPr>
        <w:t>Abbreviations:</w:t>
      </w:r>
      <w:r>
        <w:rPr>
          <w:rFonts w:cs="Arial"/>
        </w:rPr>
        <w:t xml:space="preserve"> AF = Application Form; I = Interview; AC = Assessment Centre; T = Test</w:t>
      </w:r>
    </w:p>
    <w:p>
      <w:pPr>
        <w:pStyle w:val="Normal"/>
        <w:rPr>
          <w:rFonts w:cs="Arial"/>
        </w:rPr>
      </w:pPr>
      <w:r>
        <w:rPr>
          <w:rFonts w:cs="Arial"/>
        </w:rPr>
      </w:r>
    </w:p>
    <w:p>
      <w:pPr>
        <w:pStyle w:val="Normal"/>
        <w:jc w:val="both"/>
        <w:rPr/>
      </w:pPr>
      <w:r>
        <w:rPr>
          <w:rFonts w:cs="Arial"/>
          <w:b/>
          <w:bCs/>
        </w:rPr>
        <w:t xml:space="preserve">NB. - Any candidate that meets the criteria of our </w:t>
      </w:r>
      <w:r>
        <w:rPr>
          <w:rFonts w:cs="Arial"/>
          <w:b/>
          <w:bCs/>
          <w:color w:val="0563C1"/>
          <w:u w:val="single"/>
        </w:rPr>
        <w:t>Guaranteed Assessment Scheme</w:t>
      </w:r>
      <w:r>
        <w:rPr>
          <w:rFonts w:cs="Arial"/>
          <w:b/>
          <w:bCs/>
        </w:rPr>
        <w:t xml:space="preserve"> and meets the essential criteria of the role, will be guaranteed the first stage of assessment (whether that is an interview or another assessment, as appropriate).</w:t>
      </w:r>
    </w:p>
    <w:p>
      <w:pPr>
        <w:pStyle w:val="Normal"/>
        <w:jc w:val="both"/>
        <w:rPr>
          <w:rFonts w:cs="Arial"/>
          <w:b/>
          <w:bCs/>
        </w:rPr>
      </w:pPr>
      <w:r>
        <w:rPr>
          <w:rFonts w:cs="Arial"/>
          <w:b/>
          <w:bCs/>
        </w:rPr>
      </w:r>
    </w:p>
    <w:p>
      <w:pPr>
        <w:pStyle w:val="Normal"/>
        <w:jc w:val="both"/>
        <w:rPr>
          <w:rFonts w:cs="Arial"/>
          <w:b/>
          <w:bCs/>
        </w:rPr>
      </w:pPr>
      <w:r>
        <w:rPr>
          <w:rFonts w:cs="Arial"/>
          <w:b/>
          <w:bCs/>
        </w:rPr>
        <w:t>Our Guaranteed Assessment Scheme supports candidates with disabilities, those who  have previously been in or currently in care, those that are carers, and those who have served in the Armed Forces as a regular, reserve or cadet.</w:t>
      </w:r>
    </w:p>
    <w:p>
      <w:pPr>
        <w:pStyle w:val="Normal"/>
        <w:rPr/>
      </w:pPr>
      <w:r>
        <w:rPr/>
      </w:r>
    </w:p>
    <w:sectPr>
      <w:headerReference w:type="default" r:id="rId2"/>
      <w:headerReference w:type="first" r:id="rId3"/>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2F5496"/>
      <w:sz w:val="28"/>
      <w:szCs w:val="28"/>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sz w:val="20"/>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WW8Num3z0">
    <w:name w:val="WW8Num3z0"/>
    <w:qFormat/>
    <w:rPr>
      <w:rFonts w:ascii="Symbol" w:hAnsi="Symbol" w:cs="Symbol"/>
      <w:sz w:val="20"/>
    </w:rPr>
  </w:style>
  <w:style w:type="character" w:styleId="WW8Num3z1">
    <w:name w:val="WW8Num3z1"/>
    <w:qFormat/>
    <w:rPr>
      <w:rFonts w:ascii="Courier New" w:hAnsi="Courier New" w:cs="Courier New"/>
      <w:sz w:val="20"/>
    </w:rPr>
  </w:style>
  <w:style w:type="character" w:styleId="WW8Num3z2">
    <w:name w:val="WW8Num3z2"/>
    <w:qFormat/>
    <w:rPr>
      <w:rFonts w:ascii="Wingdings" w:hAnsi="Wingdings" w:cs="Wingdings"/>
      <w:sz w:val="20"/>
    </w:rPr>
  </w:style>
  <w:style w:type="character" w:styleId="WW8Num4z0">
    <w:name w:val="WW8Num4z0"/>
    <w:qFormat/>
    <w:rPr>
      <w:rFonts w:ascii="Symbol" w:hAnsi="Symbol" w:cs="Symbol"/>
      <w:sz w:val="20"/>
    </w:rPr>
  </w:style>
  <w:style w:type="character" w:styleId="WW8Num4z1">
    <w:name w:val="WW8Num4z1"/>
    <w:qFormat/>
    <w:rPr>
      <w:rFonts w:ascii="Courier New" w:hAnsi="Courier New" w:cs="Courier New"/>
      <w:sz w:val="20"/>
    </w:rPr>
  </w:style>
  <w:style w:type="character" w:styleId="WW8Num4z2">
    <w:name w:val="WW8Num4z2"/>
    <w:qFormat/>
    <w:rPr>
      <w:rFonts w:ascii="Wingdings" w:hAnsi="Wingdings" w:cs="Wingdings"/>
      <w:sz w:val="20"/>
    </w:rPr>
  </w:style>
  <w:style w:type="character" w:styleId="WW8Num5z0">
    <w:name w:val="WW8Num5z0"/>
    <w:qFormat/>
    <w:rPr>
      <w:rFonts w:ascii="Symbol" w:hAnsi="Symbol" w:cs="Symbol"/>
      <w:sz w:val="20"/>
    </w:rPr>
  </w:style>
  <w:style w:type="character" w:styleId="WW8Num5z1">
    <w:name w:val="WW8Num5z1"/>
    <w:qFormat/>
    <w:rPr>
      <w:rFonts w:ascii="Courier New" w:hAnsi="Courier New" w:cs="Courier New"/>
      <w:sz w:val="20"/>
    </w:rPr>
  </w:style>
  <w:style w:type="character" w:styleId="WW8Num5z2">
    <w:name w:val="WW8Num5z2"/>
    <w:qFormat/>
    <w:rPr>
      <w:rFonts w:ascii="Wingdings" w:hAnsi="Wingdings" w:cs="Wingdings"/>
      <w:sz w:val="20"/>
    </w:rPr>
  </w:style>
  <w:style w:type="character" w:styleId="WW8Num6z0">
    <w:name w:val="WW8Num6z0"/>
    <w:qFormat/>
    <w:rPr>
      <w:rFonts w:ascii="Symbol" w:hAnsi="Symbol" w:cs="Symbol"/>
      <w:sz w:val="20"/>
    </w:rPr>
  </w:style>
  <w:style w:type="character" w:styleId="WW8Num6z1">
    <w:name w:val="WW8Num6z1"/>
    <w:qFormat/>
    <w:rPr>
      <w:rFonts w:ascii="Courier New" w:hAnsi="Courier New" w:cs="Courier New"/>
      <w:sz w:val="20"/>
    </w:rPr>
  </w:style>
  <w:style w:type="character" w:styleId="WW8Num6z2">
    <w:name w:val="WW8Num6z2"/>
    <w:qFormat/>
    <w:rPr>
      <w:rFonts w:ascii="Wingdings" w:hAnsi="Wingdings" w:cs="Wingdings"/>
      <w:sz w:val="20"/>
    </w:rPr>
  </w:style>
  <w:style w:type="character" w:styleId="WW8Num7z0">
    <w:name w:val="WW8Num7z0"/>
    <w:qFormat/>
    <w:rPr>
      <w:rFonts w:ascii="Symbol" w:hAnsi="Symbol" w:cs="Symbol"/>
      <w:sz w:val="20"/>
    </w:rPr>
  </w:style>
  <w:style w:type="character" w:styleId="WW8Num7z1">
    <w:name w:val="WW8Num7z1"/>
    <w:qFormat/>
    <w:rPr>
      <w:rFonts w:ascii="Courier New" w:hAnsi="Courier New" w:cs="Courier New"/>
      <w:sz w:val="20"/>
    </w:rPr>
  </w:style>
  <w:style w:type="character" w:styleId="WW8Num7z2">
    <w:name w:val="WW8Num7z2"/>
    <w:qFormat/>
    <w:rPr>
      <w:rFonts w:ascii="Wingdings" w:hAnsi="Wingdings" w:cs="Wingdings"/>
      <w:sz w:val="20"/>
    </w:rPr>
  </w:style>
  <w:style w:type="character" w:styleId="WW8Num8z0">
    <w:name w:val="WW8Num8z0"/>
    <w:qFormat/>
    <w:rPr>
      <w:rFonts w:ascii="Symbol" w:hAnsi="Symbol" w:cs="Symbol"/>
      <w:sz w:val="20"/>
    </w:rPr>
  </w:style>
  <w:style w:type="character" w:styleId="WW8Num8z1">
    <w:name w:val="WW8Num8z1"/>
    <w:qFormat/>
    <w:rPr>
      <w:rFonts w:ascii="Courier New" w:hAnsi="Courier New" w:cs="Courier New"/>
      <w:sz w:val="20"/>
    </w:rPr>
  </w:style>
  <w:style w:type="character" w:styleId="WW8Num8z2">
    <w:name w:val="WW8Num8z2"/>
    <w:qFormat/>
    <w:rPr>
      <w:rFonts w:ascii="Wingdings" w:hAnsi="Wingdings" w:cs="Wingdings"/>
      <w:sz w:val="20"/>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