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lang w:eastAsia="en-GB"/>
              </w:rPr>
            </w:pPr>
            <w:r>
              <w:rPr>
                <w:rFonts w:cs="Arial" w:ascii="Arial" w:hAnsi="Arial"/>
                <w:sz w:val="22"/>
                <w:szCs w:val="22"/>
                <w:lang w:eastAsia="en-GB"/>
              </w:rPr>
              <w:t>Policy &amp; Strategy Officer (Public Health)</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Public Health</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 xml:space="preserve">8 </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rPr>
                <w:szCs w:val="22"/>
              </w:rPr>
            </w:pPr>
            <w:r>
              <w:rPr>
                <w:szCs w:val="22"/>
              </w:rPr>
            </w:r>
          </w:p>
        </w:tc>
      </w:tr>
    </w:tbl>
    <w:p>
      <w:pPr>
        <w:pStyle w:val="Normal"/>
        <w:rPr>
          <w:sz w:val="22"/>
          <w:szCs w:val="22"/>
        </w:rPr>
      </w:pPr>
      <w:r>
        <w:rPr>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b/>
                <w:b/>
                <w:bCs/>
                <w:color w:val="FFFFFF"/>
                <w:sz w:val="22"/>
                <w:szCs w:val="22"/>
              </w:rPr>
            </w:pPr>
            <w:r>
              <w:rPr>
                <w:b/>
                <w:bCs/>
                <w:color w:val="FFFFFF"/>
                <w:sz w:val="22"/>
                <w:szCs w:val="22"/>
              </w:rPr>
              <w:t>Job Purpose</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2"/>
                <w:szCs w:val="20"/>
              </w:rPr>
            </w:pPr>
            <w:r>
              <w:rPr>
                <w:sz w:val="22"/>
                <w:szCs w:val="20"/>
              </w:rPr>
              <w:t xml:space="preserve">To work across the public health team, Oldham Council, and partners in the development of policies and strategies that reduce health inequalities, improve health and wellbeing and align with the organisations core corporate policies, strategies and narratives. </w:t>
            </w:r>
          </w:p>
          <w:p>
            <w:pPr>
              <w:pStyle w:val="Normal"/>
              <w:jc w:val="both"/>
              <w:rPr>
                <w:sz w:val="22"/>
                <w:szCs w:val="20"/>
              </w:rPr>
            </w:pPr>
            <w:r>
              <w:rPr>
                <w:sz w:val="22"/>
                <w:szCs w:val="20"/>
              </w:rPr>
            </w:r>
          </w:p>
          <w:p>
            <w:pPr>
              <w:pStyle w:val="Normal"/>
              <w:jc w:val="both"/>
              <w:rPr>
                <w:sz w:val="22"/>
                <w:szCs w:val="20"/>
              </w:rPr>
            </w:pPr>
            <w:r>
              <w:rPr>
                <w:sz w:val="22"/>
                <w:szCs w:val="20"/>
              </w:rPr>
              <w:t>To provide an effective public health horizon scanning and briefing service to the organisation and borough highlighting issues, opportunities and threats and developing innovative solutions to them.</w:t>
            </w:r>
          </w:p>
          <w:p>
            <w:pPr>
              <w:pStyle w:val="Normal"/>
              <w:jc w:val="both"/>
              <w:rPr>
                <w:sz w:val="22"/>
                <w:szCs w:val="20"/>
              </w:rPr>
            </w:pPr>
            <w:r>
              <w:rPr>
                <w:sz w:val="22"/>
                <w:szCs w:val="20"/>
              </w:rPr>
            </w:r>
          </w:p>
          <w:p>
            <w:pPr>
              <w:pStyle w:val="Normal"/>
              <w:jc w:val="both"/>
              <w:rPr>
                <w:sz w:val="22"/>
                <w:szCs w:val="22"/>
              </w:rPr>
            </w:pPr>
            <w:r>
              <w:rPr>
                <w:sz w:val="22"/>
                <w:szCs w:val="22"/>
              </w:rPr>
              <w:t xml:space="preserve">To support the wider delivery of the Council’s public health function including shaping and influencing the delivery of commissioned services and strategic priorities. </w:t>
            </w:r>
          </w:p>
          <w:p>
            <w:pPr>
              <w:pStyle w:val="Normal"/>
              <w:jc w:val="both"/>
              <w:rPr>
                <w:sz w:val="22"/>
                <w:szCs w:val="20"/>
              </w:rPr>
            </w:pPr>
            <w:r>
              <w:rPr>
                <w:sz w:val="22"/>
                <w:szCs w:val="20"/>
              </w:rPr>
            </w:r>
          </w:p>
          <w:p>
            <w:pPr>
              <w:pStyle w:val="Normal"/>
              <w:jc w:val="both"/>
              <w:rPr>
                <w:rFonts w:cs="Arial"/>
                <w:color w:val="616365"/>
                <w:sz w:val="22"/>
                <w:szCs w:val="22"/>
                <w:lang w:val="en-US" w:eastAsia="en-GB"/>
              </w:rPr>
            </w:pPr>
            <w:r>
              <w:rPr>
                <w:rFonts w:cs="Arial"/>
                <w:color w:val="616365"/>
                <w:sz w:val="22"/>
                <w:szCs w:val="22"/>
                <w:lang w:val="en-US" w:eastAsia="en-GB"/>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rPr>
                <w:b/>
                <w:b/>
                <w:bCs/>
                <w:color w:val="FFFFFF"/>
                <w:sz w:val="22"/>
                <w:szCs w:val="22"/>
              </w:rPr>
            </w:pPr>
            <w:r>
              <w:rPr>
                <w:b/>
                <w:bCs/>
                <w:color w:val="FFFFFF"/>
                <w:sz w:val="22"/>
                <w:szCs w:val="22"/>
              </w:rPr>
              <w:t>Key tasks for the first three months:</w:t>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ListParagraph"/>
              <w:numPr>
                <w:ilvl w:val="0"/>
                <w:numId w:val="6"/>
              </w:numPr>
              <w:jc w:val="both"/>
              <w:rPr>
                <w:rFonts w:ascii="Arial" w:hAnsi="Arial" w:cs="Arial"/>
              </w:rPr>
            </w:pPr>
            <w:r>
              <w:rPr>
                <w:rFonts w:cs="Arial" w:ascii="Arial" w:hAnsi="Arial"/>
              </w:rPr>
              <w:t>Support the development of work plans for topics across the three domains of public health (health improvement, health protection and healthcare)</w:t>
            </w:r>
          </w:p>
          <w:p>
            <w:pPr>
              <w:pStyle w:val="ListParagraph"/>
              <w:numPr>
                <w:ilvl w:val="0"/>
                <w:numId w:val="6"/>
              </w:numPr>
              <w:jc w:val="both"/>
              <w:rPr>
                <w:rFonts w:ascii="Arial" w:hAnsi="Arial" w:cs="Arial"/>
              </w:rPr>
            </w:pPr>
            <w:r>
              <w:rPr>
                <w:rFonts w:cs="Arial" w:ascii="Arial" w:hAnsi="Arial"/>
              </w:rPr>
              <w:t xml:space="preserve">Support delivery of the public health business plan </w:t>
            </w:r>
          </w:p>
          <w:p>
            <w:pPr>
              <w:pStyle w:val="ListParagraph"/>
              <w:numPr>
                <w:ilvl w:val="0"/>
                <w:numId w:val="6"/>
              </w:numPr>
              <w:jc w:val="both"/>
              <w:rPr>
                <w:rFonts w:ascii="Arial" w:hAnsi="Arial" w:cs="Arial"/>
              </w:rPr>
            </w:pPr>
            <w:r>
              <w:rPr>
                <w:rFonts w:cs="Arial" w:ascii="Arial" w:hAnsi="Arial"/>
              </w:rPr>
              <w:t xml:space="preserve">Build relationships with internal and external stakeholders </w:t>
            </w:r>
          </w:p>
          <w:p>
            <w:pPr>
              <w:pStyle w:val="ListParagraph"/>
              <w:numPr>
                <w:ilvl w:val="0"/>
                <w:numId w:val="4"/>
              </w:numPr>
              <w:jc w:val="both"/>
              <w:rPr>
                <w:rFonts w:ascii="Arial" w:hAnsi="Arial" w:cs="Arial"/>
              </w:rPr>
            </w:pPr>
            <w:r>
              <w:rPr>
                <w:rFonts w:cs="Arial" w:ascii="Arial" w:hAnsi="Arial"/>
              </w:rPr>
              <w:t>To be an integral part of the contract monitoring process for wider council services receiving public health investment, implementing SLA’s with review meetings.</w:t>
            </w:r>
          </w:p>
          <w:p>
            <w:pPr>
              <w:pStyle w:val="ListParagraph"/>
              <w:numPr>
                <w:ilvl w:val="0"/>
                <w:numId w:val="4"/>
              </w:numPr>
              <w:jc w:val="both"/>
              <w:rPr>
                <w:rFonts w:ascii="Arial" w:hAnsi="Arial" w:cs="Arial"/>
              </w:rPr>
            </w:pPr>
            <w:r>
              <w:rPr>
                <w:rFonts w:cs="Arial" w:ascii="Arial" w:hAnsi="Arial"/>
              </w:rPr>
              <w:t>To have operational oversight, and co-ordination role for the development of emerging Needs Assessment</w:t>
            </w:r>
          </w:p>
          <w:p>
            <w:pPr>
              <w:pStyle w:val="ListParagraph"/>
              <w:numPr>
                <w:ilvl w:val="0"/>
                <w:numId w:val="4"/>
              </w:numPr>
              <w:jc w:val="both"/>
              <w:rPr>
                <w:rFonts w:ascii="Arial" w:hAnsi="Arial" w:cs="Arial"/>
              </w:rPr>
            </w:pPr>
            <w:r>
              <w:rPr>
                <w:rFonts w:cs="Arial" w:ascii="Arial" w:hAnsi="Arial"/>
              </w:rPr>
              <w:t>To develop work plans for Public Health programmes and strategic partnership boards, detailing key activities, stakeholders, monitoring process and improvement measures. This could be for a number of work areas for example sexual health partnership board, NHS Health Check board, tobacco alliance, gambling harms alliance.</w:t>
            </w:r>
          </w:p>
          <w:p>
            <w:pPr>
              <w:pStyle w:val="ListParagraph"/>
              <w:numPr>
                <w:ilvl w:val="0"/>
                <w:numId w:val="3"/>
              </w:numPr>
              <w:jc w:val="both"/>
              <w:rPr>
                <w:rFonts w:ascii="Arial" w:hAnsi="Arial" w:cs="Arial"/>
              </w:rPr>
            </w:pPr>
            <w:r>
              <w:rPr>
                <w:rFonts w:cs="Arial" w:ascii="Arial" w:hAnsi="Arial"/>
              </w:rPr>
              <w:t>To build and maintain relationships with key partners and stakeholder to drive quality improvements in contracts, programmes and strategic developments</w:t>
            </w:r>
          </w:p>
          <w:p>
            <w:pPr>
              <w:pStyle w:val="ListParagraph"/>
              <w:numPr>
                <w:ilvl w:val="0"/>
                <w:numId w:val="3"/>
              </w:numPr>
              <w:jc w:val="both"/>
              <w:rPr>
                <w:rFonts w:ascii="Arial" w:hAnsi="Arial" w:cs="Arial"/>
              </w:rPr>
            </w:pPr>
            <w:r>
              <w:rPr>
                <w:rFonts w:cs="Arial" w:ascii="Arial" w:hAnsi="Arial"/>
              </w:rPr>
              <w:t>To lead the process of evaluating public health programmes, assessing value for money and effectiveness. Prepare and disseminate reports to appropriate boards and stakeholders.</w:t>
            </w:r>
          </w:p>
          <w:p>
            <w:pPr>
              <w:pStyle w:val="ListParagraph"/>
              <w:numPr>
                <w:ilvl w:val="0"/>
                <w:numId w:val="3"/>
              </w:numPr>
              <w:jc w:val="both"/>
              <w:rPr>
                <w:rFonts w:ascii="Arial" w:hAnsi="Arial" w:cs="Arial"/>
              </w:rPr>
            </w:pPr>
            <w:r>
              <w:rPr>
                <w:rFonts w:cs="Arial" w:ascii="Arial" w:hAnsi="Arial"/>
              </w:rPr>
              <w:t>To take an oversight role in review of Public Health programmes and training delivered by the voluntary sector, ensuring equitable provision across Oldham. Regular review meetings to consider progress and pace of roll out.</w:t>
            </w:r>
          </w:p>
          <w:p>
            <w:pPr>
              <w:pStyle w:val="ListParagraph"/>
              <w:numPr>
                <w:ilvl w:val="0"/>
                <w:numId w:val="3"/>
              </w:numPr>
              <w:jc w:val="both"/>
              <w:rPr>
                <w:rFonts w:ascii="Arial" w:hAnsi="Arial" w:cs="Arial"/>
              </w:rPr>
            </w:pPr>
            <w:r>
              <w:rPr>
                <w:rFonts w:cs="Arial" w:ascii="Arial" w:hAnsi="Arial"/>
              </w:rPr>
              <w:t>To support senior members of the Public Health team at strategic or partnership boards, ensuring delivery and momentum of pace relating to agreed action plans.</w:t>
            </w:r>
          </w:p>
          <w:p>
            <w:pPr>
              <w:pStyle w:val="ListParagraph"/>
              <w:numPr>
                <w:ilvl w:val="0"/>
                <w:numId w:val="5"/>
              </w:numPr>
              <w:jc w:val="both"/>
              <w:rPr>
                <w:rFonts w:ascii="Arial" w:hAnsi="Arial" w:cs="Arial"/>
              </w:rPr>
            </w:pPr>
            <w:r>
              <w:rPr>
                <w:rFonts w:cs="Arial" w:ascii="Arial" w:hAnsi="Arial"/>
              </w:rPr>
              <w:t>Develop and maintain relationships with key stakeholders within commissioned services, identifying opportunities for wider collaboration and opportunity to drive quality improvements. This includes the critical reflection of how the new integrated children and family’s model is being embedded,</w:t>
            </w:r>
          </w:p>
          <w:p>
            <w:pPr>
              <w:pStyle w:val="ListParagraph"/>
              <w:numPr>
                <w:ilvl w:val="0"/>
                <w:numId w:val="5"/>
              </w:numPr>
              <w:jc w:val="both"/>
              <w:rPr>
                <w:rFonts w:ascii="Arial" w:hAnsi="Arial" w:cs="Arial"/>
              </w:rPr>
            </w:pPr>
            <w:r>
              <w:rPr>
                <w:rFonts w:cs="Arial" w:ascii="Arial" w:hAnsi="Arial"/>
              </w:rPr>
              <w:t xml:space="preserve">Through data returns and governance groups assess performance of the national healthy child programme by looking at trends and benchmarking against other LA’s </w:t>
            </w:r>
          </w:p>
          <w:p>
            <w:pPr>
              <w:pStyle w:val="ListParagraph"/>
              <w:numPr>
                <w:ilvl w:val="0"/>
                <w:numId w:val="5"/>
              </w:numPr>
              <w:jc w:val="both"/>
              <w:rPr>
                <w:rFonts w:ascii="Arial" w:hAnsi="Arial" w:cs="Arial"/>
              </w:rPr>
            </w:pPr>
            <w:r>
              <w:rPr>
                <w:rFonts w:cs="Arial" w:ascii="Arial" w:hAnsi="Arial"/>
              </w:rPr>
              <w:t>Work with GM NCA LA commissioners to better understand opportunity for collaboration, scaled provision and dependencies across the four areas.</w:t>
            </w:r>
          </w:p>
          <w:p>
            <w:pPr>
              <w:pStyle w:val="ListParagraph"/>
              <w:numPr>
                <w:ilvl w:val="0"/>
                <w:numId w:val="5"/>
              </w:numPr>
              <w:jc w:val="both"/>
              <w:rPr/>
            </w:pPr>
            <w:r>
              <w:rPr>
                <w:rFonts w:cs="Arial" w:ascii="Arial" w:hAnsi="Arial"/>
              </w:rPr>
              <w:t xml:space="preserve">To work closely with the Head of Service for Public Health to establish a strategic </w:t>
            </w:r>
            <w:r>
              <w:rPr>
                <w:rFonts w:cs="Arial" w:ascii="Arial" w:hAnsi="Arial"/>
                <w:b/>
                <w:bCs/>
              </w:rPr>
              <w:t>infant feeding</w:t>
            </w:r>
            <w:r>
              <w:rPr>
                <w:rFonts w:cs="Arial" w:ascii="Arial" w:hAnsi="Arial"/>
              </w:rPr>
              <w:t xml:space="preserve"> group that is high functioning and action focused</w:t>
            </w:r>
          </w:p>
          <w:p>
            <w:pPr>
              <w:pStyle w:val="ListParagraph"/>
              <w:jc w:val="both"/>
              <w:rPr>
                <w:rFonts w:ascii="Arial" w:hAnsi="Arial" w:cs="Arial"/>
              </w:rPr>
            </w:pPr>
            <w:r>
              <w:rPr>
                <w:rFonts w:cs="Arial" w:ascii="Arial" w:hAnsi="Arial"/>
              </w:rPr>
            </w:r>
          </w:p>
          <w:p>
            <w:pPr>
              <w:pStyle w:val="ListParagraph"/>
              <w:spacing w:before="0" w:after="200"/>
              <w:contextualSpacing/>
              <w:jc w:val="both"/>
              <w:rPr>
                <w:rFonts w:ascii="Arial" w:hAnsi="Arial" w:eastAsia="Arial" w:cs="Arial"/>
              </w:rPr>
            </w:pPr>
            <w:r>
              <w:rPr>
                <w:rFonts w:eastAsia="Arial" w:cs="Arial" w:ascii="Arial" w:hAnsi="Arial"/>
              </w:rPr>
              <w:t xml:space="preserve"> </w:t>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ListParagraph"/>
              <w:spacing w:lineRule="auto" w:line="240" w:before="60" w:after="60"/>
              <w:ind w:left="0" w:right="0" w:hanging="0"/>
              <w:contextualSpacing/>
              <w:jc w:val="both"/>
              <w:rPr>
                <w:rFonts w:ascii="Arial" w:hAnsi="Arial" w:cs="Arial"/>
                <w:b/>
                <w:b/>
                <w:bCs/>
                <w:color w:val="FFFFFF"/>
              </w:rPr>
            </w:pPr>
            <w:r>
              <w:rPr>
                <w:rFonts w:cs="Arial" w:ascii="Arial" w:hAnsi="Arial"/>
                <w:b/>
                <w:bCs/>
                <w:color w:val="FFFFFF"/>
              </w:rPr>
              <w:t>Key tasks for the first twelve months:</w:t>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ListParagraph"/>
              <w:ind w:left="0" w:right="0" w:hanging="0"/>
              <w:jc w:val="both"/>
              <w:rPr>
                <w:rFonts w:ascii="Arial" w:hAnsi="Arial" w:cs="Arial"/>
              </w:rPr>
            </w:pPr>
            <w:r>
              <w:rPr>
                <w:rFonts w:cs="Arial" w:ascii="Arial" w:hAnsi="Arial"/>
              </w:rPr>
              <w:t>Continue to drive improvements on key Public Health programmes through strategic partnership boards, detailing key activities, stakeholders, monitoring process and improvement measures. This could be for a number of work areas for example sexual health partnership board, NHS Health Check board, tobacco alliance, gambling harms alliance.</w:t>
            </w:r>
          </w:p>
          <w:p>
            <w:pPr>
              <w:pStyle w:val="Normal"/>
              <w:jc w:val="both"/>
              <w:rPr>
                <w:rFonts w:cs="Arial"/>
                <w:sz w:val="22"/>
                <w:szCs w:val="22"/>
              </w:rPr>
            </w:pPr>
            <w:r>
              <w:rPr>
                <w:rFonts w:cs="Arial"/>
                <w:sz w:val="22"/>
                <w:szCs w:val="22"/>
              </w:rPr>
              <w:t>Deliver against work plans for topics across the three domains of public health (health improvement, health protection and healthcare).</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Support the Head of Service, and Senior Policy, Strategy and Commissioning Officers in the delivery of a health in all policies approach across the council.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Ensure appropriate engagement activity with residents and stakeholders is conducted and fed into all plans as required.</w:t>
            </w:r>
          </w:p>
          <w:p>
            <w:pPr>
              <w:pStyle w:val="Normal"/>
              <w:jc w:val="both"/>
              <w:rPr/>
            </w:pPr>
            <w:r>
              <w:rPr/>
            </w:r>
          </w:p>
          <w:p>
            <w:pPr>
              <w:pStyle w:val="Normal"/>
              <w:jc w:val="both"/>
              <w:rPr>
                <w:rFonts w:cs="Arial"/>
                <w:sz w:val="22"/>
                <w:szCs w:val="22"/>
              </w:rPr>
            </w:pPr>
            <w:r>
              <w:rPr>
                <w:rFonts w:cs="Arial"/>
                <w:sz w:val="22"/>
                <w:szCs w:val="22"/>
              </w:rPr>
              <w:t>Support delivery of the public health business plan.</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Maintain relationships with internal and external stakeholders. </w:t>
            </w:r>
          </w:p>
          <w:p>
            <w:pPr>
              <w:pStyle w:val="Normal"/>
              <w:jc w:val="both"/>
              <w:rPr>
                <w:rFonts w:cs="Arial"/>
              </w:rPr>
            </w:pPr>
            <w:r>
              <w:rPr>
                <w:rFonts w:cs="Arial"/>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ListParagraph"/>
              <w:spacing w:lineRule="auto" w:line="240" w:before="60" w:after="60"/>
              <w:ind w:left="0" w:right="0" w:hanging="0"/>
              <w:contextualSpacing/>
              <w:jc w:val="both"/>
              <w:rPr>
                <w:rFonts w:ascii="Arial" w:hAnsi="Arial" w:cs="Arial"/>
                <w:b/>
                <w:b/>
                <w:bCs/>
                <w:color w:val="FFFFFF"/>
              </w:rPr>
            </w:pPr>
            <w:r>
              <w:rPr>
                <w:rFonts w:cs="Arial" w:ascii="Arial" w:hAnsi="Arial"/>
                <w:b/>
                <w:bCs/>
                <w:color w:val="FFFFFF"/>
              </w:rPr>
              <w:t>Ongoing tasks:</w:t>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contextualSpacing/>
              <w:jc w:val="both"/>
              <w:rPr>
                <w:rFonts w:ascii="Arial" w:hAnsi="Arial" w:cs="Arial"/>
              </w:rPr>
            </w:pPr>
            <w:r>
              <w:rPr>
                <w:rFonts w:cs="Arial" w:ascii="Arial" w:hAnsi="Arial"/>
              </w:rPr>
            </w:r>
          </w:p>
          <w:p>
            <w:pPr>
              <w:pStyle w:val="Normal"/>
              <w:jc w:val="both"/>
              <w:rPr>
                <w:rFonts w:ascii="Arial" w:hAnsi="Arial" w:cs="Arial"/>
                <w:sz w:val="22"/>
                <w:szCs w:val="22"/>
              </w:rPr>
            </w:pPr>
            <w:r>
              <w:rPr>
                <w:rFonts w:cs="Arial"/>
                <w:sz w:val="22"/>
                <w:szCs w:val="22"/>
              </w:rPr>
            </w:r>
          </w:p>
          <w:p>
            <w:pPr>
              <w:pStyle w:val="Normal"/>
              <w:jc w:val="both"/>
              <w:rPr>
                <w:sz w:val="22"/>
                <w:szCs w:val="22"/>
              </w:rPr>
            </w:pPr>
            <w:r>
              <w:rPr>
                <w:sz w:val="22"/>
                <w:szCs w:val="22"/>
              </w:rPr>
              <w:t xml:space="preserve">To support work on strategic commissioning, planning and development of public health mandated and nonmandated services. </w:t>
            </w:r>
          </w:p>
          <w:p>
            <w:pPr>
              <w:pStyle w:val="Normal"/>
              <w:jc w:val="both"/>
              <w:rPr>
                <w:sz w:val="22"/>
                <w:szCs w:val="22"/>
              </w:rPr>
            </w:pPr>
            <w:r>
              <w:rPr>
                <w:sz w:val="22"/>
                <w:szCs w:val="22"/>
              </w:rPr>
            </w:r>
          </w:p>
          <w:p>
            <w:pPr>
              <w:pStyle w:val="Normal"/>
              <w:jc w:val="both"/>
              <w:rPr>
                <w:sz w:val="22"/>
                <w:szCs w:val="22"/>
              </w:rPr>
            </w:pPr>
            <w:r>
              <w:rPr>
                <w:sz w:val="22"/>
                <w:szCs w:val="22"/>
              </w:rPr>
              <w:t xml:space="preserve">To work through place-based teams and community organisations to engage and empower local residents to improve their social, economic, environmental and physical wellbeing </w:t>
            </w:r>
          </w:p>
          <w:p>
            <w:pPr>
              <w:pStyle w:val="Normal"/>
              <w:jc w:val="both"/>
              <w:rPr>
                <w:sz w:val="22"/>
                <w:szCs w:val="22"/>
              </w:rPr>
            </w:pPr>
            <w:r>
              <w:rPr>
                <w:sz w:val="22"/>
                <w:szCs w:val="22"/>
              </w:rPr>
            </w:r>
          </w:p>
          <w:p>
            <w:pPr>
              <w:pStyle w:val="Normal"/>
              <w:jc w:val="both"/>
              <w:rPr>
                <w:sz w:val="22"/>
                <w:szCs w:val="22"/>
              </w:rPr>
            </w:pPr>
            <w:r>
              <w:rPr>
                <w:sz w:val="22"/>
                <w:szCs w:val="22"/>
              </w:rPr>
              <w:t>To work with stakeholders across the organisation and borough to support the delivery of quality strategies and plans and ensure their contribution to improving health and wellbeing, and reducing health inequalities whilst ensuring their alignment to core corporate and borough strategies and narratives.</w:t>
            </w:r>
          </w:p>
          <w:p>
            <w:pPr>
              <w:pStyle w:val="Normal"/>
              <w:jc w:val="both"/>
              <w:rPr>
                <w:sz w:val="22"/>
                <w:szCs w:val="22"/>
              </w:rPr>
            </w:pPr>
            <w:r>
              <w:rPr>
                <w:sz w:val="22"/>
                <w:szCs w:val="22"/>
              </w:rPr>
            </w:r>
          </w:p>
          <w:p>
            <w:pPr>
              <w:pStyle w:val="Normal"/>
              <w:jc w:val="both"/>
              <w:rPr>
                <w:sz w:val="22"/>
                <w:szCs w:val="22"/>
              </w:rPr>
            </w:pPr>
            <w:r>
              <w:rPr>
                <w:sz w:val="22"/>
                <w:szCs w:val="22"/>
              </w:rPr>
              <w:t>To provide a horizon scanning service on public health issues ensuring all stakeholders have access to up to date information about issues, opportunities and threats affecting their work, services and the borough.</w:t>
            </w:r>
          </w:p>
          <w:p>
            <w:pPr>
              <w:pStyle w:val="Normal"/>
              <w:jc w:val="both"/>
              <w:rPr>
                <w:sz w:val="22"/>
                <w:szCs w:val="22"/>
              </w:rPr>
            </w:pPr>
            <w:r>
              <w:rPr>
                <w:sz w:val="22"/>
                <w:szCs w:val="22"/>
              </w:rPr>
            </w:r>
          </w:p>
          <w:p>
            <w:pPr>
              <w:pStyle w:val="Normal"/>
              <w:jc w:val="both"/>
              <w:rPr>
                <w:sz w:val="22"/>
                <w:szCs w:val="22"/>
              </w:rPr>
            </w:pPr>
            <w:r>
              <w:rPr>
                <w:sz w:val="22"/>
                <w:szCs w:val="22"/>
              </w:rPr>
              <w:t>To research and disseminate public health best practice across local government, health and wider public services to key stakeholders inside and outside of the organisation.</w:t>
            </w:r>
          </w:p>
          <w:p>
            <w:pPr>
              <w:pStyle w:val="Normal"/>
              <w:jc w:val="both"/>
              <w:rPr>
                <w:rFonts w:cs="Arial"/>
              </w:rPr>
            </w:pPr>
            <w:r>
              <w:rPr>
                <w:rFonts w:cs="Arial"/>
              </w:rPr>
            </w:r>
          </w:p>
          <w:p>
            <w:pPr>
              <w:pStyle w:val="Normal"/>
              <w:jc w:val="both"/>
              <w:rPr>
                <w:sz w:val="22"/>
                <w:szCs w:val="20"/>
              </w:rPr>
            </w:pPr>
            <w:r>
              <w:rPr>
                <w:sz w:val="22"/>
                <w:szCs w:val="20"/>
              </w:rPr>
              <w:t>To create and present materials to support elected members and senior officers including policy briefings, speeches on key policy areas relevant to public health, presentations and other submissions.</w:t>
            </w:r>
          </w:p>
          <w:p>
            <w:pPr>
              <w:pStyle w:val="Normal"/>
              <w:jc w:val="both"/>
              <w:rPr>
                <w:sz w:val="22"/>
                <w:szCs w:val="20"/>
              </w:rPr>
            </w:pPr>
            <w:r>
              <w:rPr>
                <w:sz w:val="22"/>
                <w:szCs w:val="20"/>
              </w:rPr>
            </w:r>
          </w:p>
          <w:p>
            <w:pPr>
              <w:pStyle w:val="Normal"/>
              <w:jc w:val="both"/>
              <w:rPr>
                <w:sz w:val="22"/>
                <w:szCs w:val="20"/>
              </w:rPr>
            </w:pPr>
            <w:r>
              <w:rPr>
                <w:sz w:val="22"/>
                <w:szCs w:val="20"/>
              </w:rPr>
              <w:t>To research priority public health issues establishing clear options for action from best practice locally, regionally and nationally to support senior stakeholders in planning projects and approaches.</w:t>
            </w:r>
          </w:p>
          <w:p>
            <w:pPr>
              <w:pStyle w:val="Normal"/>
              <w:jc w:val="both"/>
              <w:rPr>
                <w:sz w:val="22"/>
                <w:szCs w:val="20"/>
              </w:rPr>
            </w:pPr>
            <w:r>
              <w:rPr>
                <w:sz w:val="22"/>
                <w:szCs w:val="20"/>
              </w:rPr>
            </w:r>
          </w:p>
          <w:p>
            <w:pPr>
              <w:pStyle w:val="Normal"/>
              <w:jc w:val="both"/>
              <w:rPr/>
            </w:pPr>
            <w:r>
              <w:rPr>
                <w:rFonts w:eastAsia="Arial" w:cs="Arial"/>
                <w:sz w:val="22"/>
                <w:szCs w:val="20"/>
              </w:rPr>
              <w:t xml:space="preserve"> </w:t>
            </w:r>
            <w:r>
              <w:rPr>
                <w:sz w:val="22"/>
                <w:szCs w:val="20"/>
              </w:rPr>
              <w:t>To contribute to and where required lead projects that aim to test and pilot innovative approaches to strategic and complex public health issues facing the borough.</w:t>
            </w:r>
          </w:p>
          <w:p>
            <w:pPr>
              <w:pStyle w:val="Normal"/>
              <w:jc w:val="both"/>
              <w:rPr>
                <w:sz w:val="22"/>
                <w:szCs w:val="20"/>
              </w:rPr>
            </w:pPr>
            <w:r>
              <w:rPr>
                <w:sz w:val="22"/>
                <w:szCs w:val="20"/>
              </w:rPr>
            </w:r>
          </w:p>
          <w:p>
            <w:pPr>
              <w:pStyle w:val="Normal"/>
              <w:jc w:val="both"/>
              <w:rPr>
                <w:sz w:val="22"/>
                <w:szCs w:val="20"/>
              </w:rPr>
            </w:pPr>
            <w:r>
              <w:rPr>
                <w:sz w:val="22"/>
                <w:szCs w:val="20"/>
              </w:rPr>
              <w:t>To create and contribute to submissions and bids for external funding.</w:t>
            </w:r>
          </w:p>
          <w:p>
            <w:pPr>
              <w:pStyle w:val="Normal"/>
              <w:jc w:val="both"/>
              <w:rPr>
                <w:sz w:val="22"/>
                <w:szCs w:val="20"/>
              </w:rPr>
            </w:pPr>
            <w:r>
              <w:rPr>
                <w:sz w:val="22"/>
                <w:szCs w:val="20"/>
              </w:rPr>
            </w:r>
          </w:p>
          <w:p>
            <w:pPr>
              <w:pStyle w:val="Normal"/>
              <w:jc w:val="both"/>
              <w:rPr>
                <w:sz w:val="22"/>
                <w:szCs w:val="20"/>
              </w:rPr>
            </w:pPr>
            <w:r>
              <w:rPr>
                <w:sz w:val="22"/>
                <w:szCs w:val="20"/>
              </w:rPr>
              <w:t>Build strong relationships with others internal and external to the organisation to influence, negotiate and network to identify, inspire and mobilise partners to deliver on shared priorities and promote the interests of Oldham and the Co-operative agenda.</w:t>
            </w:r>
          </w:p>
          <w:p>
            <w:pPr>
              <w:pStyle w:val="Normal"/>
              <w:jc w:val="both"/>
              <w:rPr>
                <w:sz w:val="22"/>
                <w:szCs w:val="20"/>
              </w:rPr>
            </w:pPr>
            <w:r>
              <w:rPr>
                <w:sz w:val="22"/>
                <w:szCs w:val="20"/>
              </w:rPr>
            </w:r>
          </w:p>
          <w:p>
            <w:pPr>
              <w:pStyle w:val="Normal"/>
              <w:jc w:val="both"/>
              <w:rPr>
                <w:sz w:val="22"/>
                <w:szCs w:val="20"/>
              </w:rPr>
            </w:pPr>
            <w:r>
              <w:rPr>
                <w:sz w:val="22"/>
                <w:szCs w:val="20"/>
              </w:rPr>
              <w:t>To manage staff as required including matrix management of other members of public health team.</w:t>
            </w:r>
          </w:p>
          <w:p>
            <w:pPr>
              <w:pStyle w:val="Normal"/>
              <w:jc w:val="both"/>
              <w:rPr>
                <w:sz w:val="22"/>
                <w:szCs w:val="20"/>
              </w:rPr>
            </w:pPr>
            <w:r>
              <w:rPr>
                <w:sz w:val="22"/>
                <w:szCs w:val="20"/>
              </w:rPr>
            </w:r>
          </w:p>
          <w:p>
            <w:pPr>
              <w:pStyle w:val="Normal"/>
              <w:jc w:val="both"/>
              <w:rPr>
                <w:sz w:val="22"/>
                <w:szCs w:val="20"/>
              </w:rPr>
            </w:pPr>
            <w:r>
              <w:rPr>
                <w:sz w:val="22"/>
                <w:szCs w:val="20"/>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bCs/>
                <w:sz w:val="22"/>
                <w:szCs w:val="22"/>
              </w:rPr>
              <w:t xml:space="preserve">Contacts: </w:t>
            </w:r>
            <w:r>
              <w:rPr>
                <w:rFonts w:eastAsia="Arial" w:cs="Arial"/>
                <w:color w:val="000000"/>
                <w:sz w:val="22"/>
                <w:szCs w:val="22"/>
              </w:rPr>
              <w:t>Colleagues within the Council, including from other council Directorates, and Elected members. Colleagues from within other local partner agencies such as service providers, and, NHS representatives, and others working in place-based teams. Community organisations and residents. Other Local Authorities and wider external organisations as required.</w:t>
            </w:r>
          </w:p>
          <w:p>
            <w:pPr>
              <w:pStyle w:val="Normal"/>
              <w:jc w:val="both"/>
              <w:rPr>
                <w:b/>
                <w:b/>
                <w:sz w:val="22"/>
                <w:szCs w:val="22"/>
              </w:rPr>
            </w:pPr>
            <w:r>
              <w:rPr>
                <w:b/>
                <w:sz w:val="22"/>
                <w:szCs w:val="22"/>
              </w:rPr>
            </w:r>
          </w:p>
          <w:p>
            <w:pPr>
              <w:pStyle w:val="Normal"/>
              <w:jc w:val="both"/>
              <w:rPr>
                <w:b/>
                <w:b/>
                <w:sz w:val="22"/>
                <w:szCs w:val="22"/>
              </w:rPr>
            </w:pPr>
            <w:r>
              <w:rPr>
                <w:b/>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pPr>
            <w:r>
              <w:rPr>
                <w:b w:val="false"/>
              </w:rPr>
              <w:t xml:space="preserve">Post 1 (permanent) – </w:t>
            </w:r>
            <w:r>
              <w:rPr>
                <w:rFonts w:eastAsia="Arial" w:cs="Arial"/>
                <w:b w:val="false"/>
                <w:bCs/>
                <w:szCs w:val="22"/>
              </w:rPr>
              <w:t>Community-led Prevention Lead (Public Health)</w:t>
            </w:r>
          </w:p>
          <w:p>
            <w:pPr>
              <w:pStyle w:val="TextBody"/>
              <w:rPr>
                <w:b w:val="false"/>
                <w:b w:val="false"/>
              </w:rPr>
            </w:pPr>
            <w:r>
              <w:rPr>
                <w:b w:val="false"/>
              </w:rPr>
              <w:t xml:space="preserve">Post 2 (maternity cover) - Senior Policy, Strategy and Commissioning Manager (Public Health) </w:t>
            </w:r>
          </w:p>
          <w:p>
            <w:pPr>
              <w:pStyle w:val="TextBody"/>
              <w:rPr>
                <w:b w:val="false"/>
                <w:b w:val="false"/>
              </w:rPr>
            </w:pPr>
            <w:r>
              <w:rPr>
                <w:b w:val="false"/>
              </w:rPr>
              <w:t>Community-led prevention lead</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 xml:space="preserve">Responsible for:  </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Post 2 (maternity cover) is responsible for the Public Health Apprentice</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sz w:val="22"/>
                <w:szCs w:val="22"/>
              </w:rPr>
            </w:pPr>
            <w:r>
              <w:rPr>
                <w:b/>
                <w:sz w:val="22"/>
                <w:szCs w:val="22"/>
              </w:rPr>
            </w:r>
          </w:p>
          <w:p>
            <w:pPr>
              <w:pStyle w:val="Normal"/>
              <w:rPr/>
            </w:pPr>
            <w:r>
              <w:rPr>
                <w:b/>
                <w:sz w:val="22"/>
                <w:szCs w:val="22"/>
              </w:rPr>
              <w:t xml:space="preserve">Special Conditions:  </w:t>
            </w:r>
            <w:r>
              <w:rPr>
                <w:bCs/>
                <w:sz w:val="22"/>
                <w:szCs w:val="22"/>
              </w:rPr>
              <w:t>None</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ind w:left="720" w:right="0" w:hanging="0"/>
              <w:jc w:val="both"/>
              <w:rPr>
                <w:rFonts w:cs="Arial"/>
                <w:b/>
                <w:b/>
                <w:color w:val="FFFFFF"/>
                <w:sz w:val="22"/>
                <w:szCs w:val="22"/>
                <w:lang w:val="en" w:eastAsia="en-GB"/>
              </w:rPr>
            </w:pPr>
            <w:r>
              <w:rPr>
                <w:rFonts w:cs="Arial"/>
                <w:b/>
                <w:color w:val="FFFFFF"/>
                <w:sz w:val="22"/>
                <w:szCs w:val="22"/>
                <w:lang w:val="en" w:eastAsia="en-GB"/>
              </w:rPr>
            </w:r>
          </w:p>
          <w:p>
            <w:pPr>
              <w:pStyle w:val="Normal"/>
              <w:shd w:fill="FFFFFF" w:val="clear"/>
              <w:spacing w:lineRule="auto" w:line="254" w:before="0" w:after="379"/>
              <w:jc w:val="both"/>
              <w:rPr/>
            </w:pPr>
            <w:r>
              <w:rPr>
                <w:rFonts w:eastAsia="Helvetica;Arial" w:cs="Helvetica;Arial" w:ascii="Helvetica;Arial" w:hAnsi="Helvetica;Arial"/>
                <w:color w:val="000000"/>
                <w:lang w:val="en-US"/>
              </w:rPr>
              <w:t>B</w:t>
            </w:r>
            <w:r>
              <w:rPr>
                <w:rFonts w:eastAsia="Arial" w:cs="Arial"/>
                <w:color w:val="000000"/>
                <w:sz w:val="22"/>
                <w:szCs w:val="22"/>
                <w:lang w:val="en-US"/>
              </w:rPr>
              <w:t>y living our Values and Behaviours we will deliver the change we need to meet our Corporate ambitions for Oldham.</w:t>
            </w:r>
          </w:p>
          <w:p>
            <w:pPr>
              <w:pStyle w:val="Normal"/>
              <w:spacing w:lineRule="auto" w:line="254"/>
              <w:jc w:val="both"/>
              <w:rPr>
                <w:rFonts w:eastAsia="Arial" w:cs="Arial"/>
                <w:b/>
                <w:b/>
                <w:bCs/>
                <w:sz w:val="22"/>
                <w:szCs w:val="22"/>
                <w:lang w:val="en-US"/>
              </w:rPr>
            </w:pPr>
            <w:r>
              <w:rPr>
                <w:rFonts w:eastAsia="Arial" w:cs="Arial"/>
                <w:b/>
                <w:bCs/>
                <w:sz w:val="22"/>
                <w:szCs w:val="22"/>
                <w:lang w:val="en-US"/>
              </w:rPr>
              <w:t>Our Values:</w:t>
            </w:r>
          </w:p>
          <w:p>
            <w:pPr>
              <w:pStyle w:val="Normal"/>
              <w:spacing w:lineRule="auto" w:line="254"/>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color w:val="000000"/>
                <w:sz w:val="22"/>
                <w:szCs w:val="22"/>
                <w:lang w:val="en-US"/>
              </w:rPr>
            </w:pPr>
            <w:r>
              <w:rPr>
                <w:rFonts w:eastAsia="Arial" w:cs="Arial"/>
                <w:color w:val="000000"/>
                <w:sz w:val="22"/>
                <w:szCs w:val="22"/>
                <w:lang w:val="en-US"/>
              </w:rPr>
              <w:t>We take pride not only in what we deliver for the residents of Oldham but also in how we deliver it.</w:t>
            </w:r>
          </w:p>
          <w:p>
            <w:pPr>
              <w:pStyle w:val="Normal"/>
              <w:spacing w:lineRule="auto" w:line="254"/>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color w:val="000000"/>
                <w:sz w:val="22"/>
                <w:szCs w:val="22"/>
                <w:lang w:val="en-US"/>
              </w:rPr>
            </w:pPr>
            <w:r>
              <w:rPr>
                <w:rFonts w:eastAsia="Arial" w:cs="Arial"/>
                <w:color w:val="000000"/>
                <w:sz w:val="22"/>
                <w:szCs w:val="22"/>
                <w:lang w:val="en-US"/>
              </w:rPr>
              <w:t>We recognise the challenges we face and are committed to setting high aspirations to overcome them, with determination and focus.</w:t>
            </w:r>
          </w:p>
          <w:p>
            <w:pPr>
              <w:pStyle w:val="Normal"/>
              <w:spacing w:lineRule="auto" w:line="254"/>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rPr>
                <w:sz w:val="22"/>
                <w:szCs w:val="20"/>
                <w:lang w:val="en"/>
              </w:rPr>
            </w:pPr>
            <w:r>
              <w:rPr>
                <w:sz w:val="22"/>
                <w:szCs w:val="20"/>
                <w:lang w:val="en"/>
              </w:rPr>
              <w:t>Internally we’ve translated these values into five Co-operative behaviours which outline the priority areas of focus for staff at all levels.</w:t>
            </w:r>
          </w:p>
          <w:p>
            <w:pPr>
              <w:pStyle w:val="Normal"/>
              <w:rPr>
                <w:sz w:val="22"/>
                <w:szCs w:val="22"/>
              </w:rPr>
            </w:pPr>
            <w:r>
              <w:rPr>
                <w:sz w:val="22"/>
                <w:szCs w:val="22"/>
              </w:rPr>
            </w:r>
          </w:p>
          <w:p>
            <w:pPr>
              <w:pStyle w:val="Normal"/>
              <w:numPr>
                <w:ilvl w:val="0"/>
                <w:numId w:val="2"/>
              </w:numPr>
              <w:rPr>
                <w:sz w:val="22"/>
                <w:szCs w:val="22"/>
              </w:rPr>
            </w:pPr>
            <w:r>
              <w:rPr>
                <w:sz w:val="22"/>
                <w:szCs w:val="22"/>
              </w:rPr>
              <w:t>Work with a Resident Focus</w:t>
            </w:r>
          </w:p>
          <w:p>
            <w:pPr>
              <w:pStyle w:val="Normal"/>
              <w:numPr>
                <w:ilvl w:val="0"/>
                <w:numId w:val="2"/>
              </w:numPr>
              <w:rPr>
                <w:sz w:val="22"/>
                <w:szCs w:val="22"/>
              </w:rPr>
            </w:pPr>
            <w:r>
              <w:rPr>
                <w:sz w:val="22"/>
                <w:szCs w:val="22"/>
              </w:rPr>
              <w:t>Support Local Leaders</w:t>
            </w:r>
          </w:p>
          <w:p>
            <w:pPr>
              <w:pStyle w:val="Normal"/>
              <w:numPr>
                <w:ilvl w:val="0"/>
                <w:numId w:val="2"/>
              </w:numPr>
              <w:rPr>
                <w:sz w:val="22"/>
                <w:szCs w:val="22"/>
              </w:rPr>
            </w:pPr>
            <w:r>
              <w:rPr>
                <w:sz w:val="22"/>
                <w:szCs w:val="22"/>
              </w:rPr>
              <w:t>Committed to the Borough</w:t>
            </w:r>
          </w:p>
          <w:p>
            <w:pPr>
              <w:pStyle w:val="Normal"/>
              <w:numPr>
                <w:ilvl w:val="0"/>
                <w:numId w:val="2"/>
              </w:numPr>
              <w:rPr>
                <w:sz w:val="22"/>
                <w:szCs w:val="22"/>
              </w:rPr>
            </w:pPr>
            <w:r>
              <w:rPr>
                <w:sz w:val="22"/>
                <w:szCs w:val="22"/>
              </w:rPr>
              <w:t>Take Ownership and Drive Change</w:t>
            </w:r>
          </w:p>
          <w:p>
            <w:pPr>
              <w:pStyle w:val="Normal"/>
              <w:numPr>
                <w:ilvl w:val="0"/>
                <w:numId w:val="2"/>
              </w:numPr>
              <w:rPr>
                <w:sz w:val="22"/>
                <w:szCs w:val="22"/>
              </w:rPr>
            </w:pPr>
            <w:r>
              <w:rPr>
                <w:sz w:val="22"/>
                <w:szCs w:val="22"/>
              </w:rPr>
              <w:t xml:space="preserve">Deliver High Performance </w:t>
            </w:r>
          </w:p>
          <w:p>
            <w:pPr>
              <w:pStyle w:val="Normal"/>
              <w:rPr>
                <w:sz w:val="22"/>
                <w:szCs w:val="22"/>
              </w:rPr>
            </w:pPr>
            <w:r>
              <w:rPr>
                <w:sz w:val="22"/>
                <w:szCs w:val="22"/>
              </w:rPr>
            </w:r>
          </w:p>
          <w:p>
            <w:pPr>
              <w:pStyle w:val="Normal"/>
              <w:rPr>
                <w:sz w:val="22"/>
                <w:szCs w:val="22"/>
              </w:rPr>
            </w:pPr>
            <w:r>
              <w:rPr>
                <w:sz w:val="22"/>
                <w:szCs w:val="22"/>
              </w:rPr>
              <w:t>More information around our Values and Behaviours can be found on our Greater.Jobs pages.</w:t>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February 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Anna Tebay/ Rebecca Fletcher</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Service Public Health/ Director of Public Health</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April 2026</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Anna Tebay</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Service Public Health</w:t>
            </w:r>
          </w:p>
        </w:tc>
      </w:tr>
    </w:tbl>
    <w:p>
      <w:pPr>
        <w:pStyle w:val="Normal"/>
        <w:jc w:val="center"/>
        <w:rPr>
          <w:b/>
          <w:b/>
          <w:bCs/>
          <w:u w:val="single"/>
        </w:rPr>
      </w:pPr>
      <w:r>
        <w:br w:type="page"/>
      </w:r>
      <w:r>
        <w:rPr>
          <w:b/>
          <w:bCs/>
          <w:u w:val="single"/>
        </w:rPr>
        <w:t>OLDHAM COUNCIL</w:t>
      </w:r>
    </w:p>
    <w:p>
      <w:pPr>
        <w:pStyle w:val="Normal"/>
        <w:jc w:val="center"/>
        <w:rPr>
          <w:b/>
          <w:b/>
          <w:bCs/>
          <w:u w:val="single"/>
        </w:rPr>
      </w:pPr>
      <w:r>
        <w:rPr>
          <w:b/>
          <w:bCs/>
          <w:u w:val="single"/>
        </w:rPr>
        <mc:AlternateContent>
          <mc:Choice Requires="wps">
            <w:drawing>
              <wp:anchor behindDoc="0" distT="0" distB="0" distL="114935" distR="114935" simplePos="0" locked="0" layoutInCell="1" allowOverlap="1" relativeHeight="2">
                <wp:simplePos x="0" y="0"/>
                <wp:positionH relativeFrom="column">
                  <wp:posOffset>5143500</wp:posOffset>
                </wp:positionH>
                <wp:positionV relativeFrom="paragraph">
                  <wp:posOffset>-605790</wp:posOffset>
                </wp:positionV>
                <wp:extent cx="1149350" cy="1188085"/>
                <wp:effectExtent l="0" t="0" r="0" b="0"/>
                <wp:wrapNone/>
                <wp:docPr id="1"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3">
                <wp:simplePos x="0" y="0"/>
                <wp:positionH relativeFrom="column">
                  <wp:posOffset>5143500</wp:posOffset>
                </wp:positionH>
                <wp:positionV relativeFrom="paragraph">
                  <wp:posOffset>-605790</wp:posOffset>
                </wp:positionV>
                <wp:extent cx="1148715" cy="1187450"/>
                <wp:effectExtent l="0" t="0" r="0" b="0"/>
                <wp:wrapNone/>
                <wp:docPr id="2" name="Frame1"/>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Policy &amp; Strategy Officer</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0" w:leader="none"/>
              </w:tabs>
              <w:overflowPunct w:val="true"/>
              <w:textAlignment w:val="baseline"/>
              <w:rPr>
                <w:rFonts w:cs="Arial"/>
                <w:sz w:val="22"/>
                <w:szCs w:val="22"/>
              </w:rPr>
            </w:pPr>
            <w:r>
              <w:rPr>
                <w:rFonts w:cs="Arial"/>
                <w:sz w:val="22"/>
                <w:szCs w:val="22"/>
              </w:rPr>
              <w:t>Educated to degree level or equivalent in relevant subject.</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AF / I</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widowControl w:val="false"/>
              <w:tabs>
                <w:tab w:val="clear" w:pos="720"/>
                <w:tab w:val="left" w:pos="0" w:leader="none"/>
                <w:tab w:val="left" w:pos="360" w:leader="none"/>
              </w:tabs>
              <w:overflowPunct w:val="true"/>
              <w:snapToGrid w:val="false"/>
              <w:textAlignment w:val="baseline"/>
              <w:rPr>
                <w:rFonts w:cs="Arial"/>
                <w:b/>
                <w:b/>
                <w:bCs/>
                <w:color w:val="FFFFFF"/>
                <w:sz w:val="22"/>
                <w:szCs w:val="22"/>
              </w:rPr>
            </w:pPr>
            <w:r>
              <w:rPr>
                <w:rFonts w:cs="Arial"/>
                <w:b/>
                <w:bCs/>
                <w:color w:val="FFFFFF"/>
                <w:sz w:val="22"/>
                <w:szCs w:val="22"/>
              </w:rPr>
            </w:r>
          </w:p>
          <w:p>
            <w:pPr>
              <w:pStyle w:val="Normal"/>
              <w:widowControl w:val="false"/>
              <w:tabs>
                <w:tab w:val="clear" w:pos="720"/>
                <w:tab w:val="left" w:pos="0" w:leader="none"/>
                <w:tab w:val="left" w:pos="360" w:leader="none"/>
              </w:tabs>
              <w:overflowPunct w:val="true"/>
              <w:textAlignment w:val="baseline"/>
              <w:rPr>
                <w:rFonts w:cs="Arial"/>
                <w:sz w:val="22"/>
                <w:szCs w:val="22"/>
              </w:rPr>
            </w:pPr>
            <w:r>
              <w:rPr>
                <w:rFonts w:cs="Arial"/>
                <w:sz w:val="22"/>
                <w:szCs w:val="22"/>
              </w:rPr>
              <w:t xml:space="preserve">Experience of policy development in local or central government, health or other public services </w:t>
            </w:r>
          </w:p>
          <w:p>
            <w:pPr>
              <w:pStyle w:val="Normal"/>
              <w:widowControl w:val="false"/>
              <w:tabs>
                <w:tab w:val="clear" w:pos="720"/>
                <w:tab w:val="left" w:pos="0" w:leader="none"/>
                <w:tab w:val="left" w:pos="360" w:leader="none"/>
              </w:tabs>
              <w:overflowPunct w:val="true"/>
              <w:textAlignment w:val="baseline"/>
              <w:rPr>
                <w:rFonts w:cs="Arial"/>
                <w:sz w:val="22"/>
                <w:szCs w:val="22"/>
              </w:rPr>
            </w:pPr>
            <w:r>
              <w:rPr>
                <w:rFonts w:cs="Arial"/>
                <w:sz w:val="22"/>
                <w:szCs w:val="22"/>
              </w:rPr>
            </w:r>
          </w:p>
          <w:p>
            <w:pPr>
              <w:pStyle w:val="Normal"/>
              <w:widowControl w:val="false"/>
              <w:tabs>
                <w:tab w:val="clear" w:pos="720"/>
                <w:tab w:val="left" w:pos="0" w:leader="none"/>
                <w:tab w:val="left" w:pos="360" w:leader="none"/>
              </w:tabs>
              <w:overflowPunct w:val="true"/>
              <w:textAlignment w:val="baseline"/>
              <w:rPr>
                <w:rFonts w:cs="Arial"/>
                <w:sz w:val="22"/>
                <w:szCs w:val="22"/>
              </w:rPr>
            </w:pPr>
            <w:r>
              <w:rPr>
                <w:rFonts w:cs="Arial"/>
                <w:sz w:val="22"/>
                <w:szCs w:val="22"/>
              </w:rPr>
              <w:t>Experience of developing / delivering public health-related programmes and projects across organisations in partnership with other services</w:t>
            </w:r>
          </w:p>
          <w:p>
            <w:pPr>
              <w:pStyle w:val="Normal"/>
              <w:widowControl w:val="false"/>
              <w:tabs>
                <w:tab w:val="clear" w:pos="720"/>
                <w:tab w:val="left" w:pos="0" w:leader="none"/>
                <w:tab w:val="left" w:pos="360" w:leader="none"/>
              </w:tabs>
              <w:overflowPunct w:val="true"/>
              <w:textAlignment w:val="baseline"/>
              <w:rPr>
                <w:rFonts w:cs="Arial"/>
                <w:sz w:val="22"/>
                <w:szCs w:val="22"/>
              </w:rPr>
            </w:pPr>
            <w:r>
              <w:rPr>
                <w:rFonts w:cs="Arial"/>
                <w:sz w:val="22"/>
                <w:szCs w:val="22"/>
              </w:rPr>
            </w:r>
          </w:p>
          <w:p>
            <w:pPr>
              <w:pStyle w:val="Normal"/>
              <w:widowControl w:val="false"/>
              <w:tabs>
                <w:tab w:val="clear" w:pos="720"/>
                <w:tab w:val="left" w:pos="0" w:leader="none"/>
                <w:tab w:val="left" w:pos="360" w:leader="none"/>
              </w:tabs>
              <w:overflowPunct w:val="true"/>
              <w:textAlignment w:val="baseline"/>
              <w:rPr>
                <w:rFonts w:cs="Arial"/>
                <w:sz w:val="22"/>
                <w:szCs w:val="22"/>
              </w:rPr>
            </w:pPr>
            <w:r>
              <w:rPr>
                <w:rFonts w:cs="Arial"/>
                <w:sz w:val="22"/>
                <w:szCs w:val="22"/>
              </w:rPr>
              <w:t xml:space="preserve">Experience in working in a multi-agency environment, both at a strategic and operational level to effect improvements in population health outcomes for local communities </w:t>
            </w:r>
          </w:p>
          <w:p>
            <w:pPr>
              <w:pStyle w:val="Normal"/>
              <w:widowControl w:val="false"/>
              <w:tabs>
                <w:tab w:val="clear" w:pos="720"/>
                <w:tab w:val="left" w:pos="0" w:leader="none"/>
                <w:tab w:val="left" w:pos="360" w:leader="none"/>
              </w:tabs>
              <w:overflowPunct w:val="true"/>
              <w:textAlignment w:val="baseline"/>
              <w:rPr>
                <w:rFonts w:cs="Arial"/>
                <w:sz w:val="22"/>
                <w:szCs w:val="22"/>
              </w:rPr>
            </w:pPr>
            <w:r>
              <w:rPr>
                <w:rFonts w:cs="Arial"/>
                <w:sz w:val="22"/>
                <w:szCs w:val="22"/>
              </w:rPr>
            </w:r>
          </w:p>
          <w:p>
            <w:pPr>
              <w:pStyle w:val="Normal"/>
              <w:widowControl w:val="false"/>
              <w:tabs>
                <w:tab w:val="clear" w:pos="720"/>
                <w:tab w:val="left" w:pos="360" w:leader="none"/>
              </w:tabs>
              <w:overflowPunct w:val="true"/>
              <w:textAlignment w:val="baseline"/>
              <w:rPr>
                <w:rFonts w:cs="Arial"/>
                <w:sz w:val="22"/>
                <w:szCs w:val="22"/>
              </w:rPr>
            </w:pPr>
            <w:r>
              <w:rPr>
                <w:rFonts w:cs="Arial"/>
                <w:sz w:val="22"/>
                <w:szCs w:val="22"/>
              </w:rPr>
              <w:t>Experience of working with a range of staff groups at different levels, members of the public, partners and key stakeholders to both set and deliver shared goals and objectives to improve and protect population health</w:t>
            </w:r>
          </w:p>
          <w:p>
            <w:pPr>
              <w:pStyle w:val="Normal"/>
              <w:widowControl w:val="false"/>
              <w:tabs>
                <w:tab w:val="clear" w:pos="720"/>
                <w:tab w:val="left" w:pos="360" w:leader="none"/>
              </w:tabs>
              <w:rPr/>
            </w:pPr>
            <w:r>
              <w:rPr/>
            </w:r>
          </w:p>
          <w:p>
            <w:pPr>
              <w:pStyle w:val="Normal"/>
              <w:widowControl w:val="false"/>
              <w:tabs>
                <w:tab w:val="clear" w:pos="720"/>
                <w:tab w:val="left" w:pos="360" w:leader="none"/>
              </w:tabs>
              <w:rPr>
                <w:rFonts w:cs="Arial"/>
                <w:sz w:val="22"/>
                <w:szCs w:val="22"/>
              </w:rPr>
            </w:pPr>
            <w:r>
              <w:rPr>
                <w:rFonts w:cs="Arial"/>
                <w:sz w:val="22"/>
                <w:szCs w:val="22"/>
              </w:rPr>
              <w:t>Experience of engagement activity with residents and key stakeholders.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in motivating colleagues and overseeing work undertaken to ensure it is completed to deadlines and required quality standards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working in a public health-focussed role.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working with elected members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commissioning health and wellbeing-related interventions, projects or services </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0" w:leader="none"/>
              </w:tabs>
              <w:overflowPunct w:val="true"/>
              <w:snapToGrid w:val="false"/>
              <w:textAlignment w:val="baseline"/>
              <w:rPr>
                <w:rFonts w:cs="Arial"/>
                <w:b/>
                <w:b/>
                <w:bCs/>
                <w:color w:val="FFFFFF"/>
                <w:sz w:val="22"/>
                <w:szCs w:val="22"/>
              </w:rPr>
            </w:pPr>
            <w:r>
              <w:rPr>
                <w:rFonts w:cs="Arial"/>
                <w:b/>
                <w:bCs/>
                <w:color w:val="FFFFFF"/>
                <w:sz w:val="22"/>
                <w:szCs w:val="22"/>
              </w:rPr>
            </w:r>
          </w:p>
          <w:p>
            <w:pPr>
              <w:pStyle w:val="NoSpacing"/>
              <w:rPr>
                <w:rFonts w:ascii="Arial" w:hAnsi="Arial" w:cs="Arial"/>
              </w:rPr>
            </w:pPr>
            <w:r>
              <w:rPr>
                <w:rFonts w:cs="Arial" w:ascii="Arial" w:hAnsi="Arial"/>
              </w:rPr>
              <w:t xml:space="preserve">Analytical skills to research and evaluate complex and varied information, developing ideas and initiatives, and making recommendations for action which will underpin policies, proposals and solutions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Well-developed verbal and written communication skills, including presentation skills to explain complex information clearly and concisely in a format appropriate to the intended audience</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 xml:space="preserve">Interpersonal skills to initiate and develop positive and effective partnerships working approach, both internal and external, influencing and negotiating with others to further the objectives of the Council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 xml:space="preserve">Organisational skills to plan, prioritise and re-prioritise own workload, and potentially the work of others within the team, to meet potentially conflicting deadlines, while appropriate quality standards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Initiative to work independently, thinking creatively and strategically to solve a variety of problems, and to make decisions without reference to management support</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0" w:leader="none"/>
              </w:tabs>
              <w:overflowPunct w:val="true"/>
              <w:snapToGrid w:val="false"/>
              <w:textAlignment w:val="baseline"/>
              <w:rPr>
                <w:rFonts w:cs="Arial"/>
                <w:b/>
                <w:b/>
                <w:bCs/>
                <w:color w:val="FFFFFF"/>
                <w:sz w:val="22"/>
                <w:szCs w:val="22"/>
              </w:rPr>
            </w:pPr>
            <w:r>
              <w:rPr>
                <w:rFonts w:cs="Arial"/>
                <w:b/>
                <w:bCs/>
                <w:color w:val="FFFFFF"/>
                <w:sz w:val="22"/>
                <w:szCs w:val="22"/>
              </w:rPr>
            </w:r>
          </w:p>
          <w:p>
            <w:pPr>
              <w:pStyle w:val="Normal"/>
              <w:rPr>
                <w:rFonts w:cs="Arial"/>
                <w:sz w:val="22"/>
                <w:szCs w:val="22"/>
                <w:lang w:val="en-US"/>
              </w:rPr>
            </w:pPr>
            <w:r>
              <w:rPr>
                <w:rFonts w:cs="Arial"/>
                <w:sz w:val="22"/>
                <w:szCs w:val="22"/>
                <w:lang w:val="en-US"/>
              </w:rPr>
              <w:t xml:space="preserve">Detailed knowledge of key policy areas affecting public health in the UK and specifically Oldham borough </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 xml:space="preserve">An understanding of the three domains of public health, and the determinants of health and wellbeing. </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An understanding of approaches to commnunity engagement and co-production</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 xml:space="preserve">An understanding of the politically sensitive environment in which local authorities operative and particularly the role of locally elected politicians </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 xml:space="preserve">A thorough understanding and knowledge of the financial, social and political context of local government, and public health. </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 xml:space="preserve">Detailed knowledge of the policy aspects of health inequalities. </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Detailed knowledge and understanding of the activities and services provided by local government to its local communities and the principle challenges it faces to provide these, operationally, strategically and politically</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An understanding of the commissioning cycle and the process for tendering/re-tendering services </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szCs w:val="22"/>
              </w:rPr>
            </w:pPr>
            <w:r>
              <w:rPr>
                <w:rFonts w:cs="Arial"/>
                <w:sz w:val="22"/>
                <w:szCs w:val="22"/>
              </w:rPr>
              <w:t>Able to travel to different sites across the borough</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work flexibly to meet the demands of the service (including evenings and weekends as necessary)</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I </w:t>
            </w:r>
          </w:p>
          <w:p>
            <w:pPr>
              <w:pStyle w:val="Normal"/>
              <w:jc w:val="center"/>
              <w:rPr>
                <w:rFonts w:cs="Arial"/>
                <w:sz w:val="22"/>
                <w:szCs w:val="22"/>
              </w:rPr>
            </w:pPr>
            <w:r>
              <w:rPr>
                <w:rFonts w:cs="Arial"/>
                <w:sz w:val="22"/>
                <w:szCs w:val="22"/>
              </w:rPr>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spacing w:before="0" w:after="60"/>
        <w:jc w:val="both"/>
        <w:rPr>
          <w:rFonts w:cs="Arial"/>
          <w:sz w:val="22"/>
          <w:szCs w:val="22"/>
          <w:u w:val="single"/>
        </w:rPr>
      </w:pPr>
      <w:r>
        <w:rPr>
          <w:rFonts w:cs="Arial"/>
          <w:sz w:val="22"/>
          <w:szCs w:val="22"/>
          <w:u w:val="single"/>
        </w:rPr>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qFormat/>
    <w:rPr>
      <w:rFonts w:ascii="Arial" w:hAnsi="Arial" w:cs="Arial"/>
      <w:sz w:val="22"/>
      <w:lang w:eastAsia="en-US"/>
    </w:rPr>
  </w:style>
  <w:style w:type="character" w:styleId="FooterChar">
    <w:name w:val="Footer Char"/>
    <w:basedOn w:val="DefaultParagraphFont"/>
    <w:qFormat/>
    <w:rPr>
      <w:rFonts w:ascii="Arial" w:hAnsi="Arial" w:cs="Arial"/>
      <w:sz w:val="24"/>
      <w:szCs w:val="24"/>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NormalWeb">
    <w:name w:val="Normal (Web)"/>
    <w:basedOn w:val="Normal"/>
    <w:qFormat/>
    <w:pPr>
      <w:spacing w:before="280" w:after="280"/>
    </w:pPr>
    <w:rPr>
      <w:rFonts w:ascii="Times New Roman" w:hAnsi="Times New Roman" w:cs="Times New Roman"/>
      <w:lang w:eastAsia="en-GB"/>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2"/>
      <w:lang w:val="en-GB" w:eastAsia="en-US" w:bidi="ar-SA"/>
    </w:rPr>
  </w:style>
  <w:style w:type="paragraph" w:styleId="Footer">
    <w:name w:val="Foot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2026-07-09T13:06:00Z</dcterms:created>
  <dc:creator>OMBC</dc:creator>
  <dc:description/>
  <dc:language>en-US</dc:language>
  <cp:lastModifiedBy>Ian Robinson (HR)</cp:lastModifiedBy>
  <cp:lastPrinted>1995-11-21T17:41:00Z</cp:lastPrinted>
  <dcterms:modified xsi:type="dcterms:W3CDTF">2026-07-09T13:06:00Z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0x0101009C44F4EE77C25142AE4140A6166F6586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