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left="0" w:right="0" w:hanging="2"/>
        <w:jc w:val="center"/>
        <w:rPr>
          <w:rFonts w:ascii="Verdana" w:hAnsi="Verdana" w:cs="Verdana"/>
          <w:sz w:val="52"/>
          <w:szCs w:val="52"/>
        </w:rPr>
      </w:pPr>
      <w:r>
        <w:drawing>
          <wp:anchor behindDoc="0" distT="0" distB="0" distL="114300" distR="114300" simplePos="0" locked="0" layoutInCell="1" allowOverlap="1" relativeHeight="2">
            <wp:simplePos x="0" y="0"/>
            <wp:positionH relativeFrom="column">
              <wp:posOffset>5753100</wp:posOffset>
            </wp:positionH>
            <wp:positionV relativeFrom="paragraph">
              <wp:posOffset>5080</wp:posOffset>
            </wp:positionV>
            <wp:extent cx="967105" cy="732155"/>
            <wp:effectExtent l="0" t="0" r="0" b="0"/>
            <wp:wrapTight wrapText="bothSides">
              <wp:wrapPolygon edited="0">
                <wp:start x="-71" y="0"/>
                <wp:lineTo x="-71" y="21123"/>
                <wp:lineTo x="21249" y="21123"/>
                <wp:lineTo x="21249" y="0"/>
                <wp:lineTo x="-71"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32" r="-24" b="-32"/>
                    <a:stretch>
                      <a:fillRect/>
                    </a:stretch>
                  </pic:blipFill>
                  <pic:spPr bwMode="auto">
                    <a:xfrm>
                      <a:off x="0" y="0"/>
                      <a:ext cx="967105" cy="732155"/>
                    </a:xfrm>
                    <a:prstGeom prst="rect">
                      <a:avLst/>
                    </a:prstGeom>
                  </pic:spPr>
                </pic:pic>
              </a:graphicData>
            </a:graphic>
          </wp:anchor>
        </w:drawing>
        <w:drawing>
          <wp:anchor behindDoc="0" distT="0" distB="0" distL="114300" distR="114300" simplePos="0" locked="0" layoutInCell="1" allowOverlap="1" relativeHeight="3">
            <wp:simplePos x="0" y="0"/>
            <wp:positionH relativeFrom="column">
              <wp:posOffset>-53340</wp:posOffset>
            </wp:positionH>
            <wp:positionV relativeFrom="paragraph">
              <wp:posOffset>5080</wp:posOffset>
            </wp:positionV>
            <wp:extent cx="967105" cy="732155"/>
            <wp:effectExtent l="0" t="0" r="0" b="0"/>
            <wp:wrapTight wrapText="bothSides">
              <wp:wrapPolygon edited="0">
                <wp:start x="-71" y="0"/>
                <wp:lineTo x="-71" y="21123"/>
                <wp:lineTo x="21249" y="21123"/>
                <wp:lineTo x="21249" y="0"/>
                <wp:lineTo x="-71"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4" t="-32" r="-24" b="-32"/>
                    <a:stretch>
                      <a:fillRect/>
                    </a:stretch>
                  </pic:blipFill>
                  <pic:spPr bwMode="auto">
                    <a:xfrm>
                      <a:off x="0" y="0"/>
                      <a:ext cx="967105" cy="732155"/>
                    </a:xfrm>
                    <a:prstGeom prst="rect">
                      <a:avLst/>
                    </a:prstGeom>
                  </pic:spPr>
                </pic:pic>
              </a:graphicData>
            </a:graphic>
          </wp:anchor>
        </w:drawing>
      </w:r>
      <w:r>
        <w:rPr>
          <w:rFonts w:cs="Verdana" w:ascii="Verdana" w:hAnsi="Verdana"/>
          <w:sz w:val="52"/>
          <w:szCs w:val="52"/>
        </w:rPr>
        <w:t>S</w:t>
      </w:r>
      <w:r>
        <w:rPr>
          <w:rFonts w:cs="Verdana" w:ascii="Verdana" w:hAnsi="Verdana"/>
          <w:sz w:val="52"/>
          <w:szCs w:val="52"/>
        </w:rPr>
        <w:t>t Paul’s CE Primary School</w:t>
      </w:r>
    </w:p>
    <w:p>
      <w:pPr>
        <w:pStyle w:val="Header"/>
        <w:ind w:left="0" w:right="0" w:hanging="2"/>
        <w:jc w:val="center"/>
        <w:rPr>
          <w:rFonts w:ascii="Verdana" w:hAnsi="Verdana" w:cs="Verdana"/>
          <w:i/>
          <w:i/>
        </w:rPr>
      </w:pPr>
      <w:r>
        <w:rPr>
          <w:rFonts w:cs="Verdana" w:ascii="Verdana" w:hAnsi="Verdana"/>
          <w:i/>
        </w:rPr>
        <w:t>Part of The Crompton House Trust</w:t>
      </w:r>
    </w:p>
    <w:p>
      <w:pPr>
        <w:pStyle w:val="Header"/>
        <w:ind w:left="0" w:right="0" w:hanging="2"/>
        <w:jc w:val="center"/>
        <w:rPr>
          <w:rFonts w:ascii="Verdana" w:hAnsi="Verdana" w:cs="Verdana"/>
          <w:i/>
          <w:i/>
        </w:rPr>
      </w:pPr>
      <w:r>
        <w:rPr>
          <w:rFonts w:cs="Verdana" w:ascii="Verdana" w:hAnsi="Verdana"/>
          <w:i/>
        </w:rPr>
      </w:r>
    </w:p>
    <w:p>
      <w:pPr>
        <w:pStyle w:val="Normal"/>
        <w:ind w:left="1" w:right="0" w:hanging="3"/>
        <w:jc w:val="center"/>
        <w:rPr>
          <w:rFonts w:cs="Calibri"/>
          <w:b/>
          <w:b/>
          <w:sz w:val="32"/>
          <w:szCs w:val="32"/>
          <w:u w:val="single"/>
        </w:rPr>
      </w:pPr>
      <w:r>
        <w:rPr>
          <w:rFonts w:cs="Calibri"/>
          <w:b/>
          <w:sz w:val="32"/>
          <w:szCs w:val="32"/>
          <w:u w:val="single"/>
        </w:rPr>
        <w:t>Teaching Assistant – Level 3</w:t>
      </w:r>
    </w:p>
    <w:p>
      <w:pPr>
        <w:pStyle w:val="Normal"/>
        <w:ind w:left="1" w:right="0" w:hanging="3"/>
        <w:jc w:val="center"/>
        <w:rPr>
          <w:rFonts w:cs="Calibri"/>
          <w:b/>
          <w:b/>
          <w:sz w:val="32"/>
          <w:szCs w:val="32"/>
          <w:u w:val="single"/>
        </w:rPr>
      </w:pPr>
      <w:r>
        <w:rPr>
          <w:rFonts w:cs="Calibri"/>
          <w:b/>
          <w:sz w:val="32"/>
          <w:szCs w:val="32"/>
          <w:u w:val="single"/>
        </w:rPr>
        <w:t>Job Description</w:t>
      </w:r>
    </w:p>
    <w:p>
      <w:pPr>
        <w:pStyle w:val="Normal"/>
        <w:ind w:left="0" w:right="0" w:hanging="2"/>
        <w:rPr/>
      </w:pPr>
      <w:r>
        <w:rPr/>
      </w:r>
    </w:p>
    <w:tbl>
      <w:tblPr>
        <w:tblW w:w="10465" w:type="dxa"/>
        <w:jc w:val="left"/>
        <w:tblInd w:w="0" w:type="dxa"/>
        <w:tblCellMar>
          <w:top w:w="0" w:type="dxa"/>
          <w:left w:w="108" w:type="dxa"/>
          <w:bottom w:w="0" w:type="dxa"/>
          <w:right w:w="108" w:type="dxa"/>
        </w:tblCellMar>
      </w:tblPr>
      <w:tblGrid>
        <w:gridCol w:w="1980"/>
        <w:gridCol w:w="2268"/>
        <w:gridCol w:w="1133"/>
        <w:gridCol w:w="1985"/>
        <w:gridCol w:w="1133"/>
        <w:gridCol w:w="1966"/>
      </w:tblGrid>
      <w:tr>
        <w:trPr>
          <w:trHeight w:val="454" w:hRule="atLeast"/>
        </w:trPr>
        <w:tc>
          <w:tcPr>
            <w:tcW w:w="1980" w:type="dxa"/>
            <w:tcBorders>
              <w:top w:val="single" w:sz="4" w:space="0" w:color="000000"/>
              <w:left w:val="single" w:sz="4" w:space="0" w:color="000000"/>
              <w:bottom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Job Title</w:t>
            </w:r>
          </w:p>
        </w:tc>
        <w:tc>
          <w:tcPr>
            <w:tcW w:w="848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726" w:leader="none"/>
              </w:tabs>
              <w:suppressAutoHyphens w:val="true"/>
              <w:spacing w:lineRule="auto" w:line="240"/>
              <w:ind w:left="0" w:right="0" w:hanging="0"/>
              <w:textAlignment w:val="top"/>
              <w:rPr>
                <w:rFonts w:cs="Calibri"/>
              </w:rPr>
            </w:pPr>
            <w:r>
              <w:rPr>
                <w:rFonts w:cs="Calibri"/>
              </w:rPr>
              <w:t>Teaching Assistant – Level 3</w:t>
            </w:r>
          </w:p>
        </w:tc>
      </w:tr>
      <w:tr>
        <w:trPr>
          <w:trHeight w:val="454" w:hRule="atLeast"/>
        </w:trPr>
        <w:tc>
          <w:tcPr>
            <w:tcW w:w="1980" w:type="dxa"/>
            <w:tcBorders>
              <w:top w:val="single" w:sz="4" w:space="0" w:color="000000"/>
              <w:left w:val="single" w:sz="4" w:space="0" w:color="000000"/>
              <w:bottom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 xml:space="preserve">School </w:t>
            </w:r>
          </w:p>
        </w:tc>
        <w:tc>
          <w:tcPr>
            <w:tcW w:w="848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726" w:leader="none"/>
              </w:tabs>
              <w:suppressAutoHyphens w:val="true"/>
              <w:spacing w:lineRule="auto" w:line="240"/>
              <w:ind w:left="0" w:right="0" w:hanging="0"/>
              <w:textAlignment w:val="top"/>
              <w:rPr>
                <w:rFonts w:cs="Calibri"/>
              </w:rPr>
            </w:pPr>
            <w:r>
              <w:rPr>
                <w:rFonts w:cs="Calibri"/>
              </w:rPr>
              <w:t>St Paul’s CE Primary School</w:t>
            </w:r>
          </w:p>
        </w:tc>
      </w:tr>
      <w:tr>
        <w:trPr>
          <w:trHeight w:val="680" w:hRule="atLeast"/>
        </w:trPr>
        <w:tc>
          <w:tcPr>
            <w:tcW w:w="1980" w:type="dxa"/>
            <w:tcBorders>
              <w:top w:val="single" w:sz="4" w:space="0" w:color="000000"/>
              <w:left w:val="single" w:sz="4" w:space="0" w:color="000000"/>
              <w:bottom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Post</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726" w:leader="none"/>
              </w:tabs>
              <w:suppressAutoHyphens w:val="true"/>
              <w:spacing w:lineRule="auto" w:line="240"/>
              <w:ind w:left="0" w:right="0" w:hanging="0"/>
              <w:textAlignment w:val="top"/>
              <w:rPr>
                <w:rFonts w:cs="Calibri"/>
              </w:rPr>
            </w:pPr>
            <w:r>
              <w:rPr>
                <w:rFonts w:cs="Calibri"/>
              </w:rPr>
              <w:t xml:space="preserve">Fixed Term: full time, term time plus 5 days  </w:t>
            </w:r>
          </w:p>
        </w:tc>
        <w:tc>
          <w:tcPr>
            <w:tcW w:w="1133" w:type="dxa"/>
            <w:tcBorders>
              <w:top w:val="single" w:sz="4" w:space="0" w:color="000000"/>
              <w:left w:val="single" w:sz="4" w:space="0" w:color="000000"/>
              <w:bottom w:val="single" w:sz="4" w:space="0" w:color="000000"/>
            </w:tcBorders>
            <w:shd w:fill="DBE5F1" w:val="clear"/>
          </w:tcPr>
          <w:p>
            <w:pPr>
              <w:pStyle w:val="Normal"/>
              <w:tabs>
                <w:tab w:val="clear" w:pos="720"/>
                <w:tab w:val="left" w:pos="1726" w:leader="none"/>
              </w:tabs>
              <w:suppressAutoHyphens w:val="true"/>
              <w:spacing w:lineRule="auto" w:line="240"/>
              <w:ind w:left="0" w:right="0" w:hanging="0"/>
              <w:jc w:val="center"/>
              <w:textAlignment w:val="top"/>
              <w:rPr>
                <w:rFonts w:cs="Calibri"/>
                <w:b/>
                <w:b/>
              </w:rPr>
            </w:pPr>
            <w:r>
              <w:rPr>
                <w:rFonts w:cs="Calibri"/>
                <w:b/>
              </w:rPr>
              <w:t>Grade</w:t>
            </w:r>
          </w:p>
        </w:tc>
        <w:tc>
          <w:tcPr>
            <w:tcW w:w="1985" w:type="dxa"/>
            <w:tcBorders>
              <w:top w:val="single" w:sz="4" w:space="0" w:color="000000"/>
              <w:left w:val="single" w:sz="4" w:space="0" w:color="000000"/>
              <w:bottom w:val="single" w:sz="4" w:space="0" w:color="000000"/>
            </w:tcBorders>
            <w:shd w:fill="auto" w:val="clear"/>
          </w:tcPr>
          <w:p>
            <w:pPr>
              <w:pStyle w:val="Normal"/>
              <w:tabs>
                <w:tab w:val="clear" w:pos="720"/>
                <w:tab w:val="left" w:pos="1726" w:leader="none"/>
              </w:tabs>
              <w:suppressAutoHyphens w:val="true"/>
              <w:spacing w:lineRule="auto" w:line="240"/>
              <w:ind w:left="0" w:right="0" w:hanging="0"/>
              <w:jc w:val="center"/>
              <w:textAlignment w:val="top"/>
              <w:rPr>
                <w:rFonts w:cs="Calibri"/>
              </w:rPr>
            </w:pPr>
            <w:r>
              <w:rPr>
                <w:rFonts w:cs="Calibri"/>
              </w:rPr>
              <w:t>Grade 4 SCP 12-17</w:t>
            </w:r>
          </w:p>
        </w:tc>
        <w:tc>
          <w:tcPr>
            <w:tcW w:w="1133" w:type="dxa"/>
            <w:tcBorders>
              <w:top w:val="single" w:sz="4" w:space="0" w:color="000000"/>
              <w:left w:val="single" w:sz="4" w:space="0" w:color="000000"/>
              <w:bottom w:val="single" w:sz="4" w:space="0" w:color="000000"/>
            </w:tcBorders>
            <w:shd w:fill="DBE5F1" w:val="clear"/>
          </w:tcPr>
          <w:p>
            <w:pPr>
              <w:pStyle w:val="Normal"/>
              <w:tabs>
                <w:tab w:val="clear" w:pos="720"/>
                <w:tab w:val="left" w:pos="1726" w:leader="none"/>
              </w:tabs>
              <w:suppressAutoHyphens w:val="true"/>
              <w:spacing w:lineRule="auto" w:line="240"/>
              <w:ind w:left="0" w:right="0" w:hanging="0"/>
              <w:jc w:val="center"/>
              <w:textAlignment w:val="top"/>
              <w:rPr>
                <w:rFonts w:cs="Calibri"/>
                <w:b/>
                <w:b/>
              </w:rPr>
            </w:pPr>
            <w:r>
              <w:rPr>
                <w:rFonts w:cs="Calibri"/>
                <w:b/>
              </w:rPr>
              <w:t>Hours</w:t>
            </w:r>
          </w:p>
        </w:tc>
        <w:tc>
          <w:tcPr>
            <w:tcW w:w="196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726" w:leader="none"/>
              </w:tabs>
              <w:suppressAutoHyphens w:val="true"/>
              <w:spacing w:lineRule="auto" w:line="240"/>
              <w:ind w:left="0" w:right="0" w:hanging="0"/>
              <w:jc w:val="center"/>
              <w:textAlignment w:val="top"/>
              <w:rPr>
                <w:rFonts w:cs="Calibri"/>
              </w:rPr>
            </w:pPr>
            <w:r>
              <w:rPr>
                <w:rFonts w:cs="Calibri"/>
              </w:rPr>
              <w:t>32.5 hours</w:t>
            </w:r>
          </w:p>
        </w:tc>
      </w:tr>
    </w:tbl>
    <w:p>
      <w:pPr>
        <w:pStyle w:val="Normal"/>
        <w:spacing w:before="10" w:after="10"/>
        <w:jc w:val="center"/>
        <w:rPr>
          <w:rFonts w:cs="Calibri"/>
          <w:sz w:val="8"/>
          <w:szCs w:val="8"/>
        </w:rPr>
      </w:pPr>
      <w:r>
        <w:rPr>
          <w:rFonts w:cs="Calibri"/>
          <w:sz w:val="8"/>
          <w:szCs w:val="8"/>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Job Purpose</w:t>
            </w:r>
          </w:p>
        </w:tc>
      </w:tr>
      <w:tr>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true"/>
              <w:spacing w:lineRule="auto" w:line="240" w:before="120" w:after="120"/>
              <w:ind w:left="0" w:right="0" w:hanging="0"/>
              <w:textAlignment w:val="top"/>
              <w:rPr>
                <w:rFonts w:cs="Calibri"/>
              </w:rPr>
            </w:pPr>
            <w:r>
              <w:rPr>
                <w:rFonts w:cs="Calibri"/>
              </w:rPr>
              <w:t>To work under the guidance of designated teaching / senior staff and within an agreed system of supervision, to implement agreed work programmes with individuals / groups, in or out of the classroom. This could include those requiring detailed knowledge in particular areas and will involve assisting the teacher in the whole planning cycle and the management / 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tc>
      </w:tr>
    </w:tbl>
    <w:p>
      <w:pPr>
        <w:pStyle w:val="Normal"/>
        <w:jc w:val="center"/>
        <w:rPr>
          <w:rFonts w:cs="Calibri"/>
          <w:sz w:val="8"/>
          <w:szCs w:val="8"/>
        </w:rPr>
      </w:pPr>
      <w:r>
        <w:rPr>
          <w:rFonts w:cs="Calibri"/>
          <w:sz w:val="8"/>
          <w:szCs w:val="8"/>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 xml:space="preserve">Key Tasks – Support for Pupils </w:t>
            </w:r>
          </w:p>
        </w:tc>
      </w:tr>
      <w:tr>
        <w:trPr>
          <w:trHeight w:val="3060"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Establish rapport and respectful, trusting relationships with pupils, acting as a role model and setting high expectations.</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Promote inclusion and acceptance of all pupils in the classroom by encouraging them to interact with each other and to engage in activities led by the teacher.</w:t>
            </w:r>
          </w:p>
          <w:p>
            <w:pPr>
              <w:pStyle w:val="ListParagraph"/>
              <w:numPr>
                <w:ilvl w:val="0"/>
                <w:numId w:val="2"/>
              </w:numPr>
              <w:pBdr/>
              <w:suppressAutoHyphens w:val="true"/>
              <w:spacing w:lineRule="auto" w:line="240" w:before="120" w:after="120"/>
              <w:ind w:left="714" w:right="0" w:hanging="357"/>
              <w:contextualSpacing/>
              <w:textAlignment w:val="top"/>
              <w:rPr/>
            </w:pPr>
            <w:r>
              <w:rPr/>
              <w:t xml:space="preserve">Supervise and support pupils, including those with special needs, to undertake / access agreed learning activities / programmes linked to local and national curriculum and learning strategies, e.g. literacy, numeracy, KS1, KS2 or early years.  </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The role may include supporting and implementing pupils’ personal programme, including social, health, physical, hygiene, and welfare matters. The pupil may also need assistance to access different areas of the school.  Following appropriate training and in line with school procedures, to administer basic first aid and/or medication as required.</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Support the effective use of ICT in learning activities and develop pupils’ competence and independence in its use.</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Contribute to the development and implementation of Individual Education Plans and Behaviour Plans.</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Promote self-esteem and independence and employ strategies to recognise and reward achievement of self-reliance.</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Provide specific feedback in discussion with pupils on their progress and achievement, in line with school policy.</w:t>
            </w:r>
          </w:p>
        </w:tc>
      </w:tr>
      <w:tr>
        <w:trPr>
          <w:trHeight w:val="246" w:hRule="atLeast"/>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pBdr/>
              <w:suppressAutoHyphens w:val="true"/>
              <w:spacing w:lineRule="auto" w:line="240"/>
              <w:ind w:left="0" w:right="0" w:hanging="2"/>
              <w:textAlignment w:val="top"/>
              <w:rPr>
                <w:rFonts w:cs="Calibri"/>
                <w:b/>
                <w:b/>
                <w:color w:val="000000"/>
              </w:rPr>
            </w:pPr>
            <w:r>
              <w:rPr>
                <w:rFonts w:cs="Calibri"/>
                <w:b/>
                <w:color w:val="000000"/>
              </w:rPr>
              <w:t>Key Tasks – Support for Teachers</w:t>
            </w:r>
          </w:p>
        </w:tc>
      </w:tr>
      <w:tr>
        <w:trPr>
          <w:trHeight w:val="1020"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Promote positive values, attitudes and good pupil behaviour. Deal promptly with conflicts and incidents whilst encouraging pupils to take responsibility for their own behaviour, in line with established school policies.</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Liaise sensitively and effectively with parents and carers as agreed with the teacher within your role / responsibilities and participate in feedback sessions / meetings with parents under direction from a teacher.</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Work with the teacher to plan and implement lessons / activities, evaluating and adjusting lesson work / plans according to pupils’ learning styles and individual needs and to meet pre-determined learning objectives.</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Contribute to the setting up and on-going delivery of local and national learning strategies, e.g. literacy, numeracy, effectively utilising all alternative opportunities to support extended development of pupils’ skills.</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 xml:space="preserve">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 </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Undertake routine marking of pupils’ work and accurately record achievement / progress using an explicit mark scheme that does not require interpretation. Invigilate tests and examinations as required.</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Be responsible for keeping and updating records in a format agreed with the teacher, contributing to reviews / systems of records and systems as necessary.</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Collate pupil reports in liaison with the teacher, inputting data as required.</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Create and maintain an appropriate learning environment in liaison with the teacher.</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Assist with the display of pupils’ work.</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 xml:space="preserve">Determine the need for, prepare and maintain general and specialist equipment and resources. </w:t>
            </w:r>
          </w:p>
          <w:p>
            <w:pPr>
              <w:pStyle w:val="ListParagraph"/>
              <w:numPr>
                <w:ilvl w:val="0"/>
                <w:numId w:val="2"/>
              </w:numPr>
              <w:pBdr/>
              <w:suppressAutoHyphens w:val="true"/>
              <w:spacing w:lineRule="auto" w:line="240" w:before="120" w:after="120"/>
              <w:ind w:left="720" w:right="0" w:hanging="1"/>
              <w:contextualSpacing/>
              <w:textAlignment w:val="top"/>
              <w:rPr>
                <w:rFonts w:cs="Calibri"/>
                <w:color w:val="000000"/>
              </w:rPr>
            </w:pPr>
            <w:r>
              <w:rPr>
                <w:rFonts w:cs="Calibri"/>
                <w:color w:val="000000"/>
              </w:rPr>
              <w:t>Provide clerical support for teachers, e.g. photocopying, filing, record-keeping, collecting money, checking of deliveries and placing goods in stock and. maintaining records of stock; administering coursework, production of work sheets for agreed activities.</w:t>
            </w:r>
          </w:p>
        </w:tc>
      </w:tr>
      <w:tr>
        <w:trPr>
          <w:trHeight w:val="232" w:hRule="atLeast"/>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pBdr/>
              <w:suppressAutoHyphens w:val="true"/>
              <w:spacing w:lineRule="auto" w:line="240"/>
              <w:ind w:left="0" w:right="0" w:hanging="0"/>
              <w:textAlignment w:val="top"/>
              <w:rPr>
                <w:rFonts w:cs="Calibri"/>
                <w:b/>
                <w:b/>
                <w:color w:val="000000"/>
              </w:rPr>
            </w:pPr>
            <w:r>
              <w:rPr>
                <w:rFonts w:cs="Calibri"/>
                <w:b/>
                <w:color w:val="000000"/>
              </w:rPr>
              <w:t>Key Tasks – Support for the School</w:t>
            </w:r>
          </w:p>
        </w:tc>
      </w:tr>
      <w:tr>
        <w:trPr>
          <w:trHeight w:val="23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suppressAutoHyphens w:val="true"/>
              <w:spacing w:lineRule="auto" w:line="240" w:before="120" w:after="120"/>
              <w:ind w:left="714" w:right="0" w:hanging="357"/>
              <w:contextualSpacing/>
              <w:jc w:val="both"/>
              <w:textAlignment w:val="top"/>
              <w:rPr/>
            </w:pPr>
            <w:r>
              <w:rPr/>
              <w:t>To support others within the classroom and the School, contributing to the achievement of School objectives by working as part of a team.</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Establish constructive relationships and communicate with other agencies / professionals, in liaison with the teacher, to support the achievement and progress of pupils.</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 xml:space="preserve">Assist with activities outside the classroom, working as part of a team to supervise pupils and support Activity Leaders, e.g. Breakfast Club or accompanying to swimming lessons.  </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Accompany teaching staff and pupils on visits, trips and out-of-school activities as required and take responsibility for a group under the supervision of a teacher.</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Act as cover, supervising whole classes occasionally, during short-term unforeseen absence of teachers.</w:t>
            </w:r>
          </w:p>
          <w:p>
            <w:pPr>
              <w:pStyle w:val="ListParagraph"/>
              <w:numPr>
                <w:ilvl w:val="0"/>
                <w:numId w:val="2"/>
              </w:numPr>
              <w:pBdr/>
              <w:suppressAutoHyphens w:val="true"/>
              <w:spacing w:lineRule="auto" w:line="240" w:before="120" w:after="120"/>
              <w:ind w:left="714" w:right="0" w:hanging="357"/>
              <w:contextualSpacing/>
              <w:textAlignment w:val="top"/>
              <w:rPr>
                <w:rFonts w:cs="Calibri"/>
                <w:color w:val="000000"/>
              </w:rPr>
            </w:pPr>
            <w:r>
              <w:rPr>
                <w:rFonts w:cs="Calibri"/>
                <w:color w:val="000000"/>
              </w:rPr>
              <w:t>Maintain good order and keep pupils on task. Respond to pupils’ questions and generally assist pupils to undertake set activities.</w:t>
            </w:r>
          </w:p>
        </w:tc>
      </w:tr>
    </w:tbl>
    <w:p>
      <w:pPr>
        <w:pStyle w:val="Normal"/>
        <w:jc w:val="center"/>
        <w:rPr>
          <w:rFonts w:cs="Calibri"/>
          <w:sz w:val="6"/>
          <w:szCs w:val="6"/>
        </w:rPr>
      </w:pPr>
      <w:r>
        <w:rPr>
          <w:rFonts w:cs="Calibri"/>
          <w:sz w:val="6"/>
          <w:szCs w:val="6"/>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Standard Duties</w:t>
            </w:r>
          </w:p>
        </w:tc>
      </w:tr>
      <w:tr>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understand the importance of inclusion, equality and diversity, both when working with pupils and with colleagues, and to promote equal opportunities for all.</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uphold and promote the values and the ethos of the school.</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implement and uphold the policies, procedures and codes of practice of the School, including relating to customer care, finance, data protection, ICT, health &amp; safety, anti-bullying and safeguarding / child protection.</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take a pro-active approach to health and safety, working with others in the school to minimise and mitigate potential hazards and risks, and actively contribute to the security of the school, e.g. challenging a stranger on the premises.</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participate and engage with workplace learning and development opportunities to continually improve own performance and that of the team/school.</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attend and participate in relevant meetings as appropriate.</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 xml:space="preserve">To undertake any other additional duties commensurate with the grade of the post under the direction of the Head Teacher. </w:t>
            </w:r>
          </w:p>
          <w:p>
            <w:pPr>
              <w:pStyle w:val="ListParagraph"/>
              <w:numPr>
                <w:ilvl w:val="0"/>
                <w:numId w:val="3"/>
              </w:numPr>
              <w:pBdr/>
              <w:suppressAutoHyphens w:val="true"/>
              <w:spacing w:lineRule="auto" w:line="240" w:before="60" w:after="60"/>
              <w:ind w:left="714" w:right="0" w:hanging="357"/>
              <w:contextualSpacing/>
              <w:textAlignment w:val="top"/>
              <w:rPr>
                <w:rFonts w:cs="Calibri"/>
              </w:rPr>
            </w:pPr>
            <w:r>
              <w:rPr>
                <w:rFonts w:cs="Calibri"/>
              </w:rPr>
              <w:t>To provide lunchtime cover and support.</w:t>
            </w:r>
          </w:p>
        </w:tc>
      </w:tr>
    </w:tbl>
    <w:p>
      <w:pPr>
        <w:pStyle w:val="Normal"/>
        <w:ind w:left="0" w:right="0" w:hanging="2"/>
        <w:jc w:val="center"/>
        <w:rPr>
          <w:rFonts w:cs="Calibri"/>
        </w:rPr>
      </w:pPr>
      <w:r>
        <w:rPr>
          <w:rFonts w:cs="Calibri"/>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Contacts</w:t>
            </w:r>
          </w:p>
        </w:tc>
      </w:tr>
      <w:tr>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true"/>
              <w:spacing w:lineRule="auto" w:line="240" w:before="120" w:after="120"/>
              <w:ind w:left="0" w:right="0" w:hanging="0"/>
              <w:textAlignment w:val="top"/>
              <w:rPr>
                <w:rFonts w:cs="Calibri"/>
              </w:rPr>
            </w:pPr>
            <w:r>
              <w:rPr>
                <w:rFonts w:cs="Calibri"/>
              </w:rPr>
              <w:t>Colleagues working within the School, Pupils, Parents / relatives / carers, Peripatetic services, Educational Psychologists and other education or health care professionals, Governors</w:t>
            </w:r>
          </w:p>
        </w:tc>
      </w:tr>
    </w:tbl>
    <w:p>
      <w:pPr>
        <w:pStyle w:val="Normal"/>
        <w:jc w:val="center"/>
        <w:rPr>
          <w:rFonts w:cs="Calibri"/>
          <w:sz w:val="6"/>
          <w:szCs w:val="6"/>
        </w:rPr>
      </w:pPr>
      <w:r>
        <w:rPr>
          <w:rFonts w:cs="Calibri"/>
          <w:sz w:val="6"/>
          <w:szCs w:val="6"/>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Relationships to other posts in school</w:t>
            </w:r>
          </w:p>
        </w:tc>
      </w:tr>
      <w:tr>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true"/>
              <w:spacing w:lineRule="auto" w:line="240" w:before="120" w:after="120"/>
              <w:ind w:left="0" w:right="0" w:hanging="2"/>
              <w:textAlignment w:val="top"/>
              <w:rPr>
                <w:rFonts w:cs="Calibri"/>
              </w:rPr>
            </w:pPr>
            <w:r>
              <w:rPr>
                <w:rFonts w:cs="Calibri"/>
              </w:rPr>
              <w:t>Responsible to: Headteacher</w:t>
            </w:r>
          </w:p>
          <w:p>
            <w:pPr>
              <w:pStyle w:val="Normal"/>
              <w:suppressAutoHyphens w:val="true"/>
              <w:spacing w:lineRule="auto" w:line="240" w:before="120" w:after="120"/>
              <w:ind w:left="0" w:right="0" w:hanging="2"/>
              <w:textAlignment w:val="top"/>
              <w:rPr>
                <w:rFonts w:cs="Calibri"/>
              </w:rPr>
            </w:pPr>
            <w:r>
              <w:rPr>
                <w:rFonts w:cs="Calibri"/>
              </w:rPr>
              <w:t xml:space="preserve">Responsible for: Not Applicable </w:t>
            </w:r>
          </w:p>
        </w:tc>
      </w:tr>
    </w:tbl>
    <w:p>
      <w:pPr>
        <w:pStyle w:val="Normal"/>
        <w:jc w:val="center"/>
        <w:rPr>
          <w:rFonts w:cs="Calibri"/>
          <w:sz w:val="6"/>
          <w:szCs w:val="6"/>
        </w:rPr>
      </w:pPr>
      <w:r>
        <w:rPr>
          <w:rFonts w:cs="Calibri"/>
          <w:sz w:val="6"/>
          <w:szCs w:val="6"/>
        </w:rPr>
      </w:r>
    </w:p>
    <w:tbl>
      <w:tblPr>
        <w:tblW w:w="10466" w:type="dxa"/>
        <w:jc w:val="left"/>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DBE5F1" w:val="clear"/>
          </w:tcPr>
          <w:p>
            <w:pPr>
              <w:pStyle w:val="Normal"/>
              <w:suppressAutoHyphens w:val="true"/>
              <w:spacing w:lineRule="auto" w:line="240"/>
              <w:ind w:left="0" w:right="0" w:hanging="0"/>
              <w:textAlignment w:val="top"/>
              <w:rPr>
                <w:rFonts w:cs="Calibri"/>
                <w:b/>
                <w:b/>
              </w:rPr>
            </w:pPr>
            <w:r>
              <w:rPr>
                <w:rFonts w:cs="Calibri"/>
                <w:b/>
              </w:rPr>
              <w:t>Special Conditions</w:t>
            </w:r>
          </w:p>
        </w:tc>
      </w:tr>
      <w:tr>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true"/>
              <w:spacing w:lineRule="auto" w:line="240" w:before="120" w:after="120"/>
              <w:ind w:left="0" w:right="0" w:hanging="2"/>
              <w:textAlignment w:val="top"/>
              <w:rPr/>
            </w:pPr>
            <w:r>
              <w:rPr/>
              <w:t>Enhanced DBS Disclosure is required</w:t>
            </w:r>
          </w:p>
        </w:tc>
      </w:tr>
    </w:tbl>
    <w:p>
      <w:pPr>
        <w:pStyle w:val="Normal"/>
        <w:ind w:left="0" w:right="0" w:hanging="2"/>
        <w:jc w:val="center"/>
        <w:rPr>
          <w:rFonts w:cs="Calibri"/>
        </w:rPr>
      </w:pPr>
      <w:r>
        <w:rPr>
          <w:rFonts w:cs="Calibri"/>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u w:val="single"/>
        </w:rPr>
      </w:pPr>
      <w:r>
        <w:rPr>
          <w:rFonts w:cs="Calibri"/>
          <w:u w:val="single"/>
        </w:rPr>
        <w:drawing>
          <wp:anchor behindDoc="0" distT="0" distB="0" distL="114300" distR="114300" simplePos="0" locked="0" layoutInCell="1" allowOverlap="1" relativeHeight="4">
            <wp:simplePos x="0" y="0"/>
            <wp:positionH relativeFrom="column">
              <wp:posOffset>5806440</wp:posOffset>
            </wp:positionH>
            <wp:positionV relativeFrom="paragraph">
              <wp:posOffset>152400</wp:posOffset>
            </wp:positionV>
            <wp:extent cx="967105" cy="737235"/>
            <wp:effectExtent l="0" t="0" r="0" b="0"/>
            <wp:wrapTight wrapText="bothSides">
              <wp:wrapPolygon edited="0">
                <wp:start x="-71" y="0"/>
                <wp:lineTo x="-71" y="21123"/>
                <wp:lineTo x="21249" y="21123"/>
                <wp:lineTo x="21249" y="0"/>
                <wp:lineTo x="-71" y="0"/>
              </wp:wrapPolygon>
            </wp:wrapTigh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4" t="-32" r="-24" b="-32"/>
                    <a:stretch>
                      <a:fillRect/>
                    </a:stretch>
                  </pic:blipFill>
                  <pic:spPr bwMode="auto">
                    <a:xfrm>
                      <a:off x="0" y="0"/>
                      <a:ext cx="967105" cy="737235"/>
                    </a:xfrm>
                    <a:prstGeom prst="rect">
                      <a:avLst/>
                    </a:prstGeom>
                  </pic:spPr>
                </pic:pic>
              </a:graphicData>
            </a:graphic>
          </wp:anchor>
        </w:drawing>
        <w:drawing>
          <wp:anchor behindDoc="0" distT="0" distB="0" distL="114300" distR="114300" simplePos="0" locked="0" layoutInCell="1" allowOverlap="1" relativeHeight="5">
            <wp:simplePos x="0" y="0"/>
            <wp:positionH relativeFrom="column">
              <wp:posOffset>-60960</wp:posOffset>
            </wp:positionH>
            <wp:positionV relativeFrom="paragraph">
              <wp:posOffset>160020</wp:posOffset>
            </wp:positionV>
            <wp:extent cx="967105" cy="737235"/>
            <wp:effectExtent l="0" t="0" r="0" b="0"/>
            <wp:wrapTight wrapText="bothSides">
              <wp:wrapPolygon edited="0">
                <wp:start x="-71" y="0"/>
                <wp:lineTo x="-71" y="21123"/>
                <wp:lineTo x="21249" y="21123"/>
                <wp:lineTo x="21249" y="0"/>
                <wp:lineTo x="-71" y="0"/>
              </wp:wrapPolygon>
            </wp:wrapTigh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24" t="-32" r="-24" b="-32"/>
                    <a:stretch>
                      <a:fillRect/>
                    </a:stretch>
                  </pic:blipFill>
                  <pic:spPr bwMode="auto">
                    <a:xfrm>
                      <a:off x="0" y="0"/>
                      <a:ext cx="967105" cy="737235"/>
                    </a:xfrm>
                    <a:prstGeom prst="rect">
                      <a:avLst/>
                    </a:prstGeom>
                  </pic:spPr>
                </pic:pic>
              </a:graphicData>
            </a:graphic>
          </wp:anchor>
        </w:drawing>
      </w:r>
    </w:p>
    <w:p>
      <w:pPr>
        <w:pStyle w:val="Normal"/>
        <w:ind w:left="3" w:right="0" w:hanging="5"/>
        <w:jc w:val="center"/>
        <w:rPr>
          <w:rFonts w:ascii="Verdana" w:hAnsi="Verdana" w:cs="Verdana"/>
          <w:sz w:val="52"/>
          <w:szCs w:val="52"/>
        </w:rPr>
      </w:pPr>
      <w:r>
        <w:rPr>
          <w:rFonts w:cs="Verdana" w:ascii="Verdana" w:hAnsi="Verdana"/>
          <w:sz w:val="52"/>
          <w:szCs w:val="52"/>
        </w:rPr>
        <w:t>St Paul’s CE Primary School</w:t>
      </w:r>
    </w:p>
    <w:p>
      <w:pPr>
        <w:pStyle w:val="Header"/>
        <w:ind w:left="0" w:right="0" w:hanging="2"/>
        <w:jc w:val="center"/>
        <w:rPr>
          <w:rFonts w:ascii="Verdana" w:hAnsi="Verdana" w:cs="Verdana"/>
          <w:i/>
          <w:i/>
        </w:rPr>
      </w:pPr>
      <w:r>
        <w:rPr>
          <w:rFonts w:cs="Verdana" w:ascii="Verdana" w:hAnsi="Verdana"/>
          <w:i/>
        </w:rPr>
        <w:t>Part of The Crompton House Trust</w:t>
      </w:r>
    </w:p>
    <w:p>
      <w:pPr>
        <w:pStyle w:val="Header"/>
        <w:ind w:left="0" w:right="0" w:hanging="2"/>
        <w:jc w:val="center"/>
        <w:rPr>
          <w:rFonts w:ascii="Verdana" w:hAnsi="Verdana" w:cs="Verdana"/>
          <w:i/>
          <w:i/>
        </w:rPr>
      </w:pPr>
      <w:r>
        <w:rPr>
          <w:rFonts w:cs="Verdana" w:ascii="Verdana" w:hAnsi="Verdana"/>
          <w:i/>
        </w:rPr>
      </w:r>
    </w:p>
    <w:p>
      <w:pPr>
        <w:pStyle w:val="Normal"/>
        <w:ind w:left="1" w:right="0" w:hanging="3"/>
        <w:jc w:val="center"/>
        <w:rPr>
          <w:rFonts w:cs="Calibri"/>
          <w:b/>
          <w:b/>
          <w:sz w:val="32"/>
          <w:szCs w:val="32"/>
          <w:u w:val="single"/>
        </w:rPr>
      </w:pPr>
      <w:r>
        <w:rPr>
          <w:rFonts w:cs="Calibri"/>
          <w:b/>
          <w:sz w:val="32"/>
          <w:szCs w:val="32"/>
          <w:u w:val="single"/>
        </w:rPr>
        <w:t>Teaching Assistant – Level 3</w:t>
      </w:r>
    </w:p>
    <w:p>
      <w:pPr>
        <w:pStyle w:val="Normal"/>
        <w:ind w:left="1" w:right="0" w:hanging="3"/>
        <w:jc w:val="center"/>
        <w:rPr>
          <w:rFonts w:cs="Calibri"/>
          <w:b/>
          <w:b/>
          <w:sz w:val="32"/>
          <w:szCs w:val="32"/>
          <w:u w:val="single"/>
        </w:rPr>
      </w:pPr>
      <w:r>
        <w:rPr>
          <w:rFonts w:cs="Calibri"/>
          <w:b/>
          <w:sz w:val="32"/>
          <w:szCs w:val="32"/>
          <w:u w:val="single"/>
        </w:rPr>
        <w:t>Personal Specification</w:t>
      </w:r>
    </w:p>
    <w:p>
      <w:pPr>
        <w:pStyle w:val="Normal"/>
        <w:ind w:left="0" w:right="0" w:hanging="0"/>
        <w:rPr>
          <w:rFonts w:cs="Calibri"/>
          <w:b/>
          <w:b/>
          <w:bCs/>
          <w:u w:val="single"/>
        </w:rPr>
      </w:pPr>
      <w:r>
        <w:rPr>
          <w:rFonts w:cs="Calibri"/>
          <w:b/>
          <w:bCs/>
          <w:u w:val="single"/>
        </w:rPr>
      </w:r>
    </w:p>
    <w:tbl>
      <w:tblPr>
        <w:tblW w:w="10494" w:type="dxa"/>
        <w:jc w:val="left"/>
        <w:tblInd w:w="0" w:type="dxa"/>
        <w:tblCellMar>
          <w:top w:w="0" w:type="dxa"/>
          <w:left w:w="108" w:type="dxa"/>
          <w:bottom w:w="0" w:type="dxa"/>
          <w:right w:w="108" w:type="dxa"/>
        </w:tblCellMar>
      </w:tblPr>
      <w:tblGrid>
        <w:gridCol w:w="1757"/>
        <w:gridCol w:w="3584"/>
        <w:gridCol w:w="3584"/>
        <w:gridCol w:w="1569"/>
      </w:tblGrid>
      <w:tr>
        <w:trPr/>
        <w:tc>
          <w:tcPr>
            <w:tcW w:w="1757" w:type="dxa"/>
            <w:tcBorders>
              <w:top w:val="single" w:sz="4" w:space="0" w:color="000000"/>
              <w:left w:val="single" w:sz="4" w:space="0" w:color="000000"/>
              <w:bottom w:val="single" w:sz="4" w:space="0" w:color="000000"/>
            </w:tcBorders>
            <w:shd w:fill="DBE5F1" w:val="clear"/>
          </w:tcPr>
          <w:p>
            <w:pPr>
              <w:pStyle w:val="Normal"/>
              <w:snapToGrid w:val="false"/>
              <w:spacing w:lineRule="auto" w:line="240"/>
              <w:ind w:left="0" w:right="0" w:hanging="2"/>
              <w:rPr>
                <w:rFonts w:cs="Calibri"/>
              </w:rPr>
            </w:pPr>
            <w:r>
              <w:rPr>
                <w:rFonts w:cs="Calibri"/>
              </w:rPr>
            </w:r>
          </w:p>
        </w:tc>
        <w:tc>
          <w:tcPr>
            <w:tcW w:w="3584" w:type="dxa"/>
            <w:tcBorders>
              <w:top w:val="single" w:sz="4" w:space="0" w:color="000000"/>
              <w:left w:val="single" w:sz="4" w:space="0" w:color="000000"/>
              <w:bottom w:val="single" w:sz="4" w:space="0" w:color="000000"/>
            </w:tcBorders>
            <w:shd w:fill="DBE5F1" w:val="clear"/>
          </w:tcPr>
          <w:p>
            <w:pPr>
              <w:pStyle w:val="Normal"/>
              <w:spacing w:lineRule="auto" w:line="240"/>
              <w:ind w:left="0" w:right="0" w:hanging="2"/>
              <w:jc w:val="center"/>
              <w:rPr>
                <w:rFonts w:cs="Calibri"/>
                <w:b/>
                <w:b/>
              </w:rPr>
            </w:pPr>
            <w:r>
              <w:rPr>
                <w:rFonts w:cs="Calibri"/>
                <w:b/>
              </w:rPr>
              <w:t>Selection Criteria - Essential</w:t>
            </w:r>
          </w:p>
        </w:tc>
        <w:tc>
          <w:tcPr>
            <w:tcW w:w="3584" w:type="dxa"/>
            <w:tcBorders>
              <w:top w:val="single" w:sz="4" w:space="0" w:color="000000"/>
              <w:left w:val="single" w:sz="4" w:space="0" w:color="000000"/>
              <w:bottom w:val="single" w:sz="4" w:space="0" w:color="000000"/>
            </w:tcBorders>
            <w:shd w:fill="DBE5F1" w:val="clear"/>
          </w:tcPr>
          <w:p>
            <w:pPr>
              <w:pStyle w:val="Normal"/>
              <w:spacing w:lineRule="auto" w:line="240"/>
              <w:ind w:left="0" w:right="0" w:hanging="2"/>
              <w:jc w:val="center"/>
              <w:rPr>
                <w:rFonts w:cs="Calibri"/>
                <w:b/>
                <w:b/>
              </w:rPr>
            </w:pPr>
            <w:r>
              <w:rPr>
                <w:rFonts w:cs="Calibri"/>
                <w:b/>
              </w:rPr>
              <w:t>Selection Criteria - Desirable</w:t>
            </w:r>
          </w:p>
        </w:tc>
        <w:tc>
          <w:tcPr>
            <w:tcW w:w="1569" w:type="dxa"/>
            <w:tcBorders>
              <w:top w:val="single" w:sz="4" w:space="0" w:color="000000"/>
              <w:left w:val="single" w:sz="4" w:space="0" w:color="000000"/>
              <w:bottom w:val="single" w:sz="4" w:space="0" w:color="000000"/>
              <w:right w:val="single" w:sz="4" w:space="0" w:color="000000"/>
            </w:tcBorders>
            <w:shd w:fill="DBE5F1" w:val="clear"/>
          </w:tcPr>
          <w:p>
            <w:pPr>
              <w:pStyle w:val="Normal"/>
              <w:spacing w:lineRule="auto" w:line="240"/>
              <w:ind w:left="0" w:right="0" w:hanging="2"/>
              <w:jc w:val="center"/>
              <w:rPr>
                <w:rFonts w:cs="Calibri"/>
                <w:b/>
                <w:b/>
              </w:rPr>
            </w:pPr>
            <w:r>
              <w:rPr>
                <w:rFonts w:cs="Calibri"/>
                <w:b/>
              </w:rPr>
              <w:t>How Assessed</w:t>
            </w:r>
          </w:p>
        </w:tc>
      </w:tr>
      <w:tr>
        <w:trPr>
          <w:trHeight w:val="570" w:hRule="atLeast"/>
          <w:cantSplit w:val="true"/>
        </w:trPr>
        <w:tc>
          <w:tcPr>
            <w:tcW w:w="1757" w:type="dxa"/>
            <w:vMerge w:val="restart"/>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p>
            <w:pPr>
              <w:pStyle w:val="Normal"/>
              <w:spacing w:lineRule="auto" w:line="240"/>
              <w:ind w:left="0" w:right="0" w:hanging="2"/>
              <w:rPr>
                <w:rFonts w:cs="Calibri"/>
                <w:b/>
                <w:b/>
              </w:rPr>
            </w:pPr>
            <w:r>
              <w:rPr>
                <w:rFonts w:cs="Calibri"/>
                <w:b/>
              </w:rPr>
              <w:t>Education/ qualifications</w:t>
            </w:r>
          </w:p>
        </w:tc>
        <w:tc>
          <w:tcPr>
            <w:tcW w:w="3584" w:type="dxa"/>
            <w:tcBorders>
              <w:top w:val="single" w:sz="4" w:space="0" w:color="000000"/>
              <w:left w:val="single" w:sz="4" w:space="0" w:color="000000"/>
              <w:bottom w:val="single" w:sz="4" w:space="0" w:color="BFBFBF"/>
            </w:tcBorders>
            <w:shd w:fill="auto" w:val="clear"/>
          </w:tcPr>
          <w:p>
            <w:pPr>
              <w:pStyle w:val="Normal"/>
              <w:ind w:left="0" w:right="0" w:hanging="2"/>
              <w:rPr>
                <w:rFonts w:cs="Calibri"/>
              </w:rPr>
            </w:pPr>
            <w:r>
              <w:rPr>
                <w:rFonts w:cs="Calibri"/>
              </w:rPr>
              <w:t>NVQ 3 for Teaching Assistants or equivalent qualification or experience</w:t>
            </w:r>
          </w:p>
        </w:tc>
        <w:tc>
          <w:tcPr>
            <w:tcW w:w="3584" w:type="dxa"/>
            <w:tcBorders>
              <w:top w:val="single" w:sz="4" w:space="0" w:color="000000"/>
              <w:left w:val="single" w:sz="4" w:space="0" w:color="000000"/>
              <w:bottom w:val="single" w:sz="4" w:space="0" w:color="BFBFBF"/>
            </w:tcBorders>
            <w:shd w:fill="auto" w:val="clear"/>
          </w:tcPr>
          <w:p>
            <w:pPr>
              <w:pStyle w:val="Normal"/>
              <w:spacing w:lineRule="auto" w:line="240"/>
              <w:ind w:left="0" w:right="0" w:hanging="2"/>
              <w:rPr/>
            </w:pPr>
            <w:r>
              <w:rPr/>
              <w:t>NNEB qualification or similar</w:t>
            </w:r>
          </w:p>
        </w:tc>
        <w:tc>
          <w:tcPr>
            <w:tcW w:w="1569" w:type="dxa"/>
            <w:tcBorders>
              <w:top w:val="single" w:sz="4" w:space="0" w:color="000000"/>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1023" w:hRule="atLeast"/>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rFonts w:cs="Calibri"/>
              </w:rPr>
            </w:pPr>
            <w:r>
              <w:rPr>
                <w:rFonts w:cs="Calibri"/>
              </w:rPr>
              <w:t>Literacy and Numeracy skills equivalent to Level 2 of the National Qualification &amp; Credit Framework</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ind w:left="0" w:right="0" w:hanging="2"/>
              <w:jc w:val="center"/>
              <w:rPr>
                <w:rFonts w:cs="Calibri"/>
              </w:rPr>
            </w:pPr>
            <w:r>
              <w:rPr>
                <w:rFonts w:cs="Calibri"/>
              </w:rPr>
              <w:t>A, I</w:t>
            </w:r>
          </w:p>
        </w:tc>
      </w:tr>
      <w:tr>
        <w:trPr>
          <w:trHeight w:val="2231" w:hRule="atLeast"/>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rFonts w:cs="Calibri"/>
              </w:rPr>
            </w:pPr>
            <w:r>
              <w:rPr>
                <w:rFonts w:cs="Calibri"/>
              </w:rPr>
              <w:t xml:space="preserve">Training in relevant learning strategies e.g. literacy/ Key Stage and/or training in a particular curriculum or learning area e.g. bi-lingual, sign language, phonics, dyslexia, ICT, maths, English, CACHE etc </w:t>
            </w:r>
          </w:p>
        </w:tc>
        <w:tc>
          <w:tcPr>
            <w:tcW w:w="3584" w:type="dxa"/>
            <w:tcBorders>
              <w:top w:val="single" w:sz="4" w:space="0" w:color="BFBFBF"/>
              <w:left w:val="single" w:sz="4" w:space="0" w:color="000000"/>
              <w:bottom w:val="single" w:sz="4" w:space="0" w:color="BFBFBF"/>
            </w:tcBorders>
            <w:shd w:fill="auto" w:val="clear"/>
          </w:tcPr>
          <w:p>
            <w:pPr>
              <w:pStyle w:val="Normal"/>
              <w:snapToGrid w:val="false"/>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ind w:left="0" w:right="0" w:hanging="2"/>
              <w:jc w:val="center"/>
              <w:rPr>
                <w:rFonts w:cs="Calibri"/>
              </w:rPr>
            </w:pPr>
            <w:r>
              <w:rPr>
                <w:rFonts w:cs="Calibri"/>
              </w:rPr>
              <w:t>A, I</w:t>
            </w:r>
          </w:p>
          <w:p>
            <w:pPr>
              <w:pStyle w:val="Normal"/>
              <w:spacing w:lineRule="auto" w:line="240"/>
              <w:ind w:left="0" w:right="0" w:hanging="2"/>
              <w:jc w:val="center"/>
              <w:rPr>
                <w:rFonts w:cs="Calibri"/>
              </w:rPr>
            </w:pPr>
            <w:r>
              <w:rPr>
                <w:rFonts w:cs="Calibri"/>
              </w:rPr>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000000"/>
            </w:tcBorders>
            <w:shd w:fill="auto" w:val="clear"/>
          </w:tcPr>
          <w:p>
            <w:pPr>
              <w:pStyle w:val="Normal"/>
              <w:spacing w:lineRule="auto" w:line="240"/>
              <w:ind w:left="0" w:right="0" w:hanging="2"/>
              <w:rPr>
                <w:rFonts w:cs="Calibri"/>
              </w:rPr>
            </w:pPr>
            <w:r>
              <w:rPr>
                <w:rFonts w:cs="Calibri"/>
              </w:rPr>
              <w:t>Paediatric First Aid certificate (or a willingness to train for this)</w:t>
            </w:r>
          </w:p>
        </w:tc>
        <w:tc>
          <w:tcPr>
            <w:tcW w:w="3584" w:type="dxa"/>
            <w:tcBorders>
              <w:top w:val="single" w:sz="4" w:space="0" w:color="BFBFBF"/>
              <w:left w:val="single" w:sz="4" w:space="0" w:color="000000"/>
              <w:bottom w:val="single" w:sz="4" w:space="0" w:color="000000"/>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000000"/>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restart"/>
            <w:tcBorders>
              <w:top w:val="single" w:sz="4" w:space="0" w:color="000000"/>
              <w:left w:val="single" w:sz="4" w:space="0" w:color="000000"/>
              <w:bottom w:val="single" w:sz="4" w:space="0" w:color="000000"/>
            </w:tcBorders>
            <w:shd w:fill="F2F2F2" w:val="clear"/>
          </w:tcPr>
          <w:p>
            <w:pPr>
              <w:pStyle w:val="Normal"/>
              <w:spacing w:lineRule="auto" w:line="240"/>
              <w:ind w:left="0" w:right="0" w:hanging="2"/>
              <w:rPr>
                <w:rFonts w:cs="Calibri"/>
                <w:b/>
                <w:b/>
              </w:rPr>
            </w:pPr>
            <w:r>
              <w:rPr>
                <w:rFonts w:cs="Calibri"/>
                <w:b/>
              </w:rPr>
              <w:t>Experience</w:t>
            </w:r>
          </w:p>
        </w:tc>
        <w:tc>
          <w:tcPr>
            <w:tcW w:w="3584" w:type="dxa"/>
            <w:tcBorders>
              <w:top w:val="single" w:sz="4" w:space="0" w:color="000000"/>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Experience of working with children in an educational setting who may have different individual needs and learning styles</w:t>
            </w:r>
          </w:p>
        </w:tc>
        <w:tc>
          <w:tcPr>
            <w:tcW w:w="3584" w:type="dxa"/>
            <w:tcBorders>
              <w:top w:val="single" w:sz="4" w:space="0" w:color="000000"/>
              <w:left w:val="single" w:sz="4" w:space="0" w:color="000000"/>
              <w:bottom w:val="single" w:sz="4" w:space="0" w:color="BFBFBF"/>
            </w:tcBorders>
            <w:shd w:fill="auto" w:val="clear"/>
          </w:tcPr>
          <w:p>
            <w:pPr>
              <w:pStyle w:val="Normal"/>
              <w:ind w:left="0" w:right="0" w:hanging="2"/>
              <w:rPr/>
            </w:pPr>
            <w:r>
              <w:rPr/>
              <w:t>Working with pupils and groups with SEND</w:t>
            </w:r>
          </w:p>
          <w:p>
            <w:pPr>
              <w:pStyle w:val="Normal"/>
              <w:spacing w:lineRule="auto" w:line="240"/>
              <w:ind w:left="0" w:right="0" w:hanging="2"/>
              <w:rPr>
                <w:rFonts w:cs="Calibri"/>
              </w:rPr>
            </w:pPr>
            <w:r>
              <w:rPr>
                <w:rFonts w:cs="Calibri"/>
              </w:rPr>
            </w:r>
          </w:p>
        </w:tc>
        <w:tc>
          <w:tcPr>
            <w:tcW w:w="1569" w:type="dxa"/>
            <w:tcBorders>
              <w:top w:val="single" w:sz="4" w:space="0" w:color="000000"/>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b/>
                <w:b/>
              </w:rPr>
            </w:pPr>
            <w:r>
              <w:rPr>
                <w:rFonts w:cs="Calibri"/>
                <w:b/>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Experience of differentiating activities and selecting and developing resources to meet individual’s learning needs or group learning programmes</w:t>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pPr>
            <w:r>
              <w:rPr/>
              <w:t>Working across the age ranges in a primary school (3-11)</w:t>
            </w:r>
          </w:p>
          <w:p>
            <w:pPr>
              <w:pStyle w:val="Normal"/>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 xml:space="preserve">Experience of preparing/contributing to resources to support learning programmes </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000000"/>
            </w:tcBorders>
            <w:shd w:fill="auto" w:val="clear"/>
          </w:tcPr>
          <w:p>
            <w:pPr>
              <w:pStyle w:val="Normal"/>
              <w:spacing w:lineRule="auto" w:line="240"/>
              <w:ind w:left="0" w:right="0" w:hanging="2"/>
              <w:rPr>
                <w:rFonts w:cs="Calibri"/>
              </w:rPr>
            </w:pPr>
            <w:r>
              <w:rPr>
                <w:rFonts w:cs="Calibri"/>
              </w:rPr>
              <w:t>Experience of effectively using ICT and other technology such as digital recorders and photocopiers, and resolving straightforward problems in their operation</w:t>
            </w:r>
          </w:p>
        </w:tc>
        <w:tc>
          <w:tcPr>
            <w:tcW w:w="3584" w:type="dxa"/>
            <w:tcBorders>
              <w:top w:val="single" w:sz="4" w:space="0" w:color="BFBFBF"/>
              <w:left w:val="single" w:sz="4" w:space="0" w:color="000000"/>
              <w:bottom w:val="single" w:sz="4" w:space="0" w:color="000000"/>
            </w:tcBorders>
            <w:shd w:fill="auto" w:val="clear"/>
          </w:tcPr>
          <w:p>
            <w:pPr>
              <w:pStyle w:val="Normal"/>
              <w:spacing w:lineRule="auto" w:line="240"/>
              <w:ind w:left="0" w:right="0" w:hanging="2"/>
              <w:rPr/>
            </w:pPr>
            <w:r>
              <w:rPr/>
              <w:t>Experience of delivering a range of learning interventions including Read, Write Inc. or a willingness to undertake training.</w:t>
            </w:r>
          </w:p>
        </w:tc>
        <w:tc>
          <w:tcPr>
            <w:tcW w:w="1569" w:type="dxa"/>
            <w:tcBorders>
              <w:top w:val="single" w:sz="4" w:space="0" w:color="BFBFBF"/>
              <w:left w:val="single" w:sz="4" w:space="0" w:color="000000"/>
              <w:bottom w:val="single" w:sz="4" w:space="0" w:color="000000"/>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restart"/>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p>
            <w:pPr>
              <w:pStyle w:val="Normal"/>
              <w:spacing w:lineRule="auto" w:line="240"/>
              <w:ind w:left="0" w:right="0" w:hanging="2"/>
              <w:rPr>
                <w:rFonts w:cs="Calibri"/>
                <w:b/>
                <w:b/>
              </w:rPr>
            </w:pPr>
            <w:r>
              <w:rPr>
                <w:rFonts w:cs="Calibri"/>
                <w:b/>
              </w:rPr>
              <w:t>Skills and abilities</w:t>
            </w:r>
          </w:p>
        </w:tc>
        <w:tc>
          <w:tcPr>
            <w:tcW w:w="3584" w:type="dxa"/>
            <w:tcBorders>
              <w:top w:val="single" w:sz="4" w:space="0" w:color="000000"/>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Interpersonal skills to build effective working relationships with pupils and colleagues</w:t>
            </w:r>
          </w:p>
        </w:tc>
        <w:tc>
          <w:tcPr>
            <w:tcW w:w="3584" w:type="dxa"/>
            <w:tcBorders>
              <w:top w:val="single" w:sz="4" w:space="0" w:color="000000"/>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000000"/>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Communication skills to liaise sensitively and effectively with parents and carers</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 xml:space="preserve">Creative skills to contribute to and adapt learning activities relating to the National Curriculum and other learning objectives  </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To promote a positive ethos and good role model</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spacing w:lineRule="auto" w:line="240"/>
              <w:ind w:left="0" w:right="0" w:hanging="2"/>
              <w:rPr>
                <w:rFonts w:cs="Calibri"/>
              </w:rPr>
            </w:pPr>
            <w:r>
              <w:rPr>
                <w:rFonts w:cs="Calibri"/>
              </w:rPr>
              <w:t>Team-work skills to work collaboratively with colleagues, understanding classroom roles and responsibilities and your own position within these</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000000"/>
            </w:tcBorders>
            <w:shd w:fill="auto" w:val="clear"/>
          </w:tcPr>
          <w:p>
            <w:pPr>
              <w:pStyle w:val="Normal"/>
              <w:spacing w:lineRule="auto" w:line="240"/>
              <w:ind w:left="0" w:right="0" w:hanging="2"/>
              <w:rPr>
                <w:rFonts w:cs="Calibri"/>
              </w:rPr>
            </w:pPr>
            <w:r>
              <w:rPr>
                <w:rFonts w:cs="Calibri"/>
              </w:rPr>
              <w:t>To continually improve own practice/knowledge through self-evaluation and learning from others</w:t>
            </w:r>
          </w:p>
        </w:tc>
        <w:tc>
          <w:tcPr>
            <w:tcW w:w="3584" w:type="dxa"/>
            <w:tcBorders>
              <w:top w:val="single" w:sz="4" w:space="0" w:color="BFBFBF"/>
              <w:left w:val="single" w:sz="4" w:space="0" w:color="000000"/>
              <w:bottom w:val="single" w:sz="4" w:space="0" w:color="000000"/>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000000"/>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692" w:hRule="atLeast"/>
        </w:trPr>
        <w:tc>
          <w:tcPr>
            <w:tcW w:w="1757" w:type="dxa"/>
            <w:vMerge w:val="restart"/>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p>
            <w:pPr>
              <w:pStyle w:val="Normal"/>
              <w:spacing w:lineRule="auto" w:line="240"/>
              <w:ind w:left="0" w:right="0" w:hanging="2"/>
              <w:rPr>
                <w:rFonts w:cs="Calibri"/>
                <w:b/>
                <w:b/>
              </w:rPr>
            </w:pPr>
            <w:r>
              <w:rPr>
                <w:rFonts w:cs="Calibri"/>
                <w:b/>
              </w:rPr>
              <w:t>Knowledge</w:t>
            </w:r>
          </w:p>
          <w:p>
            <w:pPr>
              <w:pStyle w:val="Normal"/>
              <w:spacing w:lineRule="auto" w:line="240"/>
              <w:ind w:left="0" w:right="0" w:hanging="2"/>
              <w:rPr>
                <w:rFonts w:cs="Calibri"/>
              </w:rPr>
            </w:pPr>
            <w:r>
              <w:rPr>
                <w:rFonts w:cs="Calibri"/>
              </w:rPr>
            </w:r>
          </w:p>
          <w:p>
            <w:pPr>
              <w:pStyle w:val="Normal"/>
              <w:spacing w:lineRule="auto" w:line="240"/>
              <w:ind w:left="0" w:right="0" w:hanging="2"/>
              <w:rPr>
                <w:rFonts w:cs="Calibri"/>
              </w:rPr>
            </w:pPr>
            <w:r>
              <w:rPr>
                <w:rFonts w:cs="Calibri"/>
              </w:rPr>
            </w:r>
          </w:p>
        </w:tc>
        <w:tc>
          <w:tcPr>
            <w:tcW w:w="3584" w:type="dxa"/>
            <w:tcBorders>
              <w:top w:val="single" w:sz="4" w:space="0" w:color="000000"/>
              <w:left w:val="single" w:sz="4" w:space="0" w:color="000000"/>
              <w:bottom w:val="single" w:sz="4" w:space="0" w:color="BFBFBF"/>
            </w:tcBorders>
            <w:shd w:fill="auto" w:val="clear"/>
          </w:tcPr>
          <w:p>
            <w:pPr>
              <w:pStyle w:val="Normal"/>
              <w:spacing w:lineRule="auto" w:line="240"/>
              <w:ind w:left="-2" w:right="0" w:hanging="0"/>
              <w:rPr>
                <w:rFonts w:cs="Calibri"/>
              </w:rPr>
            </w:pPr>
            <w:r>
              <w:rPr>
                <w:rFonts w:cs="Calibri"/>
              </w:rPr>
              <w:t>Understanding of a child’s development and learning.</w:t>
            </w:r>
          </w:p>
        </w:tc>
        <w:tc>
          <w:tcPr>
            <w:tcW w:w="3584" w:type="dxa"/>
            <w:tcBorders>
              <w:top w:val="single" w:sz="4" w:space="0" w:color="000000"/>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000000"/>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864" w:hRule="atLeast"/>
        </w:trPr>
        <w:tc>
          <w:tcPr>
            <w:tcW w:w="1757" w:type="dxa"/>
            <w:vMerge w:val="continue"/>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pPr>
            <w:r>
              <w:rPr>
                <w:rFonts w:cs="Calibri"/>
              </w:rPr>
              <w:t>Knowledge of relevant policies/codes of practice/ and awareness of relevant legislation</w:t>
            </w:r>
            <w:r>
              <w:rPr>
                <w:rFonts w:cs="Calibri"/>
                <w:i/>
                <w:iCs/>
              </w:rPr>
              <w:t xml:space="preserve"> </w:t>
            </w:r>
            <w:r>
              <w:rPr>
                <w:rFonts w:cs="Calibri"/>
              </w:rPr>
              <w:t>and the  responsibilities of the role within these for promoting pupils’ welfare</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958" w:hRule="atLeast"/>
        </w:trPr>
        <w:tc>
          <w:tcPr>
            <w:tcW w:w="1757" w:type="dxa"/>
            <w:vMerge w:val="continue"/>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rFonts w:cs="Calibri"/>
              </w:rPr>
            </w:pPr>
            <w:r>
              <w:rPr>
                <w:rFonts w:cs="Calibri"/>
              </w:rPr>
              <w:t>Knowledge and understanding of national/foundation stage curriculum and other relevant learning programmes/strategies</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958" w:hRule="atLeast"/>
        </w:trPr>
        <w:tc>
          <w:tcPr>
            <w:tcW w:w="1757" w:type="dxa"/>
            <w:vMerge w:val="continue"/>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tc>
        <w:tc>
          <w:tcPr>
            <w:tcW w:w="3584" w:type="dxa"/>
            <w:tcBorders>
              <w:top w:val="single" w:sz="4" w:space="0" w:color="BFBFBF"/>
              <w:left w:val="single" w:sz="4" w:space="0" w:color="000000"/>
              <w:bottom w:val="single" w:sz="4" w:space="0" w:color="BFBFBF"/>
            </w:tcBorders>
            <w:shd w:fill="auto" w:val="clear"/>
          </w:tcPr>
          <w:p>
            <w:pPr>
              <w:pStyle w:val="Normal"/>
              <w:ind w:left="0" w:right="0" w:hanging="2"/>
              <w:rPr>
                <w:rFonts w:cs="Calibri"/>
              </w:rPr>
            </w:pPr>
            <w:r>
              <w:rPr>
                <w:rFonts w:cs="Calibri"/>
              </w:rPr>
              <w:t>Understanding of the principles of child development and learning processes</w:t>
            </w:r>
          </w:p>
        </w:tc>
        <w:tc>
          <w:tcPr>
            <w:tcW w:w="3584" w:type="dxa"/>
            <w:tcBorders>
              <w:top w:val="single" w:sz="4" w:space="0" w:color="BFBFBF"/>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BFBFBF"/>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691" w:hRule="atLeast"/>
        </w:trPr>
        <w:tc>
          <w:tcPr>
            <w:tcW w:w="1757" w:type="dxa"/>
            <w:vMerge w:val="continue"/>
            <w:tcBorders>
              <w:top w:val="single" w:sz="4" w:space="0" w:color="000000"/>
              <w:left w:val="single" w:sz="4" w:space="0" w:color="000000"/>
              <w:bottom w:val="single" w:sz="4" w:space="0" w:color="000000"/>
            </w:tcBorders>
            <w:shd w:fill="F2F2F2" w:val="clear"/>
          </w:tcPr>
          <w:p>
            <w:pPr>
              <w:pStyle w:val="Normal"/>
              <w:snapToGrid w:val="false"/>
              <w:spacing w:lineRule="auto" w:line="240"/>
              <w:ind w:left="0" w:right="0" w:hanging="2"/>
              <w:rPr>
                <w:rFonts w:cs="Calibri"/>
              </w:rPr>
            </w:pPr>
            <w:r>
              <w:rPr>
                <w:rFonts w:cs="Calibri"/>
              </w:rPr>
            </w:r>
          </w:p>
        </w:tc>
        <w:tc>
          <w:tcPr>
            <w:tcW w:w="3584" w:type="dxa"/>
            <w:tcBorders>
              <w:top w:val="single" w:sz="4" w:space="0" w:color="BFBFBF"/>
              <w:left w:val="single" w:sz="4" w:space="0" w:color="000000"/>
              <w:bottom w:val="single" w:sz="4" w:space="0" w:color="000000"/>
            </w:tcBorders>
            <w:shd w:fill="auto" w:val="clear"/>
          </w:tcPr>
          <w:p>
            <w:pPr>
              <w:pStyle w:val="Normal"/>
              <w:ind w:left="0" w:right="0" w:hanging="2"/>
              <w:rPr>
                <w:rFonts w:cs="Calibri"/>
              </w:rPr>
            </w:pPr>
            <w:r>
              <w:rPr>
                <w:rFonts w:cs="Calibri"/>
              </w:rPr>
              <w:t>Understanding of equal opportunities and an awareness of potential barriers children may have around learning</w:t>
            </w:r>
          </w:p>
        </w:tc>
        <w:tc>
          <w:tcPr>
            <w:tcW w:w="3584" w:type="dxa"/>
            <w:tcBorders>
              <w:top w:val="single" w:sz="4" w:space="0" w:color="BFBFBF"/>
              <w:left w:val="single" w:sz="4" w:space="0" w:color="000000"/>
              <w:bottom w:val="single" w:sz="4" w:space="0" w:color="000000"/>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000000"/>
              <w:right w:val="single" w:sz="4" w:space="0" w:color="000000"/>
            </w:tcBorders>
            <w:shd w:fill="auto" w:val="clear"/>
          </w:tcPr>
          <w:p>
            <w:pPr>
              <w:pStyle w:val="Normal"/>
              <w:spacing w:lineRule="auto" w:line="240"/>
              <w:ind w:left="0" w:right="0" w:hanging="2"/>
              <w:jc w:val="center"/>
              <w:rPr>
                <w:rFonts w:cs="Calibri"/>
              </w:rPr>
            </w:pPr>
            <w:r>
              <w:rPr>
                <w:rFonts w:cs="Calibri"/>
              </w:rPr>
              <w:t>A, I</w:t>
            </w:r>
          </w:p>
        </w:tc>
      </w:tr>
      <w:tr>
        <w:trPr>
          <w:trHeight w:val="316" w:hRule="atLeast"/>
          <w:cantSplit w:val="true"/>
        </w:trPr>
        <w:tc>
          <w:tcPr>
            <w:tcW w:w="1757" w:type="dxa"/>
            <w:vMerge w:val="restart"/>
            <w:tcBorders>
              <w:top w:val="single" w:sz="4" w:space="0" w:color="000000"/>
              <w:left w:val="single" w:sz="4" w:space="0" w:color="000000"/>
              <w:bottom w:val="single" w:sz="4" w:space="0" w:color="000000"/>
            </w:tcBorders>
            <w:shd w:fill="F2F2F2" w:val="clear"/>
          </w:tcPr>
          <w:p>
            <w:pPr>
              <w:pStyle w:val="Normal"/>
              <w:snapToGrid w:val="false"/>
              <w:ind w:left="0" w:right="0" w:hanging="0"/>
              <w:rPr>
                <w:rFonts w:cs="Calibri"/>
              </w:rPr>
            </w:pPr>
            <w:r>
              <w:rPr>
                <w:rFonts w:cs="Calibri"/>
              </w:rPr>
            </w:r>
          </w:p>
          <w:p>
            <w:pPr>
              <w:pStyle w:val="Normal"/>
              <w:ind w:left="0" w:right="0" w:hanging="2"/>
              <w:rPr>
                <w:rFonts w:cs="Calibri"/>
                <w:b/>
                <w:b/>
              </w:rPr>
            </w:pPr>
            <w:r>
              <w:rPr>
                <w:rFonts w:cs="Calibri"/>
                <w:b/>
              </w:rPr>
              <w:t>Work circumstances</w:t>
            </w:r>
          </w:p>
        </w:tc>
        <w:tc>
          <w:tcPr>
            <w:tcW w:w="3584" w:type="dxa"/>
            <w:tcBorders>
              <w:top w:val="single" w:sz="4" w:space="0" w:color="000000"/>
              <w:left w:val="single" w:sz="4" w:space="0" w:color="000000"/>
              <w:bottom w:val="single" w:sz="4" w:space="0" w:color="BFBFBF"/>
            </w:tcBorders>
            <w:shd w:fill="auto" w:val="clear"/>
          </w:tcPr>
          <w:p>
            <w:pPr>
              <w:pStyle w:val="Normal"/>
              <w:ind w:left="0" w:right="0" w:hanging="2"/>
              <w:rPr>
                <w:rFonts w:cs="Calibri"/>
              </w:rPr>
            </w:pPr>
            <w:r>
              <w:rPr>
                <w:rFonts w:cs="Calibri"/>
              </w:rPr>
              <w:t>To work flexibly as the workload demands</w:t>
            </w:r>
          </w:p>
        </w:tc>
        <w:tc>
          <w:tcPr>
            <w:tcW w:w="3584" w:type="dxa"/>
            <w:tcBorders>
              <w:top w:val="single" w:sz="4" w:space="0" w:color="000000"/>
              <w:left w:val="single" w:sz="4" w:space="0" w:color="000000"/>
              <w:bottom w:val="single" w:sz="4" w:space="0" w:color="BFBFBF"/>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000000"/>
              <w:left w:val="single" w:sz="4" w:space="0" w:color="000000"/>
              <w:bottom w:val="single" w:sz="4" w:space="0" w:color="BFBFBF"/>
              <w:right w:val="single" w:sz="4" w:space="0" w:color="000000"/>
            </w:tcBorders>
            <w:shd w:fill="auto" w:val="clear"/>
          </w:tcPr>
          <w:p>
            <w:pPr>
              <w:pStyle w:val="Normal"/>
              <w:ind w:left="0" w:right="0" w:hanging="2"/>
              <w:jc w:val="center"/>
              <w:rPr>
                <w:rFonts w:cs="Calibri"/>
              </w:rPr>
            </w:pPr>
            <w:r>
              <w:rPr>
                <w:rFonts w:cs="Calibri"/>
              </w:rPr>
              <w:t>I</w:t>
            </w:r>
          </w:p>
        </w:tc>
      </w:tr>
      <w:tr>
        <w:trPr>
          <w:trHeight w:val="840" w:hRule="atLeast"/>
          <w:cantSplit w:val="true"/>
        </w:trPr>
        <w:tc>
          <w:tcPr>
            <w:tcW w:w="1757" w:type="dxa"/>
            <w:vMerge w:val="continue"/>
            <w:tcBorders>
              <w:top w:val="single" w:sz="4" w:space="0" w:color="000000"/>
              <w:left w:val="single" w:sz="4" w:space="0" w:color="000000"/>
              <w:bottom w:val="single" w:sz="4" w:space="0" w:color="000000"/>
            </w:tcBorders>
            <w:shd w:fill="F2F2F2" w:val="clear"/>
          </w:tcPr>
          <w:p>
            <w:pPr>
              <w:pStyle w:val="Normal"/>
              <w:widowControl w:val="false"/>
              <w:pBdr/>
              <w:snapToGrid w:val="false"/>
              <w:ind w:left="0" w:right="0" w:hanging="2"/>
              <w:rPr>
                <w:rFonts w:cs="Calibri"/>
              </w:rPr>
            </w:pPr>
            <w:r>
              <w:rPr>
                <w:rFonts w:cs="Calibri"/>
              </w:rPr>
            </w:r>
          </w:p>
        </w:tc>
        <w:tc>
          <w:tcPr>
            <w:tcW w:w="3584" w:type="dxa"/>
            <w:tcBorders>
              <w:top w:val="single" w:sz="4" w:space="0" w:color="BFBFBF"/>
              <w:left w:val="single" w:sz="4" w:space="0" w:color="000000"/>
              <w:bottom w:val="single" w:sz="4" w:space="0" w:color="000000"/>
            </w:tcBorders>
            <w:shd w:fill="auto" w:val="clear"/>
          </w:tcPr>
          <w:p>
            <w:pPr>
              <w:pStyle w:val="Normal"/>
              <w:ind w:left="0" w:right="0" w:hanging="2"/>
              <w:rPr>
                <w:rFonts w:cs="Calibri"/>
              </w:rPr>
            </w:pPr>
            <w:r>
              <w:rPr>
                <w:rFonts w:cs="Calibri"/>
              </w:rPr>
              <w:t>Occasional out of hours working to support school functions</w:t>
            </w:r>
          </w:p>
        </w:tc>
        <w:tc>
          <w:tcPr>
            <w:tcW w:w="3584" w:type="dxa"/>
            <w:tcBorders>
              <w:top w:val="single" w:sz="4" w:space="0" w:color="BFBFBF"/>
              <w:left w:val="single" w:sz="4" w:space="0" w:color="000000"/>
              <w:bottom w:val="single" w:sz="4" w:space="0" w:color="000000"/>
            </w:tcBorders>
            <w:shd w:fill="auto" w:val="clear"/>
          </w:tcPr>
          <w:p>
            <w:pPr>
              <w:pStyle w:val="Normal"/>
              <w:snapToGrid w:val="false"/>
              <w:spacing w:lineRule="auto" w:line="240"/>
              <w:ind w:left="0" w:right="0" w:hanging="2"/>
              <w:rPr>
                <w:rFonts w:cs="Calibri"/>
              </w:rPr>
            </w:pPr>
            <w:r>
              <w:rPr>
                <w:rFonts w:cs="Calibri"/>
              </w:rPr>
            </w:r>
          </w:p>
        </w:tc>
        <w:tc>
          <w:tcPr>
            <w:tcW w:w="1569" w:type="dxa"/>
            <w:tcBorders>
              <w:top w:val="single" w:sz="4" w:space="0" w:color="BFBFBF"/>
              <w:left w:val="single" w:sz="4" w:space="0" w:color="000000"/>
              <w:bottom w:val="single" w:sz="4" w:space="0" w:color="000000"/>
              <w:right w:val="single" w:sz="4" w:space="0" w:color="000000"/>
            </w:tcBorders>
            <w:shd w:fill="auto" w:val="clear"/>
          </w:tcPr>
          <w:p>
            <w:pPr>
              <w:pStyle w:val="Normal"/>
              <w:spacing w:lineRule="auto" w:line="240"/>
              <w:ind w:left="0" w:right="0" w:hanging="2"/>
              <w:jc w:val="center"/>
              <w:rPr>
                <w:rFonts w:cs="Calibri"/>
              </w:rPr>
            </w:pPr>
            <w:r>
              <w:rPr>
                <w:rFonts w:cs="Calibri"/>
              </w:rPr>
              <w:t>I</w:t>
            </w:r>
          </w:p>
        </w:tc>
      </w:tr>
    </w:tbl>
    <w:p>
      <w:pPr>
        <w:pStyle w:val="Normal"/>
        <w:ind w:left="0" w:right="0" w:hanging="0"/>
        <w:rPr>
          <w:rFonts w:cs="Calibri"/>
        </w:rPr>
      </w:pPr>
      <w:r>
        <w:rPr>
          <w:rFonts w:cs="Calibri"/>
        </w:rPr>
      </w:r>
    </w:p>
    <w:p>
      <w:pPr>
        <w:pStyle w:val="Normal"/>
        <w:ind w:left="0" w:right="0" w:hanging="2"/>
        <w:jc w:val="both"/>
        <w:rPr/>
      </w:pPr>
      <w:r>
        <w:rPr>
          <w:i/>
        </w:rPr>
        <w:t>Abbreviations:</w:t>
      </w:r>
      <w:r>
        <w:rPr/>
        <w:t xml:space="preserve"> AF = Application Form; I = Interview.</w:t>
      </w:r>
    </w:p>
    <w:p>
      <w:pPr>
        <w:pStyle w:val="Normal"/>
        <w:ind w:left="0" w:right="0" w:hanging="2"/>
        <w:rPr>
          <w:rFonts w:cs="Calibri"/>
          <w:i/>
          <w:i/>
        </w:rPr>
      </w:pPr>
      <w:r>
        <w:rPr>
          <w:rFonts w:cs="Calibri"/>
          <w:i/>
        </w:rPr>
      </w:r>
    </w:p>
    <w:p>
      <w:pPr>
        <w:pStyle w:val="Normal"/>
        <w:ind w:left="0" w:right="0" w:hanging="2"/>
        <w:rPr>
          <w:rFonts w:cs="Calibri"/>
          <w:i/>
          <w:i/>
        </w:rPr>
      </w:pPr>
      <w:r>
        <w:rPr>
          <w:rFonts w:cs="Calibri"/>
          <w:i/>
        </w:rPr>
        <w:t>N.B. – Any candidate with a disability who meets the essential criteria will be guaranteed an interview</w:t>
      </w:r>
    </w:p>
    <w:p>
      <w:pPr>
        <w:pStyle w:val="Normal"/>
        <w:ind w:left="0" w:right="0" w:hanging="2"/>
        <w:rPr/>
      </w:pPr>
      <w:r>
        <w:rPr/>
      </w:r>
    </w:p>
    <w:sectPr>
      <w:headerReference w:type="even" r:id="rId6"/>
      <w:headerReference w:type="default" r:id="rId7"/>
      <w:footerReference w:type="even" r:id="rId8"/>
      <w:footerReference w:type="default" r:id="rId9"/>
      <w:type w:val="nextPage"/>
      <w:pgSz w:w="11906" w:h="16838"/>
      <w:pgMar w:left="720" w:right="720" w:header="708" w:top="765" w:footer="708" w:bottom="765" w:gutter="0"/>
      <w:pgNumType w:start="1"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Georgi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0" w:hanging="2"/>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0" w:hanging="2"/>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0" w:right="0" w:hanging="2"/>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0" w:right="0" w:hanging="2"/>
      <w:jc w:val="center"/>
      <w:rPr>
        <w:rFonts w:ascii="Verdana" w:hAnsi="Verdana" w:cs="Verdana"/>
      </w:rPr>
    </w:pPr>
    <w:r>
      <w:rPr>
        <w:rFonts w:cs="Verdana" w:ascii="Verdana" w:hAnsi="Verdan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decimal"/>
      <w:lvlText w:val="%1."/>
      <w:lvlJc w:val="left"/>
      <w:pPr>
        <w:ind w:left="719" w:hanging="360"/>
      </w:pPr>
      <w:rPr/>
    </w:lvl>
    <w:lvl w:ilvl="1">
      <w:start w:val="1"/>
      <w:numFmt w:val="lowerLetter"/>
      <w:lvlText w:val="%2."/>
      <w:lvlJc w:val="left"/>
      <w:pPr>
        <w:ind w:left="1439" w:hanging="360"/>
      </w:pPr>
      <w:rPr/>
    </w:lvl>
    <w:lvl w:ilvl="2">
      <w:start w:val="1"/>
      <w:numFmt w:val="lowerRoman"/>
      <w:lvlText w:val="%3."/>
      <w:lvlJc w:val="right"/>
      <w:pPr>
        <w:ind w:left="2159" w:hanging="180"/>
      </w:pPr>
      <w:rPr/>
    </w:lvl>
    <w:lvl w:ilvl="3">
      <w:start w:val="1"/>
      <w:numFmt w:val="decimal"/>
      <w:lvlText w:val="%4."/>
      <w:lvlJc w:val="left"/>
      <w:pPr>
        <w:ind w:left="2879" w:hanging="360"/>
      </w:pPr>
      <w:rPr/>
    </w:lvl>
    <w:lvl w:ilvl="4">
      <w:start w:val="1"/>
      <w:numFmt w:val="lowerLetter"/>
      <w:lvlText w:val="%5."/>
      <w:lvlJc w:val="left"/>
      <w:pPr>
        <w:ind w:left="3599" w:hanging="360"/>
      </w:pPr>
      <w:rPr/>
    </w:lvl>
    <w:lvl w:ilvl="5">
      <w:start w:val="1"/>
      <w:numFmt w:val="lowerRoman"/>
      <w:lvlText w:val="%6."/>
      <w:lvlJc w:val="right"/>
      <w:pPr>
        <w:ind w:left="4319" w:hanging="180"/>
      </w:pPr>
      <w:rPr/>
    </w:lvl>
    <w:lvl w:ilvl="6">
      <w:start w:val="1"/>
      <w:numFmt w:val="decimal"/>
      <w:lvlText w:val="%7."/>
      <w:lvlJc w:val="left"/>
      <w:pPr>
        <w:ind w:left="5039" w:hanging="360"/>
      </w:pPr>
      <w:rPr/>
    </w:lvl>
    <w:lvl w:ilvl="7">
      <w:start w:val="1"/>
      <w:numFmt w:val="lowerLetter"/>
      <w:lvlText w:val="%8."/>
      <w:lvlJc w:val="left"/>
      <w:pPr>
        <w:ind w:left="5759" w:hanging="360"/>
      </w:pPr>
      <w:rPr/>
    </w:lvl>
    <w:lvl w:ilvl="8">
      <w:start w:val="1"/>
      <w:numFmt w:val="lowerRoman"/>
      <w:lvlText w:val="%9."/>
      <w:lvlJc w:val="right"/>
      <w:pPr>
        <w:ind w:left="6479"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false"/>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0"/>
      <w:ind w:left="-1" w:right="0" w:hanging="1"/>
      <w:jc w:val="left"/>
      <w:textAlignment w:val="top"/>
    </w:pPr>
    <w:rPr>
      <w:rFonts w:ascii="Calibri" w:hAnsi="Calibri" w:eastAsia="Calibri" w:cs="Calibri"/>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HeaderChar">
    <w:name w:val="Header Char"/>
    <w:basedOn w:val="DefaultParagraphFont"/>
    <w:qFormat/>
    <w:rPr>
      <w:lang w:eastAsia="en-US"/>
    </w:rPr>
  </w:style>
  <w:style w:type="character" w:styleId="FooterChar">
    <w:name w:val="Footer Char"/>
    <w:basedOn w:val="DefaultParagraphFont"/>
    <w:qFormat/>
    <w:rPr>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ListParagraph">
    <w:name w:val="List Paragraph"/>
    <w:basedOn w:val="Normal"/>
    <w:qFormat/>
    <w:pPr>
      <w:spacing w:before="0" w:after="0"/>
      <w:ind w:left="720" w:right="0" w:hanging="1"/>
      <w:contextualSpacing/>
    </w:pPr>
    <w:rPr/>
  </w:style>
  <w:style w:type="paragraph" w:styleId="DocumentMap">
    <w:name w:val="Document Map"/>
    <w:basedOn w:val="Normal"/>
    <w:qFormat/>
    <w:pPr>
      <w:shd w:fill="000080" w:val="clear"/>
    </w:pPr>
    <w:rPr>
      <w:rFonts w:ascii="Tahoma" w:hAnsi="Tahoma" w:cs="Tahoma"/>
      <w:sz w:val="20"/>
      <w:szCs w:val="20"/>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