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Heading1"/>
        <w:spacing w:lineRule="auto" w:line="240"/>
        <w:rPr>
          <w:sz w:val="24"/>
          <w:szCs w:val="24"/>
        </w:rPr>
      </w:pPr>
      <w:r>
        <w:rPr>
          <w:sz w:val="24"/>
          <w:szCs w:val="24"/>
        </w:rPr>
      </w:r>
    </w:p>
    <w:p>
      <w:pPr>
        <w:pStyle w:val="Normal"/>
        <w:jc w:val="center"/>
        <w:rPr>
          <w:b/>
          <w:b/>
          <w:bCs/>
          <w:u w:val="single"/>
        </w:rPr>
      </w:pPr>
      <w:r>
        <w:rPr>
          <w:b/>
          <w:bCs/>
          <w:u w:val="single"/>
        </w:rPr>
        <w:t>OLDHAM COUNCIL</w:t>
      </w:r>
    </w:p>
    <w:p>
      <w:pPr>
        <w:pStyle w:val="Normal"/>
        <w:jc w:val="center"/>
        <w:rPr>
          <w:b/>
          <w:b/>
          <w:bCs/>
          <w:u w:val="single"/>
        </w:rPr>
      </w:pPr>
      <w:r>
        <w:rPr>
          <w:b/>
          <w:bCs/>
          <w:u w:val="single"/>
        </w:rPr>
      </w:r>
    </w:p>
    <w:p>
      <w:pPr>
        <w:pStyle w:val="Normal"/>
        <w:jc w:val="center"/>
        <w:rPr>
          <w:b/>
          <w:b/>
          <w:bCs/>
          <w:u w:val="single"/>
        </w:rPr>
      </w:pPr>
      <w:r>
        <w:rPr>
          <w:b/>
          <w:bCs/>
          <w:u w:val="single"/>
        </w:rPr>
        <w:t>JOB DESCRIPTION</w:t>
      </w:r>
    </w:p>
    <w:p>
      <w:pPr>
        <w:pStyle w:val="Normal"/>
        <w:jc w:val="center"/>
        <w:rPr>
          <w:b/>
          <w:b/>
          <w:bCs/>
          <w:u w:val="single"/>
        </w:rPr>
      </w:pPr>
      <w:r>
        <w:rPr>
          <w:b/>
          <w:bCs/>
          <w:u w:val="single"/>
        </w:rPr>
      </w:r>
    </w:p>
    <w:p>
      <w:pPr>
        <w:pStyle w:val="Normal"/>
        <w:jc w:val="center"/>
        <w:rPr>
          <w:b/>
          <w:b/>
          <w:bCs/>
          <w:sz w:val="22"/>
          <w:szCs w:val="22"/>
          <w:u w:val="single"/>
        </w:rPr>
      </w:pPr>
      <w:r>
        <w:rPr>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b/>
                <w:b/>
                <w:color w:val="FFFFFF"/>
                <w:sz w:val="22"/>
                <w:szCs w:val="22"/>
              </w:rPr>
            </w:pPr>
            <w:r>
              <w:rPr>
                <w:b/>
                <w:color w:val="FFFFFF"/>
                <w:sz w:val="22"/>
                <w:szCs w:val="22"/>
              </w:rPr>
              <w:t xml:space="preserve">Job Title: </w:t>
            </w:r>
          </w:p>
          <w:p>
            <w:pPr>
              <w:pStyle w:val="Normal"/>
              <w:rPr>
                <w:color w:val="FFFFFF"/>
                <w:sz w:val="22"/>
                <w:szCs w:val="22"/>
              </w:rPr>
            </w:pPr>
            <w:r>
              <w:rPr>
                <w:color w:val="FFFFFF"/>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Social Worker Childrens Profile D</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b/>
                <w:color w:val="FFFFFF"/>
                <w:sz w:val="22"/>
                <w:szCs w:val="22"/>
              </w:rPr>
              <w:t>Directorate:</w:t>
            </w:r>
            <w:r>
              <w:rPr>
                <w:color w:val="FFFFFF"/>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People Services</w:t>
            </w:r>
          </w:p>
        </w:tc>
        <w:tc>
          <w:tcPr>
            <w:tcW w:w="2179" w:type="dxa"/>
            <w:tcBorders>
              <w:top w:val="single" w:sz="4" w:space="0" w:color="000000"/>
              <w:left w:val="single" w:sz="4" w:space="0" w:color="000000"/>
              <w:bottom w:val="single" w:sz="4" w:space="0" w:color="000000"/>
            </w:tcBorders>
            <w:shd w:fill="00B3BE" w:val="clear"/>
          </w:tcPr>
          <w:p>
            <w:pPr>
              <w:pStyle w:val="Normal"/>
              <w:rPr/>
            </w:pPr>
            <w:r>
              <w:rPr>
                <w:b/>
                <w:color w:val="FFFFFF"/>
                <w:sz w:val="22"/>
                <w:szCs w:val="22"/>
              </w:rPr>
              <w:t>Division/Section:</w:t>
            </w:r>
            <w:r>
              <w:rPr>
                <w:color w:val="FFFFFF"/>
                <w:sz w:val="22"/>
                <w:szCs w:val="22"/>
              </w:rPr>
              <w:t xml:space="preserve"> </w:t>
            </w:r>
          </w:p>
          <w:p>
            <w:pPr>
              <w:pStyle w:val="Normal"/>
              <w:rPr>
                <w:color w:val="FFFFFF"/>
                <w:sz w:val="22"/>
                <w:szCs w:val="22"/>
              </w:rPr>
            </w:pPr>
            <w:r>
              <w:rPr>
                <w:color w:val="FFFFFF"/>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Childrens Social Care</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b/>
                <w:b/>
                <w:color w:val="FFFFFF"/>
                <w:sz w:val="22"/>
                <w:szCs w:val="22"/>
              </w:rPr>
            </w:pPr>
            <w:r>
              <w:rPr>
                <w:b/>
                <w:color w:val="FFFFFF"/>
                <w:sz w:val="22"/>
                <w:szCs w:val="22"/>
              </w:rPr>
              <w:t xml:space="preserve">Grade:  </w:t>
            </w:r>
          </w:p>
          <w:p>
            <w:pPr>
              <w:pStyle w:val="Normal"/>
              <w:rPr>
                <w:color w:val="FFFFFF"/>
                <w:sz w:val="22"/>
                <w:szCs w:val="22"/>
              </w:rPr>
            </w:pPr>
            <w:r>
              <w:rPr>
                <w:color w:val="FFFFFF"/>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szCs w:val="22"/>
              </w:rPr>
            </w:pPr>
            <w:r>
              <w:rPr>
                <w:szCs w:val="22"/>
              </w:rPr>
              <w:t>8</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b/>
                <w:b/>
                <w:color w:val="FFFFFF"/>
                <w:szCs w:val="22"/>
              </w:rPr>
            </w:pPr>
            <w:r>
              <w:rPr>
                <w:b/>
                <w:color w:val="FFFFFF"/>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szCs w:val="22"/>
              </w:rPr>
            </w:pPr>
            <w:r>
              <w:rPr>
                <w:szCs w:val="22"/>
              </w:rPr>
              <w:t>SocD</w:t>
            </w:r>
          </w:p>
        </w:tc>
      </w:tr>
    </w:tbl>
    <w:p>
      <w:pPr>
        <w:pStyle w:val="Normal"/>
        <w:rPr>
          <w:sz w:val="22"/>
          <w:szCs w:val="22"/>
        </w:rPr>
      </w:pPr>
      <w:r>
        <w:rPr>
          <w:sz w:val="22"/>
          <w:szCs w:val="22"/>
        </w:rPr>
      </w:r>
    </w:p>
    <w:p>
      <w:pPr>
        <w:pStyle w:val="Normal"/>
        <w:rPr>
          <w:sz w:val="22"/>
          <w:szCs w:val="22"/>
        </w:rPr>
      </w:pPr>
      <w:r>
        <w:rPr>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b/>
                <w:b/>
                <w:bCs/>
                <w:color w:val="FFFFFF"/>
                <w:sz w:val="22"/>
                <w:szCs w:val="22"/>
              </w:rPr>
            </w:pPr>
            <w:r>
              <w:rPr>
                <w:b/>
                <w:bCs/>
                <w:color w:val="FFFFFF"/>
                <w:sz w:val="22"/>
                <w:szCs w:val="22"/>
              </w:rPr>
              <w:t>Job Purpose</w:t>
            </w:r>
          </w:p>
          <w:p>
            <w:pPr>
              <w:pStyle w:val="Normal"/>
              <w:rPr>
                <w:sz w:val="22"/>
                <w:szCs w:val="22"/>
              </w:rPr>
            </w:pPr>
            <w:r>
              <w:rPr>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before="0" w:after="160"/>
              <w:textAlignment w:val="baseline"/>
              <w:rPr>
                <w:rFonts w:cs="Arial"/>
                <w:sz w:val="22"/>
              </w:rPr>
            </w:pPr>
            <w:r>
              <w:rPr>
                <w:rFonts w:cs="Arial"/>
                <w:sz w:val="22"/>
              </w:rPr>
              <w:t xml:space="preserve">To provide high quality interventions for vulnerable children and young people which ensure their safety, and ensure they achieve improved outcomes. </w:t>
            </w:r>
          </w:p>
          <w:p>
            <w:pPr>
              <w:pStyle w:val="Normal"/>
              <w:jc w:val="both"/>
              <w:rPr>
                <w:rFonts w:cs="Arial"/>
                <w:sz w:val="22"/>
              </w:rPr>
            </w:pPr>
            <w:r>
              <w:rPr>
                <w:rFonts w:cs="Arial"/>
                <w:sz w:val="22"/>
              </w:rPr>
              <w:t>To have a responsibility for a more complex and challenging caseload; to understand the journey and lived experiences of children and young people and to work with them to achieve identified outcomes.</w:t>
            </w:r>
          </w:p>
          <w:p>
            <w:pPr>
              <w:pStyle w:val="Normal"/>
              <w:jc w:val="both"/>
              <w:rPr>
                <w:rFonts w:cs="Arial"/>
                <w:sz w:val="22"/>
              </w:rPr>
            </w:pPr>
            <w:r>
              <w:rPr>
                <w:rFonts w:cs="Arial"/>
                <w:sz w:val="22"/>
              </w:rPr>
            </w:r>
          </w:p>
          <w:p>
            <w:pPr>
              <w:pStyle w:val="Normal"/>
              <w:jc w:val="both"/>
              <w:rPr>
                <w:rFonts w:cs="Arial"/>
                <w:sz w:val="22"/>
              </w:rPr>
            </w:pPr>
            <w:r>
              <w:rPr>
                <w:rFonts w:cs="Arial"/>
                <w:sz w:val="22"/>
              </w:rPr>
              <w:t xml:space="preserve">To work alongside partner agencies to undertake various assessments, to co-produce and implement plans, and to lead on evaluating and assessing progress, to ensure the best possible outcomes for children, young people and their families.   </w:t>
            </w:r>
          </w:p>
          <w:p>
            <w:pPr>
              <w:pStyle w:val="Normal"/>
              <w:jc w:val="both"/>
              <w:rPr>
                <w:rFonts w:cs="Arial"/>
                <w:sz w:val="22"/>
              </w:rPr>
            </w:pPr>
            <w:r>
              <w:rPr>
                <w:rFonts w:cs="Arial"/>
                <w:sz w:val="22"/>
              </w:rPr>
            </w:r>
          </w:p>
          <w:p>
            <w:pPr>
              <w:pStyle w:val="Normal"/>
              <w:jc w:val="both"/>
              <w:rPr>
                <w:rFonts w:cs="Arial"/>
                <w:sz w:val="22"/>
              </w:rPr>
            </w:pPr>
            <w:r>
              <w:rPr>
                <w:rFonts w:cs="Arial"/>
                <w:sz w:val="22"/>
              </w:rPr>
              <w:t>To continue to develop professionally and be accountable for the delivery of excellent social work practice.</w:t>
            </w:r>
          </w:p>
          <w:p>
            <w:pPr>
              <w:pStyle w:val="Normal"/>
              <w:jc w:val="both"/>
              <w:rPr>
                <w:sz w:val="22"/>
                <w:szCs w:val="22"/>
              </w:rPr>
            </w:pPr>
            <w:r>
              <w:rPr>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b/>
                <w:b/>
                <w:bCs/>
                <w:color w:val="FFFFFF"/>
                <w:sz w:val="22"/>
                <w:szCs w:val="22"/>
              </w:rPr>
            </w:pPr>
            <w:r>
              <w:rPr>
                <w:b/>
                <w:bCs/>
                <w:color w:val="FFFFFF"/>
                <w:sz w:val="22"/>
                <w:szCs w:val="22"/>
              </w:rPr>
              <w:t>Key Tasks</w:t>
            </w:r>
          </w:p>
          <w:p>
            <w:pPr>
              <w:pStyle w:val="Normal"/>
              <w:rPr>
                <w:sz w:val="22"/>
                <w:szCs w:val="22"/>
              </w:rPr>
            </w:pPr>
            <w:r>
              <w:rPr>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To prepare for social work contact and involvement, understanding the journey of a child and their family.</w:t>
            </w:r>
          </w:p>
          <w:p>
            <w:pPr>
              <w:pStyle w:val="Normal"/>
              <w:rPr>
                <w:rFonts w:eastAsia="Arial" w:cs="Arial"/>
                <w:sz w:val="22"/>
                <w:szCs w:val="22"/>
              </w:rPr>
            </w:pPr>
            <w:r>
              <w:rPr>
                <w:rFonts w:eastAsia="Arial" w:cs="Arial"/>
                <w:sz w:val="22"/>
                <w:szCs w:val="22"/>
              </w:rPr>
              <w:t xml:space="preserve"> </w:t>
            </w:r>
          </w:p>
          <w:p>
            <w:pPr>
              <w:pStyle w:val="Normal"/>
              <w:rPr>
                <w:sz w:val="22"/>
                <w:szCs w:val="22"/>
              </w:rPr>
            </w:pPr>
            <w:r>
              <w:rPr>
                <w:sz w:val="22"/>
                <w:szCs w:val="22"/>
              </w:rPr>
              <w:t>To undertake the assessment of need and/or risk for children and young people and their families or carers, as well as assessing parental capacity to change; continually analysing the situation for children, young people and their families.</w:t>
            </w:r>
          </w:p>
          <w:p>
            <w:pPr>
              <w:pStyle w:val="Normal"/>
              <w:rPr>
                <w:sz w:val="22"/>
                <w:szCs w:val="22"/>
              </w:rPr>
            </w:pPr>
            <w:r>
              <w:rPr>
                <w:sz w:val="22"/>
                <w:szCs w:val="22"/>
              </w:rPr>
            </w:r>
          </w:p>
          <w:p>
            <w:pPr>
              <w:pStyle w:val="Normal"/>
              <w:rPr>
                <w:sz w:val="22"/>
                <w:szCs w:val="22"/>
              </w:rPr>
            </w:pPr>
            <w:r>
              <w:rPr>
                <w:sz w:val="22"/>
                <w:szCs w:val="22"/>
              </w:rPr>
              <w:t>To co-produce, implement and review individualised plans for children and young people, to ensure their needs are being met, that they are safe from harm, and that they are able to achieve optimum outcomes. Taking a whole-family approach.</w:t>
            </w:r>
          </w:p>
          <w:p>
            <w:pPr>
              <w:pStyle w:val="Normal"/>
              <w:rPr>
                <w:sz w:val="22"/>
                <w:szCs w:val="22"/>
              </w:rPr>
            </w:pPr>
            <w:r>
              <w:rPr>
                <w:sz w:val="22"/>
                <w:szCs w:val="22"/>
              </w:rPr>
            </w:r>
          </w:p>
          <w:p>
            <w:pPr>
              <w:pStyle w:val="Normal"/>
              <w:rPr>
                <w:sz w:val="22"/>
                <w:szCs w:val="22"/>
              </w:rPr>
            </w:pPr>
            <w:r>
              <w:rPr>
                <w:sz w:val="22"/>
                <w:szCs w:val="22"/>
              </w:rPr>
              <w:t>To work directly with children, young people, their families and carers, including Foster Carers; to understand their experiences and intervening to help them make things better in their lives.</w:t>
            </w:r>
          </w:p>
          <w:p>
            <w:pPr>
              <w:pStyle w:val="Normal"/>
              <w:rPr>
                <w:sz w:val="22"/>
                <w:szCs w:val="22"/>
              </w:rPr>
            </w:pPr>
            <w:r>
              <w:rPr>
                <w:sz w:val="22"/>
                <w:szCs w:val="22"/>
              </w:rPr>
            </w:r>
          </w:p>
          <w:p>
            <w:pPr>
              <w:pStyle w:val="Normal"/>
              <w:rPr>
                <w:sz w:val="22"/>
                <w:szCs w:val="22"/>
              </w:rPr>
            </w:pPr>
            <w:r>
              <w:rPr>
                <w:sz w:val="22"/>
                <w:szCs w:val="22"/>
              </w:rPr>
              <w:t>To respond appropriately to safeguarding matters, following relevant policies and procedures where significant harm, or risk of significant harm is suspected.</w:t>
            </w:r>
          </w:p>
          <w:p>
            <w:pPr>
              <w:pStyle w:val="Normal"/>
              <w:rPr>
                <w:sz w:val="22"/>
                <w:szCs w:val="22"/>
              </w:rPr>
            </w:pPr>
            <w:r>
              <w:rPr>
                <w:sz w:val="22"/>
                <w:szCs w:val="22"/>
              </w:rPr>
            </w:r>
          </w:p>
          <w:p>
            <w:pPr>
              <w:pStyle w:val="Normal"/>
              <w:rPr>
                <w:sz w:val="22"/>
                <w:szCs w:val="22"/>
              </w:rPr>
            </w:pPr>
            <w:r>
              <w:rPr>
                <w:sz w:val="22"/>
                <w:szCs w:val="22"/>
              </w:rPr>
              <w:t>To work in partnership with other agencies, to ensure the most appropriate and effective intervention for children, young people and their families.</w:t>
            </w:r>
          </w:p>
          <w:p>
            <w:pPr>
              <w:pStyle w:val="Normal"/>
              <w:rPr>
                <w:sz w:val="22"/>
                <w:szCs w:val="22"/>
              </w:rPr>
            </w:pPr>
            <w:r>
              <w:rPr>
                <w:sz w:val="22"/>
                <w:szCs w:val="22"/>
              </w:rPr>
            </w:r>
          </w:p>
          <w:p>
            <w:pPr>
              <w:pStyle w:val="Normal"/>
              <w:rPr>
                <w:sz w:val="22"/>
                <w:szCs w:val="22"/>
              </w:rPr>
            </w:pPr>
            <w:r>
              <w:rPr>
                <w:sz w:val="22"/>
                <w:szCs w:val="22"/>
              </w:rPr>
              <w:t>To work with families pro-actively, exploring natural support networks for earliest possible permanency, contingency plans with a view to avoiding crisis; whilst responding to crisis situations should they occur, using appropriate legal intervention where necessary.</w:t>
            </w:r>
          </w:p>
          <w:p>
            <w:pPr>
              <w:pStyle w:val="Normal"/>
              <w:rPr>
                <w:sz w:val="22"/>
                <w:szCs w:val="22"/>
              </w:rPr>
            </w:pPr>
            <w:r>
              <w:rPr>
                <w:sz w:val="22"/>
                <w:szCs w:val="22"/>
              </w:rPr>
            </w:r>
          </w:p>
          <w:p>
            <w:pPr>
              <w:pStyle w:val="Normal"/>
              <w:rPr>
                <w:sz w:val="22"/>
                <w:szCs w:val="22"/>
              </w:rPr>
            </w:pPr>
            <w:r>
              <w:rPr>
                <w:sz w:val="22"/>
                <w:szCs w:val="22"/>
              </w:rPr>
              <w:t>To ensure timely and accurate case file recordings, ensuring personal information is kept confidential and treated respectfully. Following our practice standards to ensure every child receives excellent support.</w:t>
            </w:r>
          </w:p>
          <w:p>
            <w:pPr>
              <w:pStyle w:val="Normal"/>
              <w:rPr>
                <w:sz w:val="22"/>
                <w:szCs w:val="22"/>
              </w:rPr>
            </w:pPr>
            <w:r>
              <w:rPr>
                <w:sz w:val="22"/>
                <w:szCs w:val="22"/>
              </w:rPr>
            </w:r>
          </w:p>
          <w:p>
            <w:pPr>
              <w:pStyle w:val="Normal"/>
              <w:rPr>
                <w:sz w:val="22"/>
                <w:szCs w:val="22"/>
              </w:rPr>
            </w:pPr>
            <w:r>
              <w:rPr>
                <w:sz w:val="22"/>
                <w:szCs w:val="22"/>
              </w:rPr>
              <w:t xml:space="preserve">To prepare for and contribute to meetings and decision-making forums, including Child Protection Case Conferences and Looked After Reviews; to chair meetings as appropriate, for example core group meetings, and care planning meetings. </w:t>
            </w:r>
          </w:p>
          <w:p>
            <w:pPr>
              <w:pStyle w:val="Normal"/>
              <w:rPr>
                <w:sz w:val="22"/>
                <w:szCs w:val="22"/>
              </w:rPr>
            </w:pPr>
            <w:r>
              <w:rPr>
                <w:sz w:val="22"/>
                <w:szCs w:val="22"/>
              </w:rPr>
            </w:r>
          </w:p>
          <w:p>
            <w:pPr>
              <w:pStyle w:val="Normal"/>
              <w:rPr>
                <w:sz w:val="22"/>
                <w:szCs w:val="22"/>
              </w:rPr>
            </w:pPr>
            <w:r>
              <w:rPr>
                <w:sz w:val="22"/>
                <w:szCs w:val="22"/>
              </w:rPr>
              <w:t xml:space="preserve">To advocate on behalf of children, young people and their families, within the boundaries of corporate and directorate policies. </w:t>
            </w:r>
          </w:p>
          <w:p>
            <w:pPr>
              <w:pStyle w:val="Normal"/>
              <w:rPr>
                <w:sz w:val="22"/>
                <w:szCs w:val="22"/>
              </w:rPr>
            </w:pPr>
            <w:r>
              <w:rPr>
                <w:sz w:val="22"/>
                <w:szCs w:val="22"/>
              </w:rPr>
            </w:r>
          </w:p>
          <w:p>
            <w:pPr>
              <w:pStyle w:val="Normal"/>
              <w:rPr>
                <w:sz w:val="22"/>
                <w:szCs w:val="22"/>
              </w:rPr>
            </w:pPr>
            <w:r>
              <w:rPr>
                <w:sz w:val="22"/>
                <w:szCs w:val="22"/>
              </w:rPr>
              <w:t xml:space="preserve">To prepare and provide information in the form of written reports, and data, as appropriate to their purpose. </w:t>
            </w:r>
          </w:p>
          <w:p>
            <w:pPr>
              <w:pStyle w:val="Normal"/>
              <w:rPr>
                <w:sz w:val="22"/>
                <w:szCs w:val="22"/>
              </w:rPr>
            </w:pPr>
            <w:r>
              <w:rPr>
                <w:sz w:val="22"/>
                <w:szCs w:val="22"/>
              </w:rPr>
            </w:r>
          </w:p>
          <w:p>
            <w:pPr>
              <w:pStyle w:val="Normal"/>
              <w:rPr>
                <w:sz w:val="22"/>
                <w:szCs w:val="22"/>
              </w:rPr>
            </w:pPr>
            <w:r>
              <w:rPr>
                <w:sz w:val="22"/>
                <w:szCs w:val="22"/>
              </w:rPr>
              <w:t>To offer advice and guidance to less experienced employees regarding casework and the application of social work theories and models in practice including in the role of ‘Subject Champion’ for a designated topic, where trained in specialist assessments as part of continue professional development, and if designated as a buddy for a NQSW, or Practice Educator for a student.</w:t>
            </w:r>
          </w:p>
          <w:p>
            <w:pPr>
              <w:pStyle w:val="Normal"/>
              <w:rPr>
                <w:sz w:val="22"/>
                <w:szCs w:val="22"/>
              </w:rPr>
            </w:pPr>
            <w:r>
              <w:rPr>
                <w:sz w:val="22"/>
                <w:szCs w:val="22"/>
              </w:rPr>
            </w:r>
          </w:p>
          <w:p>
            <w:pPr>
              <w:pStyle w:val="Normal"/>
              <w:rPr>
                <w:sz w:val="22"/>
                <w:szCs w:val="22"/>
              </w:rPr>
            </w:pPr>
            <w:r>
              <w:rPr>
                <w:sz w:val="22"/>
                <w:szCs w:val="22"/>
              </w:rPr>
              <w:t>To prepare for and participate in both informal and formal supervision sessions, including reflection, analysing own performance, identifying your own learning needs and ensuring sufficient commitment to professional development.</w:t>
            </w:r>
          </w:p>
          <w:p>
            <w:pPr>
              <w:pStyle w:val="Normal"/>
              <w:rPr>
                <w:sz w:val="22"/>
                <w:szCs w:val="22"/>
              </w:rPr>
            </w:pPr>
            <w:r>
              <w:rPr>
                <w:sz w:val="22"/>
                <w:szCs w:val="22"/>
              </w:rPr>
            </w:r>
          </w:p>
          <w:p>
            <w:pPr>
              <w:pStyle w:val="Normal"/>
              <w:rPr>
                <w:sz w:val="22"/>
                <w:szCs w:val="22"/>
              </w:rPr>
            </w:pPr>
            <w:r>
              <w:rPr>
                <w:sz w:val="22"/>
                <w:szCs w:val="22"/>
              </w:rPr>
              <w:t>To adopt and embrace required changes and advances in working practices, including those which incorporate the use of ICT.</w:t>
            </w:r>
          </w:p>
          <w:p>
            <w:pPr>
              <w:pStyle w:val="Normal"/>
              <w:rPr>
                <w:sz w:val="22"/>
                <w:szCs w:val="22"/>
              </w:rPr>
            </w:pPr>
            <w:r>
              <w:rPr>
                <w:sz w:val="22"/>
                <w:szCs w:val="22"/>
              </w:rPr>
            </w:r>
          </w:p>
          <w:p>
            <w:pPr>
              <w:pStyle w:val="Normal"/>
              <w:rPr>
                <w:sz w:val="22"/>
                <w:szCs w:val="22"/>
              </w:rPr>
            </w:pPr>
            <w:r>
              <w:rPr>
                <w:sz w:val="22"/>
                <w:szCs w:val="22"/>
              </w:rPr>
              <w:t xml:space="preserve">To inform managers of service deficiencies or issues interfering with delivering an efficient service and make suggestions for opportunities for improvement. </w:t>
            </w:r>
          </w:p>
          <w:p>
            <w:pPr>
              <w:pStyle w:val="Normal"/>
              <w:rPr>
                <w:sz w:val="22"/>
                <w:szCs w:val="22"/>
              </w:rPr>
            </w:pPr>
            <w:r>
              <w:rPr>
                <w:sz w:val="22"/>
                <w:szCs w:val="22"/>
              </w:rPr>
            </w:r>
          </w:p>
          <w:p>
            <w:pPr>
              <w:pStyle w:val="Normal"/>
              <w:rPr>
                <w:sz w:val="22"/>
                <w:szCs w:val="22"/>
              </w:rPr>
            </w:pPr>
            <w:r>
              <w:rPr>
                <w:sz w:val="22"/>
                <w:szCs w:val="22"/>
              </w:rPr>
              <w:t>To embrace and participate in a culture of learning and development, taking responsibility for professional development and accessing training and development opportunities.</w:t>
            </w:r>
          </w:p>
          <w:p>
            <w:pPr>
              <w:pStyle w:val="Normal"/>
              <w:rPr>
                <w:sz w:val="22"/>
                <w:szCs w:val="22"/>
              </w:rPr>
            </w:pPr>
            <w:r>
              <w:rPr>
                <w:sz w:val="22"/>
                <w:szCs w:val="22"/>
              </w:rPr>
            </w:r>
          </w:p>
          <w:p>
            <w:pPr>
              <w:pStyle w:val="Normal"/>
              <w:jc w:val="both"/>
              <w:rPr>
                <w:rFonts w:cs="Arial"/>
                <w:i/>
                <w:i/>
                <w:sz w:val="22"/>
                <w:szCs w:val="22"/>
              </w:rPr>
            </w:pPr>
            <w:r>
              <w:rPr>
                <w:rFonts w:cs="Arial"/>
                <w:i/>
                <w:sz w:val="22"/>
                <w:szCs w:val="22"/>
              </w:rPr>
              <w:t>In addition to the tasks above, Jobholders could be required to undertake any tasks, duties or responsibilities contained in lower-graded posts within the Social Worker profile family to ensure a comprehensive Service is delivered to Service Users, Carers and Families.</w:t>
            </w:r>
          </w:p>
          <w:p>
            <w:pPr>
              <w:pStyle w:val="Normal"/>
              <w:rPr>
                <w:sz w:val="22"/>
                <w:szCs w:val="22"/>
              </w:rPr>
            </w:pPr>
            <w:r>
              <w:rPr>
                <w:sz w:val="22"/>
                <w:szCs w:val="22"/>
              </w:rPr>
            </w:r>
          </w:p>
          <w:p>
            <w:pPr>
              <w:pStyle w:val="Normal"/>
              <w:rPr>
                <w:sz w:val="22"/>
                <w:szCs w:val="22"/>
              </w:rPr>
            </w:pPr>
            <w:r>
              <w:rPr>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b/>
                <w:b/>
                <w:color w:val="FFFFFF"/>
                <w:sz w:val="22"/>
                <w:szCs w:val="22"/>
              </w:rPr>
            </w:pPr>
            <w:r>
              <w:rPr>
                <w:b/>
                <w:color w:val="FFFFFF"/>
                <w:sz w:val="22"/>
                <w:szCs w:val="22"/>
              </w:rPr>
              <w:t>Standard Duties:</w:t>
            </w:r>
          </w:p>
          <w:p>
            <w:pPr>
              <w:pStyle w:val="Normal"/>
              <w:jc w:val="both"/>
              <w:rPr>
                <w:color w:val="FFFFFF"/>
                <w:sz w:val="22"/>
                <w:szCs w:val="22"/>
              </w:rPr>
            </w:pPr>
            <w:r>
              <w:rPr>
                <w:color w:val="FFFFFF"/>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color w:val="FFFFFF"/>
                <w:sz w:val="22"/>
                <w:szCs w:val="22"/>
              </w:rPr>
            </w:pPr>
            <w:r>
              <w:rPr>
                <w:color w:val="FFFFFF"/>
                <w:sz w:val="22"/>
                <w:szCs w:val="22"/>
              </w:rPr>
            </w:r>
          </w:p>
          <w:p>
            <w:pPr>
              <w:pStyle w:val="Normal"/>
              <w:jc w:val="both"/>
              <w:rPr>
                <w:sz w:val="22"/>
                <w:szCs w:val="22"/>
              </w:rPr>
            </w:pPr>
            <w:r>
              <w:rPr>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sz w:val="22"/>
                <w:szCs w:val="22"/>
              </w:rPr>
            </w:pPr>
            <w:r>
              <w:rPr>
                <w:sz w:val="22"/>
                <w:szCs w:val="22"/>
              </w:rPr>
            </w:r>
          </w:p>
          <w:p>
            <w:pPr>
              <w:pStyle w:val="Normal"/>
              <w:jc w:val="both"/>
              <w:rPr>
                <w:sz w:val="22"/>
                <w:szCs w:val="22"/>
              </w:rPr>
            </w:pPr>
            <w:r>
              <w:rPr>
                <w:sz w:val="22"/>
                <w:szCs w:val="22"/>
              </w:rPr>
              <w:t>To actively promote the equalities and diversity agenda in the workplace and in service delivery.</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2.</w:t>
            </w:r>
          </w:p>
        </w:tc>
        <w:tc>
          <w:tcPr>
            <w:tcW w:w="9927" w:type="dxa"/>
            <w:tcBorders>
              <w:right w:val="single" w:sz="4" w:space="0" w:color="000000"/>
            </w:tcBorders>
            <w:shd w:fill="auto" w:val="clear"/>
          </w:tcPr>
          <w:p>
            <w:pPr>
              <w:pStyle w:val="Normal"/>
              <w:jc w:val="both"/>
              <w:rPr>
                <w:sz w:val="22"/>
                <w:szCs w:val="22"/>
              </w:rPr>
            </w:pPr>
            <w:r>
              <w:rPr>
                <w:sz w:val="22"/>
                <w:szCs w:val="22"/>
              </w:rPr>
              <w:t>To uphold and implement policies and procedures of the Council; including customer care, data protection, finance, ICT, safeguarding and health &amp; safety policies.</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3.</w:t>
            </w:r>
          </w:p>
        </w:tc>
        <w:tc>
          <w:tcPr>
            <w:tcW w:w="9927" w:type="dxa"/>
            <w:tcBorders>
              <w:right w:val="single" w:sz="4" w:space="0" w:color="000000"/>
            </w:tcBorders>
            <w:shd w:fill="auto" w:val="clear"/>
          </w:tcPr>
          <w:p>
            <w:pPr>
              <w:pStyle w:val="Normal"/>
              <w:jc w:val="both"/>
              <w:rPr>
                <w:sz w:val="22"/>
                <w:szCs w:val="22"/>
              </w:rPr>
            </w:pPr>
            <w:r>
              <w:rPr>
                <w:sz w:val="22"/>
                <w:szCs w:val="22"/>
              </w:rPr>
              <w:t>To actively engage with the behaviours and values of the Council to promote and support our Co-operative Agenda.</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4.</w:t>
            </w:r>
          </w:p>
        </w:tc>
        <w:tc>
          <w:tcPr>
            <w:tcW w:w="9927" w:type="dxa"/>
            <w:tcBorders>
              <w:right w:val="single" w:sz="4" w:space="0" w:color="000000"/>
            </w:tcBorders>
            <w:shd w:fill="auto" w:val="clear"/>
          </w:tcPr>
          <w:p>
            <w:pPr>
              <w:pStyle w:val="Normal"/>
              <w:jc w:val="both"/>
              <w:rPr>
                <w:sz w:val="22"/>
                <w:szCs w:val="22"/>
              </w:rPr>
            </w:pPr>
            <w:r>
              <w:rPr>
                <w:sz w:val="22"/>
                <w:szCs w:val="22"/>
              </w:rPr>
              <w:t xml:space="preserve">To undertake continuous professional development and to be aware of new developments, legislation, initiatives, guidelines, policies and procedures as appropriate to the role. </w:t>
            </w:r>
          </w:p>
          <w:p>
            <w:pPr>
              <w:pStyle w:val="Normal"/>
              <w:jc w:val="both"/>
              <w:rPr>
                <w:b/>
                <w:b/>
                <w:sz w:val="22"/>
                <w:szCs w:val="22"/>
              </w:rPr>
            </w:pPr>
            <w:r>
              <w:rPr>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sz w:val="22"/>
                <w:szCs w:val="22"/>
              </w:rPr>
            </w:pPr>
            <w:r>
              <w:rPr>
                <w:sz w:val="22"/>
                <w:szCs w:val="22"/>
              </w:rPr>
              <w:t>5.</w:t>
            </w:r>
          </w:p>
        </w:tc>
        <w:tc>
          <w:tcPr>
            <w:tcW w:w="9927" w:type="dxa"/>
            <w:tcBorders>
              <w:bottom w:val="single" w:sz="4" w:space="0" w:color="000000"/>
              <w:right w:val="single" w:sz="4" w:space="0" w:color="000000"/>
            </w:tcBorders>
            <w:shd w:fill="auto" w:val="clear"/>
          </w:tcPr>
          <w:p>
            <w:pPr>
              <w:pStyle w:val="Normal"/>
              <w:jc w:val="both"/>
              <w:rPr>
                <w:sz w:val="22"/>
                <w:szCs w:val="22"/>
              </w:rPr>
            </w:pPr>
            <w:r>
              <w:rPr>
                <w:sz w:val="22"/>
                <w:szCs w:val="22"/>
              </w:rPr>
              <w:t>Undertake any additional duties commensurate with the level of the post.</w:t>
            </w:r>
          </w:p>
          <w:p>
            <w:pPr>
              <w:pStyle w:val="Normal"/>
              <w:jc w:val="both"/>
              <w:rPr>
                <w:b/>
                <w:b/>
                <w:sz w:val="22"/>
                <w:szCs w:val="22"/>
              </w:rPr>
            </w:pPr>
            <w:r>
              <w:rPr>
                <w:b/>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sz w:val="22"/>
                <w:szCs w:val="22"/>
              </w:rPr>
            </w:pPr>
            <w:r>
              <w:rPr>
                <w:b/>
                <w:sz w:val="22"/>
                <w:szCs w:val="22"/>
              </w:rPr>
              <w:t>Contacts:</w:t>
            </w:r>
          </w:p>
          <w:p>
            <w:pPr>
              <w:pStyle w:val="Normal"/>
              <w:jc w:val="both"/>
              <w:rPr>
                <w:b/>
                <w:b/>
                <w:sz w:val="22"/>
                <w:szCs w:val="22"/>
              </w:rPr>
            </w:pPr>
            <w:r>
              <w:rPr>
                <w:b/>
                <w:sz w:val="22"/>
                <w:szCs w:val="22"/>
              </w:rPr>
            </w:r>
          </w:p>
          <w:p>
            <w:pPr>
              <w:pStyle w:val="Normal"/>
              <w:jc w:val="both"/>
              <w:rPr>
                <w:rFonts w:cs="Arial"/>
                <w:sz w:val="22"/>
              </w:rPr>
            </w:pPr>
            <w:r>
              <w:rPr>
                <w:rFonts w:cs="Arial"/>
                <w:sz w:val="22"/>
              </w:rPr>
              <w:t>Service Users, Carers, Relatives, Guardians, colleagues within OMBC and the NHS, partnership agencies, legal professionals, teachers and the police.</w:t>
            </w:r>
          </w:p>
          <w:p>
            <w:pPr>
              <w:pStyle w:val="Normal"/>
              <w:jc w:val="both"/>
              <w:rPr>
                <w:sz w:val="22"/>
                <w:szCs w:val="22"/>
              </w:rPr>
            </w:pPr>
            <w:r>
              <w:rPr>
                <w:sz w:val="22"/>
                <w:szCs w:val="22"/>
              </w:rPr>
            </w:r>
          </w:p>
        </w:tc>
      </w:tr>
    </w:tbl>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color w:val="FFFFFF"/>
                <w:szCs w:val="22"/>
              </w:rPr>
            </w:pPr>
            <w:r>
              <w:rPr>
                <w:color w:val="FFFFFF"/>
                <w:szCs w:val="22"/>
              </w:rPr>
              <w:t>Relationship To Other Posts In The Department:</w:t>
            </w:r>
          </w:p>
          <w:p>
            <w:pPr>
              <w:pStyle w:val="Normal"/>
              <w:rPr>
                <w:color w:val="FFFFFF"/>
                <w:sz w:val="22"/>
                <w:szCs w:val="22"/>
              </w:rPr>
            </w:pPr>
            <w:r>
              <w:rPr>
                <w:color w:val="FFFFFF"/>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b/>
                <w:b/>
                <w:sz w:val="22"/>
                <w:szCs w:val="22"/>
              </w:rPr>
            </w:pPr>
            <w:r>
              <w:rPr>
                <w:b/>
                <w:sz w:val="22"/>
                <w:szCs w:val="22"/>
              </w:rPr>
              <w:t xml:space="preserve">Responsible to:  </w:t>
            </w:r>
          </w:p>
          <w:p>
            <w:pPr>
              <w:pStyle w:val="Normal"/>
              <w:rPr>
                <w:sz w:val="22"/>
                <w:szCs w:val="22"/>
              </w:rPr>
            </w:pPr>
            <w:r>
              <w:rPr>
                <w:sz w:val="22"/>
                <w:szCs w:val="22"/>
              </w:rPr>
            </w:r>
          </w:p>
        </w:tc>
        <w:tc>
          <w:tcPr>
            <w:tcW w:w="8343" w:type="dxa"/>
            <w:tcBorders>
              <w:top w:val="single" w:sz="4" w:space="0" w:color="000000"/>
              <w:right w:val="single" w:sz="4" w:space="0" w:color="000000"/>
            </w:tcBorders>
            <w:shd w:fill="auto" w:val="clear"/>
          </w:tcPr>
          <w:p>
            <w:pPr>
              <w:pStyle w:val="TextBody"/>
              <w:rPr>
                <w:b w:val="false"/>
                <w:b w:val="false"/>
                <w:szCs w:val="22"/>
              </w:rPr>
            </w:pPr>
            <w:r>
              <w:rPr>
                <w:b w:val="false"/>
                <w:szCs w:val="22"/>
              </w:rPr>
              <w:t>Team Manager / Senior Practitioner</w:t>
            </w:r>
          </w:p>
        </w:tc>
      </w:tr>
      <w:tr>
        <w:trPr>
          <w:trHeight w:val="517" w:hRule="atLeast"/>
        </w:trPr>
        <w:tc>
          <w:tcPr>
            <w:tcW w:w="2106" w:type="dxa"/>
            <w:tcBorders>
              <w:left w:val="single" w:sz="4" w:space="0" w:color="000000"/>
              <w:bottom w:val="single" w:sz="4" w:space="0" w:color="000000"/>
            </w:tcBorders>
            <w:shd w:fill="auto" w:val="clear"/>
          </w:tcPr>
          <w:p>
            <w:pPr>
              <w:pStyle w:val="Normal"/>
              <w:rPr>
                <w:b/>
                <w:b/>
                <w:sz w:val="22"/>
                <w:szCs w:val="22"/>
              </w:rPr>
            </w:pPr>
            <w:r>
              <w:rPr>
                <w:b/>
                <w:sz w:val="22"/>
                <w:szCs w:val="22"/>
              </w:rPr>
              <w:t>Responsible for:</w:t>
            </w:r>
          </w:p>
        </w:tc>
        <w:tc>
          <w:tcPr>
            <w:tcW w:w="8343" w:type="dxa"/>
            <w:tcBorders>
              <w:bottom w:val="single" w:sz="4" w:space="0" w:color="000000"/>
              <w:right w:val="single" w:sz="4" w:space="0" w:color="000000"/>
            </w:tcBorders>
            <w:shd w:fill="auto" w:val="clear"/>
          </w:tcPr>
          <w:p>
            <w:pPr>
              <w:pStyle w:val="Normal"/>
              <w:rPr>
                <w:sz w:val="22"/>
                <w:szCs w:val="22"/>
              </w:rPr>
            </w:pPr>
            <w:r>
              <w:rPr>
                <w:sz w:val="22"/>
                <w:szCs w:val="22"/>
              </w:rPr>
              <w:t>N/A</w:t>
            </w:r>
          </w:p>
        </w:tc>
      </w:tr>
    </w:tbl>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b/>
                <w:b/>
                <w:sz w:val="22"/>
                <w:szCs w:val="22"/>
              </w:rPr>
            </w:pPr>
            <w:r>
              <w:rPr>
                <w:b/>
                <w:sz w:val="22"/>
                <w:szCs w:val="22"/>
              </w:rPr>
              <w:t>Special Conditions:</w:t>
            </w:r>
          </w:p>
          <w:p>
            <w:pPr>
              <w:pStyle w:val="Normal"/>
              <w:rPr>
                <w:sz w:val="22"/>
                <w:szCs w:val="22"/>
              </w:rPr>
            </w:pPr>
            <w:r>
              <w:rPr>
                <w:sz w:val="22"/>
                <w:szCs w:val="22"/>
              </w:rPr>
            </w:r>
          </w:p>
          <w:p>
            <w:pPr>
              <w:pStyle w:val="Normal"/>
              <w:rPr>
                <w:sz w:val="22"/>
                <w:szCs w:val="22"/>
              </w:rPr>
            </w:pPr>
            <w:r>
              <w:rPr>
                <w:sz w:val="22"/>
                <w:szCs w:val="22"/>
              </w:rPr>
              <w:t>Enhanced DBS and update service.</w:t>
            </w:r>
          </w:p>
          <w:p>
            <w:pPr>
              <w:pStyle w:val="Normal"/>
              <w:rPr>
                <w:sz w:val="22"/>
                <w:szCs w:val="22"/>
              </w:rPr>
            </w:pPr>
            <w:r>
              <w:rPr>
                <w:sz w:val="22"/>
                <w:szCs w:val="22"/>
              </w:rPr>
            </w:r>
          </w:p>
          <w:p>
            <w:pPr>
              <w:pStyle w:val="Normal"/>
              <w:rPr>
                <w:sz w:val="22"/>
                <w:szCs w:val="22"/>
              </w:rPr>
            </w:pPr>
            <w:r>
              <w:rPr>
                <w:sz w:val="22"/>
                <w:szCs w:val="22"/>
              </w:rPr>
              <w:t>Essential Car Allowance for drivers.</w:t>
            </w:r>
          </w:p>
          <w:p>
            <w:pPr>
              <w:pStyle w:val="Normal"/>
              <w:rPr>
                <w:sz w:val="22"/>
                <w:szCs w:val="22"/>
              </w:rPr>
            </w:pPr>
            <w:r>
              <w:rPr>
                <w:sz w:val="22"/>
                <w:szCs w:val="22"/>
              </w:rPr>
            </w:r>
          </w:p>
        </w:tc>
      </w:tr>
    </w:tbl>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b/>
                <w:b/>
                <w:color w:val="FFFFFF"/>
                <w:sz w:val="22"/>
                <w:szCs w:val="22"/>
              </w:rPr>
            </w:pPr>
            <w:r>
              <w:rPr>
                <w:b/>
                <w:color w:val="FFFFFF"/>
                <w:sz w:val="22"/>
                <w:szCs w:val="22"/>
              </w:rPr>
              <w:t>Values and Behaviours:</w:t>
            </w:r>
          </w:p>
          <w:p>
            <w:pPr>
              <w:pStyle w:val="Normal"/>
              <w:rPr>
                <w:b/>
                <w:b/>
                <w:color w:val="FFFFFF"/>
                <w:sz w:val="22"/>
                <w:szCs w:val="22"/>
              </w:rPr>
            </w:pPr>
            <w:r>
              <w:rPr>
                <w:b/>
                <w:color w:val="FFFFFF"/>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Helvetica;Arial" w:ascii="Helvetica;Arial" w:hAnsi="Helvetica;Arial"/>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pacing w:before="280" w:after="280"/>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p>
            <w:pPr>
              <w:pStyle w:val="Normal"/>
              <w:spacing w:before="280" w:after="0"/>
              <w:jc w:val="both"/>
              <w:rPr>
                <w:rFonts w:cs="Arial"/>
                <w:sz w:val="22"/>
                <w:szCs w:val="22"/>
                <w:lang w:val="en" w:eastAsia="en-GB"/>
              </w:rPr>
            </w:pPr>
            <w:r>
              <w:rPr>
                <w:rFonts w:cs="Arial"/>
                <w:sz w:val="22"/>
                <w:szCs w:val="22"/>
                <w:lang w:val="en" w:eastAsia="en-GB"/>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lang w:val="en" w:eastAsia="en-GB"/>
              </w:rPr>
            </w:pPr>
            <w:r>
              <w:rPr>
                <w:rFonts w:cs="Arial"/>
                <w:sz w:val="22"/>
                <w:szCs w:val="22"/>
                <w:lang w:val="en" w:eastAsia="en-GB"/>
              </w:rPr>
            </w:r>
          </w:p>
          <w:p>
            <w:pPr>
              <w:pStyle w:val="Normal"/>
              <w:rPr>
                <w:rFonts w:cs="Arial"/>
                <w:sz w:val="22"/>
                <w:szCs w:val="22"/>
              </w:rPr>
            </w:pPr>
            <w:r>
              <w:rPr>
                <w:rFonts w:cs="Arial"/>
                <w:sz w:val="22"/>
                <w:szCs w:val="22"/>
              </w:rPr>
              <w:t>We have five Behaviours which outline the priority areas of focus for staff at all levels:</w:t>
            </w:r>
          </w:p>
          <w:p>
            <w:pPr>
              <w:pStyle w:val="Normal"/>
              <w:rPr>
                <w:rFonts w:cs="Arial"/>
                <w:sz w:val="22"/>
                <w:szCs w:val="22"/>
              </w:rPr>
            </w:pPr>
            <w:r>
              <w:rPr>
                <w:rFonts w:cs="Arial"/>
                <w:sz w:val="22"/>
                <w:szCs w:val="22"/>
              </w:rPr>
            </w:r>
          </w:p>
          <w:p>
            <w:pPr>
              <w:pStyle w:val="Normal"/>
              <w:rPr/>
            </w:pPr>
            <w:r>
              <w:rPr>
                <w:rFonts w:cs="Arial"/>
                <w:sz w:val="22"/>
                <w:szCs w:val="22"/>
              </w:rPr>
              <w:t>•</w:t>
            </w:r>
            <w:r>
              <w:rPr>
                <w:rFonts w:cs="Arial"/>
                <w:sz w:val="22"/>
                <w:szCs w:val="22"/>
              </w:rPr>
              <w:tab/>
              <w:t>Work with a Resident Focus</w:t>
            </w:r>
          </w:p>
          <w:p>
            <w:pPr>
              <w:pStyle w:val="Normal"/>
              <w:rPr/>
            </w:pPr>
            <w:r>
              <w:rPr>
                <w:rFonts w:cs="Arial"/>
                <w:sz w:val="22"/>
                <w:szCs w:val="22"/>
              </w:rPr>
              <w:t>•</w:t>
            </w:r>
            <w:r>
              <w:rPr>
                <w:rFonts w:cs="Arial"/>
                <w:sz w:val="22"/>
                <w:szCs w:val="22"/>
              </w:rPr>
              <w:tab/>
              <w:t>Support Local Leaders</w:t>
            </w:r>
          </w:p>
          <w:p>
            <w:pPr>
              <w:pStyle w:val="Normal"/>
              <w:rPr/>
            </w:pPr>
            <w:r>
              <w:rPr>
                <w:rFonts w:cs="Arial"/>
                <w:sz w:val="22"/>
                <w:szCs w:val="22"/>
              </w:rPr>
              <w:t>•</w:t>
            </w:r>
            <w:r>
              <w:rPr>
                <w:rFonts w:cs="Arial"/>
                <w:sz w:val="22"/>
                <w:szCs w:val="22"/>
              </w:rPr>
              <w:tab/>
              <w:t>Committed to the Borough</w:t>
            </w:r>
          </w:p>
          <w:p>
            <w:pPr>
              <w:pStyle w:val="Normal"/>
              <w:rPr/>
            </w:pPr>
            <w:r>
              <w:rPr>
                <w:rFonts w:cs="Arial"/>
                <w:sz w:val="22"/>
                <w:szCs w:val="22"/>
              </w:rPr>
              <w:t>•</w:t>
            </w:r>
            <w:r>
              <w:rPr>
                <w:rFonts w:cs="Arial"/>
                <w:sz w:val="22"/>
                <w:szCs w:val="22"/>
              </w:rPr>
              <w:tab/>
              <w:t>Take Ownership and Drive Change</w:t>
            </w:r>
          </w:p>
          <w:p>
            <w:pPr>
              <w:pStyle w:val="Normal"/>
              <w:rPr/>
            </w:pPr>
            <w:r>
              <w:rPr>
                <w:rFonts w:cs="Arial"/>
                <w:sz w:val="22"/>
                <w:szCs w:val="22"/>
              </w:rPr>
              <w:t>•</w:t>
            </w:r>
            <w:r>
              <w:rPr>
                <w:rFonts w:cs="Arial"/>
                <w:sz w:val="22"/>
                <w:szCs w:val="22"/>
              </w:rPr>
              <w:tab/>
              <w:t xml:space="preserve">Deliver High Performance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More information around our Values and Behaviours can be found on our Greater. Jobs pages together with information about the staff benefits we offer.</w:t>
            </w:r>
          </w:p>
          <w:p>
            <w:pPr>
              <w:pStyle w:val="Normal"/>
              <w:rPr>
                <w:b/>
                <w:b/>
                <w:sz w:val="22"/>
                <w:szCs w:val="22"/>
              </w:rPr>
            </w:pPr>
            <w:r>
              <w:rPr>
                <w:b/>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color w:val="FFFFFF"/>
                <w:szCs w:val="22"/>
              </w:rPr>
            </w:pPr>
            <w:r>
              <w:rPr>
                <w:rFonts w:cs="Arial"/>
                <w:color w:val="FFFFFF"/>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b/>
                <w:b/>
                <w:color w:val="FFFFFF"/>
                <w:sz w:val="22"/>
                <w:szCs w:val="22"/>
              </w:rPr>
            </w:pPr>
            <w:r>
              <w:rPr>
                <w:b/>
                <w:color w:val="FFFFFF"/>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b/>
                <w:b/>
                <w:color w:val="FFFFFF"/>
                <w:sz w:val="22"/>
                <w:szCs w:val="22"/>
              </w:rPr>
            </w:pPr>
            <w:r>
              <w:rPr>
                <w:b/>
                <w:color w:val="FFFFFF"/>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b/>
                <w:b/>
                <w:color w:val="FFFFFF"/>
                <w:sz w:val="22"/>
                <w:szCs w:val="22"/>
              </w:rPr>
            </w:pPr>
            <w:r>
              <w:rPr>
                <w:b/>
                <w:color w:val="FFFFFF"/>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sz w:val="22"/>
                <w:szCs w:val="22"/>
              </w:rPr>
            </w:pPr>
            <w:r>
              <w:rPr>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sz w:val="22"/>
                <w:szCs w:val="22"/>
              </w:rPr>
            </w:pPr>
            <w:r>
              <w:rPr>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sz w:val="22"/>
                <w:szCs w:val="22"/>
              </w:rPr>
            </w:pPr>
            <w:r>
              <w:rPr>
                <w:sz w:val="22"/>
                <w:szCs w:val="22"/>
              </w:rPr>
            </w:r>
          </w:p>
        </w:tc>
      </w:tr>
    </w:tbl>
    <w:p>
      <w:pPr>
        <w:pStyle w:val="Normal"/>
        <w:jc w:val="center"/>
        <w:rPr>
          <w:b/>
          <w:b/>
          <w:bCs/>
          <w:u w:val="single"/>
        </w:rPr>
      </w:pPr>
      <w:r>
        <w:br w:type="page"/>
      </w:r>
      <w:r>
        <w:rPr>
          <w:b/>
          <w:bCs/>
          <w:u w:val="single"/>
        </w:rPr>
        <w:t>OLDHAM COUNCIL</w:t>
      </w:r>
    </w:p>
    <w:p>
      <w:pPr>
        <w:pStyle w:val="Normal"/>
        <w:jc w:val="center"/>
        <w:rPr>
          <w:b/>
          <w:b/>
          <w:bCs/>
          <w:u w:val="single"/>
        </w:rPr>
      </w:pPr>
      <w:r>
        <w:rPr>
          <w:b/>
          <w:bCs/>
          <w:u w:val="single"/>
        </w:rPr>
      </w:r>
    </w:p>
    <w:p>
      <w:pPr>
        <w:pStyle w:val="Normal"/>
        <w:jc w:val="center"/>
        <w:rPr>
          <w:b/>
          <w:b/>
          <w:bCs/>
          <w:u w:val="single"/>
        </w:rPr>
      </w:pPr>
      <w:r>
        <w:rPr>
          <w:b/>
          <w:bCs/>
          <w:u w:val="single"/>
        </w:rPr>
        <w:t>PERSON SPECIFICATION</w:t>
      </w:r>
    </w:p>
    <w:p>
      <w:pPr>
        <w:pStyle w:val="Normal"/>
        <w:rPr>
          <w:bCs/>
        </w:rPr>
      </w:pPr>
      <w:r>
        <w:rPr>
          <w:bCs/>
        </w:rPr>
      </w:r>
    </w:p>
    <w:p>
      <w:pPr>
        <w:pStyle w:val="Normal"/>
        <w:ind w:left="0" w:right="-514" w:hanging="0"/>
        <w:rPr/>
      </w:pPr>
      <w:r>
        <w:rPr>
          <w:b/>
          <w:bCs/>
          <w:sz w:val="22"/>
          <w:szCs w:val="22"/>
        </w:rPr>
        <w:t>Job Title:</w:t>
      </w:r>
      <w:r>
        <w:rPr>
          <w:bCs/>
          <w:sz w:val="22"/>
          <w:szCs w:val="22"/>
        </w:rPr>
        <w:t xml:space="preserve">  Social Worker Childrens Profile D</w:t>
      </w:r>
    </w:p>
    <w:p>
      <w:pPr>
        <w:pStyle w:val="Normal"/>
        <w:rPr/>
      </w:pPr>
      <w:r>
        <w:rPr/>
      </w:r>
    </w:p>
    <w:tbl>
      <w:tblPr>
        <w:tblW w:w="10449" w:type="dxa"/>
        <w:jc w:val="left"/>
        <w:tblInd w:w="-617" w:type="dxa"/>
        <w:tblCellMar>
          <w:top w:w="0" w:type="dxa"/>
          <w:left w:w="108" w:type="dxa"/>
          <w:bottom w:w="0" w:type="dxa"/>
          <w:right w:w="108" w:type="dxa"/>
        </w:tblCellMar>
      </w:tblPr>
      <w:tblGrid>
        <w:gridCol w:w="1799"/>
        <w:gridCol w:w="3960"/>
        <w:gridCol w:w="2898"/>
        <w:gridCol w:w="1792"/>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rPr>
            </w:pPr>
            <w:r>
              <w:rPr>
                <w:b/>
                <w:bCs/>
                <w:color w:val="FFFFFF"/>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color w:val="FFFFFF"/>
              </w:rPr>
            </w:pPr>
            <w:r>
              <w:rPr>
                <w:b/>
                <w:bCs/>
                <w:color w:val="FFFFFF"/>
              </w:rPr>
              <w:t xml:space="preserve">Selection criteria </w:t>
            </w:r>
          </w:p>
          <w:p>
            <w:pPr>
              <w:pStyle w:val="Normal"/>
              <w:jc w:val="center"/>
              <w:rPr>
                <w:b/>
                <w:b/>
                <w:bCs/>
                <w:color w:val="FFFFFF"/>
              </w:rPr>
            </w:pPr>
            <w:r>
              <w:rPr>
                <w:b/>
                <w:bCs/>
                <w:color w:val="FFFFFF"/>
              </w:rPr>
              <w:t>(Essential)</w:t>
            </w:r>
          </w:p>
        </w:tc>
        <w:tc>
          <w:tcPr>
            <w:tcW w:w="2898" w:type="dxa"/>
            <w:tcBorders>
              <w:top w:val="single" w:sz="4" w:space="0" w:color="000000"/>
              <w:left w:val="single" w:sz="4" w:space="0" w:color="000000"/>
              <w:bottom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color w:val="FFFFFF"/>
              </w:rPr>
            </w:pPr>
            <w:r>
              <w:rPr>
                <w:b/>
                <w:bCs/>
                <w:color w:val="FFFFFF"/>
              </w:rPr>
              <w:t xml:space="preserve">Selection criteria </w:t>
            </w:r>
          </w:p>
          <w:p>
            <w:pPr>
              <w:pStyle w:val="Normal"/>
              <w:jc w:val="center"/>
              <w:rPr>
                <w:b/>
                <w:b/>
                <w:bCs/>
                <w:color w:val="FFFFFF"/>
              </w:rPr>
            </w:pPr>
            <w:r>
              <w:rPr>
                <w:b/>
                <w:bCs/>
                <w:color w:val="FFFFFF"/>
              </w:rPr>
              <w:t>(Desirable)</w:t>
            </w:r>
          </w:p>
          <w:p>
            <w:pPr>
              <w:pStyle w:val="Normal"/>
              <w:jc w:val="center"/>
              <w:rPr>
                <w:b/>
                <w:b/>
                <w:bCs/>
                <w:color w:val="FFFFFF"/>
              </w:rPr>
            </w:pPr>
            <w:r>
              <w:rPr>
                <w:b/>
                <w:bCs/>
                <w:color w:val="FFFFFF"/>
              </w:rPr>
            </w:r>
          </w:p>
        </w:tc>
        <w:tc>
          <w:tcPr>
            <w:tcW w:w="1792"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color w:val="FFFFFF"/>
              </w:rPr>
            </w:pPr>
            <w:r>
              <w:rPr>
                <w:b/>
                <w:bCs/>
                <w:color w:val="FFFFFF"/>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TextBody"/>
              <w:rPr>
                <w:bCs/>
                <w:color w:val="FFFFFF"/>
                <w:szCs w:val="22"/>
              </w:rPr>
            </w:pPr>
            <w:r>
              <w:rPr>
                <w:bCs/>
                <w:color w:val="FFFFFF"/>
                <w:szCs w:val="22"/>
              </w:rPr>
              <w:t>Education &amp; Qualifications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rPr>
            </w:pPr>
            <w:r>
              <w:rPr>
                <w:rFonts w:cs="Arial"/>
                <w:sz w:val="22"/>
              </w:rPr>
              <w:t>A Social Work degree or an equivalent recognised Social Work Qualification, e.g. DipSW</w:t>
            </w:r>
          </w:p>
          <w:p>
            <w:pPr>
              <w:pStyle w:val="Normal"/>
              <w:rPr>
                <w:rFonts w:cs="Arial"/>
                <w:sz w:val="22"/>
              </w:rPr>
            </w:pPr>
            <w:r>
              <w:rPr>
                <w:rFonts w:cs="Arial"/>
                <w:sz w:val="22"/>
              </w:rPr>
            </w:r>
          </w:p>
          <w:p>
            <w:pPr>
              <w:pStyle w:val="Normal"/>
              <w:rPr>
                <w:rFonts w:cs="Arial"/>
                <w:sz w:val="22"/>
              </w:rPr>
            </w:pPr>
            <w:r>
              <w:rPr>
                <w:rFonts w:cs="Arial"/>
                <w:sz w:val="22"/>
              </w:rPr>
              <w:t>Registration with Social Work England.</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szCs w:val="22"/>
              </w:rPr>
            </w:pPr>
            <w:r>
              <w:rPr>
                <w:rFonts w:cs="Arial"/>
                <w:sz w:val="22"/>
                <w:szCs w:val="22"/>
              </w:rPr>
              <w:t>Post Qualifying Award, including ASYE completion and pass, and evidence of continued professional.</w:t>
            </w:r>
          </w:p>
        </w:tc>
        <w:tc>
          <w:tcPr>
            <w:tcW w:w="2898" w:type="dxa"/>
            <w:tcBorders>
              <w:top w:val="single" w:sz="4" w:space="0" w:color="000000"/>
              <w:left w:val="single" w:sz="4" w:space="0" w:color="000000"/>
              <w:bottom w:val="single" w:sz="4" w:space="0" w:color="000000"/>
            </w:tcBorders>
            <w:shd w:fill="auto" w:val="clear"/>
          </w:tcPr>
          <w:p>
            <w:pPr>
              <w:pStyle w:val="Normal"/>
              <w:snapToGrid w:val="false"/>
              <w:rPr>
                <w:rFonts w:cs="Arial"/>
                <w:sz w:val="22"/>
              </w:rPr>
            </w:pPr>
            <w:r>
              <w:rPr>
                <w:rFonts w:cs="Arial"/>
                <w:sz w:val="22"/>
              </w:rPr>
            </w:r>
          </w:p>
          <w:p>
            <w:pPr>
              <w:pStyle w:val="Normal"/>
              <w:rPr>
                <w:rFonts w:cs="Arial"/>
                <w:sz w:val="22"/>
              </w:rPr>
            </w:pPr>
            <w:r>
              <w:rPr>
                <w:rFonts w:cs="Arial"/>
                <w:sz w:val="22"/>
              </w:rPr>
              <w:t>Practice Educator Award</w:t>
            </w:r>
          </w:p>
          <w:p>
            <w:pPr>
              <w:pStyle w:val="Normal"/>
              <w:rPr>
                <w:rFonts w:cs="Arial"/>
                <w:sz w:val="22"/>
              </w:rPr>
            </w:pPr>
            <w:r>
              <w:rPr>
                <w:rFonts w:cs="Arial"/>
                <w:sz w:val="22"/>
              </w:rPr>
            </w:r>
          </w:p>
          <w:p>
            <w:pPr>
              <w:pStyle w:val="Normal"/>
              <w:rPr>
                <w:rFonts w:cs="Arial"/>
                <w:sz w:val="22"/>
                <w:szCs w:val="22"/>
              </w:rPr>
            </w:pPr>
            <w:r>
              <w:rPr>
                <w:rFonts w:cs="Arial"/>
                <w:sz w:val="22"/>
                <w:szCs w:val="22"/>
              </w:rPr>
              <w:t>Specialist assessment qualifications e.g. Age assessments, AIMS assessments, Parent Assess.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rPr>
            </w:pPr>
            <w:r>
              <w:rPr>
                <w:rFonts w:cs="Arial"/>
                <w:sz w:val="22"/>
              </w:rPr>
            </w:r>
          </w:p>
          <w:p>
            <w:pPr>
              <w:pStyle w:val="Header"/>
              <w:tabs>
                <w:tab w:val="clear" w:pos="4153"/>
                <w:tab w:val="clear" w:pos="8306"/>
              </w:tabs>
              <w:rPr>
                <w:rFonts w:cs="Arial"/>
                <w:sz w:val="22"/>
                <w:szCs w:val="22"/>
              </w:rPr>
            </w:pPr>
            <w:r>
              <w:rPr>
                <w:rFonts w:cs="Arial"/>
                <w:sz w:val="22"/>
                <w:szCs w:val="22"/>
              </w:rPr>
            </w:r>
          </w:p>
        </w:tc>
        <w:tc>
          <w:tcPr>
            <w:tcW w:w="179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rPr>
            </w:pPr>
            <w:r>
              <w:rPr>
                <w:rFonts w:cs="Arial"/>
                <w:sz w:val="22"/>
              </w:rPr>
              <w:t>Certificates</w:t>
            </w:r>
          </w:p>
          <w:p>
            <w:pPr>
              <w:pStyle w:val="Normal"/>
              <w:rPr>
                <w:rFonts w:cs="Arial"/>
                <w:sz w:val="22"/>
              </w:rPr>
            </w:pPr>
            <w:r>
              <w:rPr>
                <w:rFonts w:cs="Arial"/>
                <w:sz w:val="22"/>
              </w:rPr>
              <w:t>(produce at Interview)</w:t>
            </w:r>
          </w:p>
          <w:p>
            <w:pPr>
              <w:pStyle w:val="Normal"/>
              <w:rPr>
                <w:rFonts w:cs="Arial"/>
                <w:sz w:val="22"/>
              </w:rPr>
            </w:pPr>
            <w:r>
              <w:rPr>
                <w:rFonts w:cs="Arial"/>
                <w:sz w:val="22"/>
              </w:rPr>
            </w:r>
          </w:p>
          <w:p>
            <w:pPr>
              <w:pStyle w:val="Normal"/>
              <w:rPr>
                <w:rFonts w:cs="Arial"/>
                <w:sz w:val="22"/>
              </w:rPr>
            </w:pPr>
            <w:r>
              <w:rPr>
                <w:rFonts w:cs="Arial"/>
                <w:sz w:val="22"/>
              </w:rPr>
            </w:r>
          </w:p>
          <w:p>
            <w:pPr>
              <w:pStyle w:val="Header"/>
              <w:tabs>
                <w:tab w:val="clear" w:pos="4153"/>
                <w:tab w:val="clear" w:pos="8306"/>
              </w:tabs>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Normal"/>
              <w:rPr>
                <w:b/>
                <w:b/>
                <w:bCs/>
                <w:color w:val="FFFFFF"/>
                <w:sz w:val="22"/>
                <w:szCs w:val="22"/>
              </w:rPr>
            </w:pPr>
            <w:r>
              <w:rPr>
                <w:b/>
                <w:bCs/>
                <w:color w:val="FFFFFF"/>
                <w:sz w:val="22"/>
                <w:szCs w:val="22"/>
              </w:rPr>
              <w:t>Experience</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rPr>
            </w:pPr>
            <w:r>
              <w:rPr>
                <w:rFonts w:cs="Arial"/>
                <w:sz w:val="22"/>
              </w:rPr>
              <w:t>Experience of undertaking factual, research informed and balanced assessments with children, young people, and their families/carers, where their situation may be complex and high risk. Including consideration to historical involvement and children’s journeys.</w:t>
            </w:r>
          </w:p>
          <w:p>
            <w:pPr>
              <w:pStyle w:val="Normal"/>
              <w:rPr>
                <w:rFonts w:cs="Arial"/>
                <w:sz w:val="22"/>
              </w:rPr>
            </w:pPr>
            <w:r>
              <w:rPr>
                <w:rFonts w:cs="Arial"/>
                <w:sz w:val="22"/>
              </w:rPr>
            </w:r>
          </w:p>
          <w:p>
            <w:pPr>
              <w:pStyle w:val="Normal"/>
              <w:rPr>
                <w:rFonts w:cs="Arial"/>
                <w:sz w:val="22"/>
              </w:rPr>
            </w:pPr>
            <w:r>
              <w:rPr>
                <w:rFonts w:cs="Arial"/>
                <w:sz w:val="22"/>
              </w:rPr>
              <w:t>Experience of managing a complex caseload, under management supervision.</w:t>
            </w:r>
          </w:p>
          <w:p>
            <w:pPr>
              <w:pStyle w:val="Normal"/>
              <w:rPr>
                <w:rFonts w:cs="Arial"/>
                <w:sz w:val="22"/>
              </w:rPr>
            </w:pPr>
            <w:r>
              <w:rPr>
                <w:rFonts w:cs="Arial"/>
                <w:sz w:val="22"/>
              </w:rPr>
            </w:r>
          </w:p>
          <w:p>
            <w:pPr>
              <w:pStyle w:val="Normal"/>
              <w:rPr>
                <w:rFonts w:cs="Arial"/>
                <w:sz w:val="22"/>
              </w:rPr>
            </w:pPr>
            <w:r>
              <w:rPr>
                <w:rFonts w:cs="Arial"/>
                <w:sz w:val="22"/>
              </w:rPr>
              <w:t>Experience of co-producing, implementing, and evaluating plans for children and young people</w:t>
            </w:r>
          </w:p>
          <w:p>
            <w:pPr>
              <w:pStyle w:val="Normal"/>
              <w:rPr>
                <w:rFonts w:cs="Arial"/>
                <w:sz w:val="22"/>
              </w:rPr>
            </w:pPr>
            <w:r>
              <w:rPr>
                <w:rFonts w:cs="Arial"/>
                <w:sz w:val="22"/>
              </w:rPr>
            </w:r>
          </w:p>
          <w:p>
            <w:pPr>
              <w:pStyle w:val="Normal"/>
              <w:rPr>
                <w:rFonts w:cs="Arial"/>
                <w:sz w:val="22"/>
              </w:rPr>
            </w:pPr>
            <w:r>
              <w:rPr>
                <w:rFonts w:cs="Arial"/>
                <w:sz w:val="22"/>
              </w:rPr>
              <w:t>Experience of prioritising workload and maintaining accurate and sensitive case records.</w:t>
            </w:r>
          </w:p>
          <w:p>
            <w:pPr>
              <w:pStyle w:val="Normal"/>
              <w:rPr>
                <w:rFonts w:cs="Arial"/>
                <w:sz w:val="22"/>
              </w:rPr>
            </w:pPr>
            <w:r>
              <w:rPr>
                <w:rFonts w:cs="Arial"/>
                <w:sz w:val="22"/>
              </w:rPr>
            </w:r>
          </w:p>
          <w:p>
            <w:pPr>
              <w:pStyle w:val="Normal"/>
              <w:rPr>
                <w:rFonts w:cs="Arial"/>
                <w:sz w:val="22"/>
              </w:rPr>
            </w:pPr>
            <w:r>
              <w:rPr>
                <w:rFonts w:cs="Arial"/>
                <w:sz w:val="22"/>
              </w:rPr>
              <w:t>Experience of working with partner agencies to deliver planned interventions and share information to safeguard children and young people effectively.</w:t>
            </w:r>
          </w:p>
        </w:tc>
        <w:tc>
          <w:tcPr>
            <w:tcW w:w="2898" w:type="dxa"/>
            <w:tcBorders>
              <w:top w:val="single" w:sz="4" w:space="0" w:color="000000"/>
              <w:left w:val="single" w:sz="4" w:space="0" w:color="000000"/>
              <w:bottom w:val="single" w:sz="4" w:space="0" w:color="000000"/>
            </w:tcBorders>
            <w:shd w:fill="auto" w:val="clear"/>
          </w:tcPr>
          <w:p>
            <w:pPr>
              <w:pStyle w:val="Normal"/>
              <w:snapToGrid w:val="false"/>
              <w:rPr>
                <w:rFonts w:cs="Arial"/>
                <w:sz w:val="22"/>
              </w:rPr>
            </w:pPr>
            <w:r>
              <w:rPr>
                <w:rFonts w:cs="Arial"/>
                <w:sz w:val="22"/>
              </w:rPr>
            </w:r>
          </w:p>
          <w:p>
            <w:pPr>
              <w:pStyle w:val="Normal"/>
              <w:rPr>
                <w:rFonts w:cs="Arial"/>
                <w:sz w:val="22"/>
              </w:rPr>
            </w:pPr>
            <w:r>
              <w:rPr>
                <w:rFonts w:cs="Arial"/>
                <w:sz w:val="22"/>
              </w:rPr>
              <w:t>Experience of collating and analysing information and writing reports appropriate to formal settings, e.g. Child and Family Court and internal panels.</w:t>
            </w:r>
          </w:p>
          <w:p>
            <w:pPr>
              <w:pStyle w:val="Normal"/>
              <w:rPr>
                <w:rFonts w:cs="Arial"/>
                <w:sz w:val="22"/>
              </w:rPr>
            </w:pPr>
            <w:r>
              <w:rPr>
                <w:rFonts w:cs="Arial"/>
                <w:sz w:val="22"/>
              </w:rPr>
            </w:r>
          </w:p>
          <w:p>
            <w:pPr>
              <w:pStyle w:val="Normal"/>
              <w:rPr>
                <w:rFonts w:cs="Arial"/>
                <w:sz w:val="22"/>
              </w:rPr>
            </w:pPr>
            <w:r>
              <w:rPr>
                <w:rFonts w:cs="Arial"/>
                <w:sz w:val="22"/>
              </w:rPr>
              <w:t>Experience of writing specialist assessments and presenting these as evidence.</w:t>
            </w:r>
          </w:p>
          <w:p>
            <w:pPr>
              <w:pStyle w:val="Normal"/>
              <w:rPr>
                <w:rFonts w:cs="Arial"/>
                <w:sz w:val="22"/>
              </w:rPr>
            </w:pPr>
            <w:r>
              <w:rPr>
                <w:rFonts w:cs="Arial"/>
                <w:sz w:val="22"/>
              </w:rPr>
            </w:r>
          </w:p>
          <w:p>
            <w:pPr>
              <w:pStyle w:val="Normal"/>
              <w:rPr>
                <w:rFonts w:cs="Arial"/>
                <w:sz w:val="22"/>
              </w:rPr>
            </w:pPr>
            <w:r>
              <w:rPr>
                <w:rFonts w:cs="Arial"/>
                <w:sz w:val="22"/>
              </w:rPr>
              <w:t>Experience of systemic practice.</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szCs w:val="22"/>
              </w:rPr>
            </w:pPr>
            <w:r>
              <w:rPr>
                <w:rFonts w:cs="Arial"/>
                <w:sz w:val="22"/>
                <w:szCs w:val="22"/>
              </w:rPr>
            </w:r>
          </w:p>
        </w:tc>
        <w:tc>
          <w:tcPr>
            <w:tcW w:w="1792" w:type="dxa"/>
            <w:tcBorders>
              <w:top w:val="single" w:sz="4" w:space="0" w:color="000000"/>
              <w:left w:val="single" w:sz="4" w:space="0" w:color="000000"/>
              <w:bottom w:val="single" w:sz="4" w:space="0" w:color="000000"/>
              <w:right w:val="single" w:sz="4" w:space="0" w:color="000000"/>
            </w:tcBorders>
            <w:shd w:fill="auto" w:val="clear"/>
          </w:tcPr>
          <w:p>
            <w:pPr>
              <w:pStyle w:val="Endnote"/>
              <w:snapToGrid w:val="false"/>
              <w:rPr>
                <w:rFonts w:ascii="Arial" w:hAnsi="Arial" w:cs="Arial"/>
                <w:sz w:val="22"/>
                <w:szCs w:val="22"/>
              </w:rPr>
            </w:pPr>
            <w:r>
              <w:rPr>
                <w:rFonts w:cs="Arial" w:ascii="Arial" w:hAnsi="Arial"/>
                <w:sz w:val="22"/>
                <w:szCs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Normal"/>
              <w:rPr>
                <w:rFonts w:ascii="Arial" w:hAnsi="Arial" w:cs="Arial"/>
                <w:sz w:val="22"/>
              </w:rPr>
            </w:pPr>
            <w:r>
              <w:rPr>
                <w:rFonts w:cs="Arial"/>
                <w:sz w:val="22"/>
              </w:rPr>
            </w:r>
          </w:p>
          <w:p>
            <w:pPr>
              <w:pStyle w:val="Normal"/>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Normal"/>
              <w:rPr>
                <w:b/>
                <w:b/>
                <w:bCs/>
                <w:color w:val="FFFFFF"/>
                <w:sz w:val="22"/>
                <w:szCs w:val="22"/>
              </w:rPr>
            </w:pPr>
            <w:r>
              <w:rPr>
                <w:b/>
                <w:bCs/>
                <w:color w:val="FFFFFF"/>
                <w:sz w:val="22"/>
                <w:szCs w:val="22"/>
              </w:rPr>
              <w:t>Skills &amp; Abilities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rPr>
            </w:pPr>
            <w:r>
              <w:rPr>
                <w:rFonts w:cs="Arial"/>
                <w:sz w:val="22"/>
              </w:rPr>
              <w:t>Ability to present evidence and briefings to formal settings, including Court and internal panels.</w:t>
            </w:r>
          </w:p>
          <w:p>
            <w:pPr>
              <w:pStyle w:val="Normal"/>
              <w:rPr>
                <w:rFonts w:cs="Arial"/>
                <w:sz w:val="22"/>
              </w:rPr>
            </w:pPr>
            <w:r>
              <w:rPr>
                <w:rFonts w:cs="Arial"/>
                <w:sz w:val="22"/>
              </w:rPr>
            </w:r>
          </w:p>
          <w:p>
            <w:pPr>
              <w:pStyle w:val="Normal"/>
              <w:rPr>
                <w:rFonts w:cs="Arial"/>
                <w:sz w:val="22"/>
              </w:rPr>
            </w:pPr>
            <w:r>
              <w:rPr>
                <w:rFonts w:cs="Arial"/>
                <w:sz w:val="22"/>
              </w:rPr>
              <w:t xml:space="preserve">Ability to negotiate with both internal and external services to source services for children, young people and their families and carers. Including presentation of evidence. </w:t>
            </w:r>
          </w:p>
          <w:p>
            <w:pPr>
              <w:pStyle w:val="Normal"/>
              <w:rPr>
                <w:rFonts w:cs="Arial"/>
                <w:sz w:val="22"/>
              </w:rPr>
            </w:pPr>
            <w:r>
              <w:rPr>
                <w:rFonts w:cs="Arial"/>
                <w:sz w:val="22"/>
              </w:rPr>
            </w:r>
          </w:p>
          <w:p>
            <w:pPr>
              <w:pStyle w:val="Normal"/>
              <w:rPr>
                <w:rFonts w:cs="Arial"/>
                <w:sz w:val="22"/>
              </w:rPr>
            </w:pPr>
            <w:r>
              <w:rPr>
                <w:rFonts w:cs="Arial"/>
                <w:sz w:val="22"/>
              </w:rPr>
              <w:t xml:space="preserve">Ability to develop effective relationships and evidence direct work which is effective as part of an intervention with a child, young person and their family or carers. </w:t>
            </w:r>
          </w:p>
          <w:p>
            <w:pPr>
              <w:pStyle w:val="Normal"/>
              <w:rPr>
                <w:rFonts w:cs="Arial"/>
                <w:sz w:val="22"/>
              </w:rPr>
            </w:pPr>
            <w:r>
              <w:rPr>
                <w:rFonts w:cs="Arial"/>
                <w:sz w:val="22"/>
              </w:rPr>
            </w:r>
          </w:p>
          <w:p>
            <w:pPr>
              <w:pStyle w:val="Normal"/>
              <w:rPr>
                <w:rFonts w:cs="Arial"/>
                <w:sz w:val="22"/>
              </w:rPr>
            </w:pPr>
            <w:r>
              <w:rPr>
                <w:rFonts w:cs="Arial"/>
                <w:sz w:val="22"/>
              </w:rPr>
              <w:t>Ability to analyse, to make decisions, plan and review effectively to achieve the correct outcomes for children and young people.</w:t>
            </w:r>
          </w:p>
          <w:p>
            <w:pPr>
              <w:pStyle w:val="Normal"/>
              <w:rPr>
                <w:rFonts w:cs="Arial"/>
                <w:sz w:val="22"/>
              </w:rPr>
            </w:pPr>
            <w:r>
              <w:rPr>
                <w:rFonts w:cs="Arial"/>
                <w:sz w:val="22"/>
              </w:rPr>
            </w:r>
          </w:p>
          <w:p>
            <w:pPr>
              <w:pStyle w:val="Normal"/>
              <w:rPr>
                <w:rFonts w:cs="Arial"/>
                <w:sz w:val="22"/>
              </w:rPr>
            </w:pPr>
            <w:r>
              <w:rPr>
                <w:rFonts w:cs="Arial"/>
                <w:sz w:val="22"/>
              </w:rPr>
              <w:t>Strong communication and interpersonal skills to develop trusted relationships and deal with conflict confidently, but sensitively. With both children and their families and our partner agencies.</w:t>
            </w:r>
          </w:p>
          <w:p>
            <w:pPr>
              <w:pStyle w:val="Normal"/>
              <w:rPr>
                <w:rFonts w:cs="Arial"/>
                <w:sz w:val="22"/>
              </w:rPr>
            </w:pPr>
            <w:r>
              <w:rPr>
                <w:rFonts w:cs="Arial"/>
                <w:sz w:val="22"/>
              </w:rPr>
            </w:r>
          </w:p>
          <w:p>
            <w:pPr>
              <w:pStyle w:val="Normal"/>
              <w:rPr>
                <w:rFonts w:cs="Arial"/>
                <w:sz w:val="22"/>
              </w:rPr>
            </w:pPr>
            <w:r>
              <w:rPr>
                <w:rFonts w:cs="Arial"/>
                <w:sz w:val="22"/>
              </w:rPr>
              <w:t>I.T. Skills to use Microsoft Office and the Council’s electronic records management systems.</w:t>
            </w:r>
          </w:p>
          <w:p>
            <w:pPr>
              <w:pStyle w:val="Normal"/>
              <w:rPr>
                <w:sz w:val="22"/>
                <w:szCs w:val="22"/>
              </w:rPr>
            </w:pPr>
            <w:r>
              <w:rPr>
                <w:sz w:val="22"/>
                <w:szCs w:val="22"/>
              </w:rPr>
            </w:r>
          </w:p>
        </w:tc>
        <w:tc>
          <w:tcPr>
            <w:tcW w:w="2898"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rPr>
            </w:pPr>
            <w:r>
              <w:rPr>
                <w:rFonts w:cs="Arial"/>
                <w:sz w:val="22"/>
              </w:rPr>
            </w:r>
          </w:p>
          <w:p>
            <w:pPr>
              <w:pStyle w:val="Normal"/>
              <w:rPr>
                <w:rFonts w:cs="Arial"/>
                <w:sz w:val="22"/>
                <w:szCs w:val="22"/>
              </w:rPr>
            </w:pPr>
            <w:r>
              <w:rPr>
                <w:rFonts w:cs="Arial"/>
                <w:sz w:val="22"/>
                <w:szCs w:val="22"/>
              </w:rPr>
            </w:r>
          </w:p>
        </w:tc>
        <w:tc>
          <w:tcPr>
            <w:tcW w:w="179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Normal"/>
              <w:rPr>
                <w:b/>
                <w:b/>
                <w:bCs/>
                <w:color w:val="FFFFFF"/>
                <w:sz w:val="22"/>
                <w:szCs w:val="22"/>
              </w:rPr>
            </w:pPr>
            <w:r>
              <w:rPr>
                <w:b/>
                <w:bCs/>
                <w:color w:val="FFFFFF"/>
                <w:sz w:val="22"/>
                <w:szCs w:val="22"/>
              </w:rPr>
              <w:t>Knowledge</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lang w:val="en-US"/>
              </w:rPr>
            </w:pPr>
            <w:r>
              <w:rPr>
                <w:rFonts w:cs="Arial"/>
                <w:b/>
                <w:bCs/>
                <w:color w:val="FFFFFF"/>
                <w:sz w:val="22"/>
                <w:szCs w:val="22"/>
                <w:lang w:val="en-US"/>
              </w:rPr>
            </w:r>
          </w:p>
          <w:p>
            <w:pPr>
              <w:pStyle w:val="Normal"/>
              <w:rPr>
                <w:rFonts w:cs="Arial"/>
                <w:sz w:val="22"/>
              </w:rPr>
            </w:pPr>
            <w:r>
              <w:rPr>
                <w:rFonts w:cs="Arial"/>
                <w:sz w:val="22"/>
              </w:rPr>
              <w:t>Detailed knowledge of the relevant legislation, safeguarding procedures, fostering regulations, codes of practice, national guidelines and Government initiatives connected with service delivery in the relevant field of social work.</w:t>
            </w:r>
          </w:p>
          <w:p>
            <w:pPr>
              <w:pStyle w:val="Normal"/>
              <w:rPr>
                <w:rFonts w:cs="Arial"/>
                <w:sz w:val="22"/>
              </w:rPr>
            </w:pPr>
            <w:r>
              <w:rPr>
                <w:rFonts w:cs="Arial"/>
                <w:sz w:val="22"/>
              </w:rPr>
            </w:r>
          </w:p>
          <w:p>
            <w:pPr>
              <w:pStyle w:val="Normal"/>
              <w:rPr>
                <w:rFonts w:cs="Arial"/>
                <w:sz w:val="22"/>
              </w:rPr>
            </w:pPr>
            <w:r>
              <w:rPr>
                <w:rFonts w:cs="Arial"/>
                <w:sz w:val="22"/>
              </w:rPr>
              <w:t>Ensure social work knowledge is kept updated though continuing professional development and contribute to the promotion of best social work practice.</w:t>
            </w:r>
          </w:p>
          <w:p>
            <w:pPr>
              <w:pStyle w:val="Normal"/>
              <w:rPr>
                <w:rFonts w:cs="Arial"/>
                <w:sz w:val="22"/>
              </w:rPr>
            </w:pPr>
            <w:r>
              <w:rPr>
                <w:rFonts w:cs="Arial"/>
                <w:sz w:val="22"/>
              </w:rPr>
            </w:r>
          </w:p>
          <w:p>
            <w:pPr>
              <w:pStyle w:val="Normal"/>
              <w:rPr>
                <w:rFonts w:cs="Arial"/>
                <w:sz w:val="22"/>
              </w:rPr>
            </w:pPr>
            <w:r>
              <w:rPr>
                <w:rFonts w:cs="Arial"/>
                <w:sz w:val="22"/>
              </w:rPr>
              <w:t>Knowledge and understanding of equalities and diversity issues in connection with delivering social work. Including power, privilege and oppression.</w:t>
            </w:r>
          </w:p>
          <w:p>
            <w:pPr>
              <w:pStyle w:val="Normal"/>
              <w:rPr>
                <w:rFonts w:cs="Arial"/>
                <w:sz w:val="22"/>
              </w:rPr>
            </w:pPr>
            <w:r>
              <w:rPr>
                <w:rFonts w:cs="Arial"/>
                <w:sz w:val="22"/>
              </w:rPr>
            </w:r>
          </w:p>
          <w:p>
            <w:pPr>
              <w:pStyle w:val="Normal"/>
              <w:rPr>
                <w:rFonts w:cs="Arial"/>
                <w:sz w:val="22"/>
              </w:rPr>
            </w:pPr>
            <w:r>
              <w:rPr>
                <w:rFonts w:cs="Arial"/>
                <w:sz w:val="22"/>
              </w:rPr>
              <w:t>In-depth knowledge of theories, research and topics which may relate to and affect children, young people and families you will be working with, e.g neglect, domestic violence, sexual abuse.</w:t>
            </w:r>
          </w:p>
          <w:p>
            <w:pPr>
              <w:pStyle w:val="Normal"/>
              <w:rPr>
                <w:sz w:val="22"/>
                <w:szCs w:val="22"/>
                <w:lang w:val="en-US"/>
              </w:rPr>
            </w:pPr>
            <w:r>
              <w:rPr>
                <w:sz w:val="22"/>
                <w:szCs w:val="22"/>
                <w:lang w:val="en-US"/>
              </w:rPr>
            </w:r>
          </w:p>
        </w:tc>
        <w:tc>
          <w:tcPr>
            <w:tcW w:w="2898" w:type="dxa"/>
            <w:tcBorders>
              <w:top w:val="single" w:sz="4" w:space="0" w:color="000000"/>
              <w:left w:val="single" w:sz="4" w:space="0" w:color="000000"/>
              <w:bottom w:val="single" w:sz="4" w:space="0" w:color="000000"/>
            </w:tcBorders>
            <w:shd w:fill="auto" w:val="clear"/>
          </w:tcPr>
          <w:p>
            <w:pPr>
              <w:pStyle w:val="Normal"/>
              <w:snapToGrid w:val="false"/>
              <w:rPr>
                <w:sz w:val="22"/>
                <w:szCs w:val="22"/>
                <w:lang w:val="en-US"/>
              </w:rPr>
            </w:pPr>
            <w:r>
              <w:rPr>
                <w:sz w:val="22"/>
                <w:szCs w:val="22"/>
                <w:lang w:val="en-US"/>
              </w:rPr>
            </w:r>
          </w:p>
          <w:p>
            <w:pPr>
              <w:pStyle w:val="Normal"/>
              <w:rPr>
                <w:sz w:val="22"/>
                <w:szCs w:val="22"/>
              </w:rPr>
            </w:pPr>
            <w:r>
              <w:rPr>
                <w:sz w:val="22"/>
                <w:szCs w:val="22"/>
              </w:rPr>
              <w:t>Knowledge of early permanency, UASC, sexually harmful behaviour and specialist assessments.</w:t>
            </w:r>
          </w:p>
          <w:p>
            <w:pPr>
              <w:pStyle w:val="Normal"/>
              <w:rPr>
                <w:sz w:val="22"/>
                <w:szCs w:val="22"/>
              </w:rPr>
            </w:pPr>
            <w:r>
              <w:rPr>
                <w:sz w:val="22"/>
                <w:szCs w:val="22"/>
              </w:rPr>
            </w:r>
          </w:p>
          <w:p>
            <w:pPr>
              <w:pStyle w:val="Normal"/>
              <w:rPr>
                <w:rFonts w:cs="Arial"/>
                <w:sz w:val="22"/>
              </w:rPr>
            </w:pPr>
            <w:r>
              <w:rPr>
                <w:rFonts w:cs="Arial"/>
                <w:sz w:val="22"/>
              </w:rPr>
              <w:t>Knowledge and understanding of Systemic Practice.</w:t>
            </w:r>
          </w:p>
        </w:tc>
        <w:tc>
          <w:tcPr>
            <w:tcW w:w="179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tc>
      </w:tr>
      <w:tr>
        <w:trPr>
          <w:trHeight w:val="2538" w:hRule="atLeast"/>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TextBody"/>
              <w:rPr>
                <w:bCs/>
                <w:color w:val="FFFFFF"/>
                <w:szCs w:val="22"/>
              </w:rPr>
            </w:pPr>
            <w:r>
              <w:rPr>
                <w:bCs/>
                <w:color w:val="FFFFFF"/>
                <w:szCs w:val="22"/>
              </w:rPr>
              <w:t>Work Circumstances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rPr>
            </w:pPr>
            <w:r>
              <w:rPr>
                <w:rFonts w:cs="Arial"/>
                <w:sz w:val="22"/>
              </w:rPr>
              <w:t>Willingness and preparation to participate in supervision, appraisal, learning and training activities including undertaking additional qualifications.</w:t>
            </w:r>
          </w:p>
          <w:p>
            <w:pPr>
              <w:pStyle w:val="Normal"/>
              <w:rPr>
                <w:rFonts w:cs="Arial"/>
                <w:sz w:val="22"/>
              </w:rPr>
            </w:pPr>
            <w:r>
              <w:rPr>
                <w:rFonts w:cs="Arial"/>
                <w:sz w:val="22"/>
              </w:rPr>
            </w:r>
          </w:p>
          <w:p>
            <w:pPr>
              <w:pStyle w:val="Normal"/>
              <w:rPr>
                <w:rFonts w:cs="Arial"/>
                <w:sz w:val="22"/>
              </w:rPr>
            </w:pPr>
            <w:r>
              <w:rPr>
                <w:rFonts w:cs="Arial"/>
                <w:sz w:val="22"/>
              </w:rPr>
              <w:t>Able to understand and navigate the organisational and partnership context.</w:t>
            </w:r>
          </w:p>
          <w:p>
            <w:pPr>
              <w:pStyle w:val="Normal"/>
              <w:rPr>
                <w:rFonts w:cs="Arial"/>
                <w:sz w:val="22"/>
              </w:rPr>
            </w:pPr>
            <w:r>
              <w:rPr>
                <w:rFonts w:cs="Arial"/>
                <w:sz w:val="22"/>
              </w:rPr>
            </w:r>
          </w:p>
          <w:p>
            <w:pPr>
              <w:pStyle w:val="Normal"/>
              <w:rPr>
                <w:rFonts w:cs="Arial"/>
                <w:sz w:val="22"/>
              </w:rPr>
            </w:pPr>
            <w:r>
              <w:rPr>
                <w:rFonts w:cs="Arial"/>
                <w:sz w:val="22"/>
              </w:rPr>
              <w:t>Driving Licence or ability to travel independently across the Borough of Oldham</w:t>
            </w:r>
          </w:p>
          <w:p>
            <w:pPr>
              <w:pStyle w:val="Normal"/>
              <w:rPr>
                <w:rFonts w:cs="Arial"/>
                <w:sz w:val="22"/>
              </w:rPr>
            </w:pPr>
            <w:r>
              <w:rPr>
                <w:rFonts w:cs="Arial"/>
                <w:sz w:val="22"/>
              </w:rPr>
            </w:r>
          </w:p>
          <w:p>
            <w:pPr>
              <w:pStyle w:val="Normal"/>
              <w:rPr>
                <w:rFonts w:cs="Arial"/>
                <w:sz w:val="22"/>
              </w:rPr>
            </w:pPr>
            <w:r>
              <w:rPr>
                <w:rFonts w:cs="Arial"/>
                <w:sz w:val="22"/>
              </w:rPr>
              <w:t>Ability to work unsocial hours.</w:t>
            </w:r>
          </w:p>
          <w:p>
            <w:pPr>
              <w:pStyle w:val="Normal"/>
              <w:rPr>
                <w:sz w:val="22"/>
                <w:szCs w:val="22"/>
              </w:rPr>
            </w:pPr>
            <w:r>
              <w:rPr>
                <w:sz w:val="22"/>
                <w:szCs w:val="22"/>
              </w:rPr>
            </w:r>
          </w:p>
        </w:tc>
        <w:tc>
          <w:tcPr>
            <w:tcW w:w="2898"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sz w:val="22"/>
                <w:szCs w:val="22"/>
              </w:rPr>
            </w:pPr>
            <w:r>
              <w:rPr>
                <w:rFonts w:cs="Gautami" w:ascii="Gautami" w:hAnsi="Gautami"/>
                <w:sz w:val="22"/>
                <w:szCs w:val="22"/>
              </w:rPr>
            </w:r>
          </w:p>
        </w:tc>
        <w:tc>
          <w:tcPr>
            <w:tcW w:w="179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Gautami" w:hAnsi="Gautami" w:cs="Arial"/>
                <w:sz w:val="22"/>
                <w:szCs w:val="22"/>
              </w:rPr>
            </w:pPr>
            <w:r>
              <w:rPr>
                <w:rFonts w:cs="Arial" w:ascii="Gautami" w:hAnsi="Gautami"/>
                <w:sz w:val="22"/>
                <w:szCs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t>To provide evidence at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tc>
      </w:tr>
    </w:tbl>
    <w:p>
      <w:pPr>
        <w:pStyle w:val="Normal"/>
        <w:rPr/>
      </w:pPr>
      <w:r>
        <w:rPr/>
      </w:r>
    </w:p>
    <w:p>
      <w:pPr>
        <w:pStyle w:val="Normal"/>
        <w:rPr>
          <w:sz w:val="22"/>
          <w:szCs w:val="22"/>
        </w:rPr>
      </w:pPr>
      <w:r>
        <w:rPr>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those who have previously been in or currently in care, those that are carers, and those who have served in the Armed Forces as a regular, reserve or cadet.</w:t>
      </w:r>
    </w:p>
    <w:p>
      <w:pPr>
        <w:pStyle w:val="Normal"/>
        <w:jc w:val="both"/>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 w:name="Helvetica">
    <w:altName w:val="Arial"/>
    <w:charset w:val="00"/>
    <w:family w:val="swiss"/>
    <w:pitch w:val="variable"/>
  </w:font>
  <w:font w:name="Gautam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DefaultParagraphFont">
    <w:name w:val="Default Paragraph Font"/>
    <w:qFormat/>
    <w:rPr/>
  </w:style>
  <w:style w:type="character" w:styleId="Annotationreference">
    <w:name w:val="annotation reference"/>
    <w:qFormat/>
    <w:rPr>
      <w:sz w:val="16"/>
      <w:szCs w:val="16"/>
    </w:rPr>
  </w:style>
  <w:style w:type="character" w:styleId="CommentTextChar">
    <w:name w:val="Comment Text Char"/>
    <w:qFormat/>
    <w:rPr>
      <w:rFonts w:ascii="Arial" w:hAnsi="Arial" w:cs="Arial"/>
      <w:lang w:eastAsia="en-US"/>
    </w:rPr>
  </w:style>
  <w:style w:type="character" w:styleId="CommentSubjectChar">
    <w:name w:val="Comment Subject Char"/>
    <w:qFormat/>
    <w:rPr>
      <w:rFonts w:ascii="Arial" w:hAnsi="Arial" w:cs="Arial"/>
      <w:b/>
      <w:bCs/>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2026-05-15T11:43:00Z</dcterms:created>
  <dc:creator>OMBC</dc:creator>
  <dc:description/>
  <dc:language>en-US</dc:language>
  <cp:lastModifiedBy>Ian Robinson (HR)</cp:lastModifiedBy>
  <cp:lastPrinted>1995-11-21T17:41:00Z</cp:lastPrinted>
  <dcterms:modified xsi:type="dcterms:W3CDTF">2026-05-15T11:43:00Z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