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wmf" ContentType="image/x-wmf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righ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64"/>
        <w:rPr>
          <w:rFonts w:ascii="Arial" w:hAnsi="Arial" w:eastAsia="Arial" w:cs="Arial"/>
          <w:b/>
          <w:iCs/>
          <w:sz w:val="22"/>
          <w:szCs w:val="22"/>
        </w:rPr>
      </w:pPr>
      <w:r>
        <w:rPr>
          <w:rFonts w:eastAsia="Arial" w:cs="Arial" w:ascii="Arial" w:hAnsi="Arial"/>
          <w:b/>
          <w:iCs/>
          <w:sz w:val="22"/>
          <w:szCs w:val="22"/>
        </w:rPr>
      </w:r>
    </w:p>
    <w:p>
      <w:pPr>
        <w:pStyle w:val="Normal"/>
        <w:rPr>
          <w:rFonts w:cs="Arial"/>
          <w:b/>
          <w:iCs/>
          <w:szCs w:val="22"/>
        </w:rPr>
      </w:pPr>
      <w:r>
        <w:rPr>
          <w:rFonts w:cs="Arial"/>
          <w:b/>
          <w:iCs/>
          <w:szCs w:val="22"/>
        </w:rP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5029200</wp:posOffset>
                </wp:positionH>
                <wp:positionV relativeFrom="paragraph">
                  <wp:posOffset>-114300</wp:posOffset>
                </wp:positionV>
                <wp:extent cx="1146810" cy="1187450"/>
                <wp:effectExtent l="0" t="0" r="0" b="0"/>
                <wp:wrapNone/>
                <wp:docPr id="1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6960" cy="118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fillcolor="white" stroked="f" o:allowincell="f" style="position:absolute;margin-left:396pt;margin-top:-9pt;width:90.25pt;height:93.45pt;mso-wrap-style:none;v-text-anchor:middle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72390" distB="72390" distL="0" distR="0" simplePos="0" locked="0" layoutInCell="1" allowOverlap="1" relativeHeight="4">
                <wp:simplePos x="0" y="0"/>
                <wp:positionH relativeFrom="column">
                  <wp:posOffset>5029200</wp:posOffset>
                </wp:positionH>
                <wp:positionV relativeFrom="paragraph">
                  <wp:posOffset>-114300</wp:posOffset>
                </wp:positionV>
                <wp:extent cx="1146810" cy="1187450"/>
                <wp:effectExtent l="0" t="0" r="0" b="0"/>
                <wp:wrapNone/>
                <wp:docPr id="2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810" cy="11874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965200" cy="1097915"/>
                                  <wp:effectExtent l="0" t="0" r="0" b="0"/>
                                  <wp:docPr id="3" name="Image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rcRect l="-40" t="-35" r="-40" b="-3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5200" cy="10979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90.3pt;height:93.5pt;mso-wrap-distance-left:0pt;mso-wrap-distance-right:0pt;mso-wrap-distance-top:5.7pt;mso-wrap-distance-bottom:5.7pt;margin-top:-9pt;mso-position-vertical-relative:text;margin-left:396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965200" cy="1097915"/>
                            <wp:effectExtent l="0" t="0" r="0" b="0"/>
                            <wp:docPr id="4" name="Image1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1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rcRect l="-40" t="-35" r="-40" b="-3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5200" cy="10979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Heading1"/>
        <w:ind w:hanging="0" w:left="0"/>
        <w:rPr>
          <w:rFonts w:cs="Arial"/>
          <w:szCs w:val="24"/>
        </w:rPr>
      </w:pPr>
      <w:r>
        <w:rPr>
          <w:rFonts w:cs="Arial"/>
          <w:szCs w:val="24"/>
        </w:rPr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t>JOB DESCRIPTION</w:t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tbl>
      <w:tblPr>
        <w:tblW w:w="10954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2828"/>
        <w:gridCol w:w="2181"/>
        <w:gridCol w:w="4381"/>
      </w:tblGrid>
      <w:tr>
        <w:trPr>
          <w:cantSplit w:val="true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 xml:space="preserve">Job Title: </w:t>
            </w:r>
          </w:p>
          <w:p>
            <w:pPr>
              <w:pStyle w:val="Normal"/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</w:r>
          </w:p>
        </w:tc>
        <w:tc>
          <w:tcPr>
            <w:tcW w:w="9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rPr>
                <w:rFonts w:ascii="Arial" w:hAnsi="Arial" w:cs="Arial"/>
                <w:szCs w:val="24"/>
              </w:rPr>
            </w:pPr>
            <w:r>
              <w:rPr>
                <w:rFonts w:cs="Arial" w:ascii="Arial" w:hAnsi="Arial"/>
                <w:szCs w:val="24"/>
              </w:rPr>
              <w:t>Educational Psychologist</w:t>
            </w:r>
          </w:p>
        </w:tc>
      </w:tr>
      <w:tr>
        <w:trPr>
          <w:cantSplit w:val="true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color w:val="FFFFFF"/>
              </w:rPr>
              <w:t>Directorate:</w:t>
            </w:r>
            <w:r>
              <w:rPr>
                <w:rFonts w:cs="Arial"/>
                <w:color w:val="FFFFFF"/>
              </w:rPr>
              <w:t xml:space="preserve">  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Education, Early Years and Skills</w:t>
            </w:r>
          </w:p>
        </w:tc>
        <w:tc>
          <w:tcPr>
            <w:tcW w:w="21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color w:val="FFFFFF"/>
              </w:rPr>
              <w:t>Division/Section:</w:t>
            </w:r>
            <w:r>
              <w:rPr>
                <w:rFonts w:cs="Arial"/>
                <w:color w:val="FFFFFF"/>
              </w:rPr>
              <w:t xml:space="preserve"> </w:t>
            </w:r>
          </w:p>
          <w:p>
            <w:pPr>
              <w:pStyle w:val="Normal"/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 xml:space="preserve">SEND &amp; Inclusion </w:t>
            </w:r>
          </w:p>
        </w:tc>
      </w:tr>
      <w:tr>
        <w:trPr>
          <w:cantSplit w:val="true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 xml:space="preserve">Grade:  </w:t>
            </w:r>
          </w:p>
          <w:p>
            <w:pPr>
              <w:pStyle w:val="Normal"/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Soulbury A EP scale 3-8 (incl 3 SPA)</w:t>
            </w:r>
          </w:p>
          <w:p>
            <w:pPr>
              <w:pStyle w:val="Head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</w:tc>
        <w:tc>
          <w:tcPr>
            <w:tcW w:w="21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rPr>
                <w:rFonts w:cs="Arial"/>
                <w:b/>
                <w:color w:val="FFFFFF"/>
                <w:szCs w:val="24"/>
              </w:rPr>
            </w:pPr>
            <w:r>
              <w:rPr>
                <w:rFonts w:cs="Arial"/>
                <w:b/>
                <w:color w:val="FFFFFF"/>
                <w:szCs w:val="24"/>
              </w:rPr>
              <w:t>JE Reference: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left" w:pos="1095" w:leader="none"/>
                <w:tab w:val="center" w:pos="4513" w:leader="none"/>
                <w:tab w:val="right" w:pos="9026" w:leader="none"/>
              </w:tabs>
              <w:snapToGrid w:val="fals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955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5"/>
      </w:tblGrid>
      <w:tr>
        <w:trPr/>
        <w:tc>
          <w:tcPr>
            <w:tcW w:w="10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Job Purpose:</w:t>
            </w:r>
          </w:p>
          <w:p>
            <w:pPr>
              <w:pStyle w:val="Normal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</w:r>
          </w:p>
          <w:p>
            <w:pPr>
              <w:pStyle w:val="Normal"/>
              <w:numPr>
                <w:ilvl w:val="0"/>
                <w:numId w:val="4"/>
              </w:numPr>
              <w:jc w:val="both"/>
              <w:rPr/>
            </w:pPr>
            <w:r>
              <w:rPr>
                <w:bCs/>
                <w:sz w:val="22"/>
                <w:szCs w:val="22"/>
              </w:rPr>
              <w:t>To contribute to the development of the Educational Psychology Service and wider SEND &amp; Inclusion support services in collaboration with other service team members and Principal Educational Psychologist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bCs/>
                <w:sz w:val="22"/>
                <w:szCs w:val="22"/>
              </w:rPr>
              <w:t xml:space="preserve">To promote the psychological development of children and young people in Oldham both directly and through working with others 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bCs/>
                <w:sz w:val="22"/>
                <w:szCs w:val="22"/>
              </w:rPr>
              <w:t>To effect change through the application of psychology within education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bCs/>
                <w:sz w:val="22"/>
                <w:szCs w:val="22"/>
              </w:rPr>
              <w:t xml:space="preserve">To contribute to the ongoing review and development of service delivery 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bCs/>
                <w:sz w:val="22"/>
                <w:szCs w:val="22"/>
              </w:rPr>
              <w:t>To fulfil the breadth of roles and functions of the Educational and Child Psychology Service, working at varied levels within the system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To contribute to compliance with and quality of Educational Psychology Advices for the EHC needs assessment process</w:t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954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"/>
        <w:gridCol w:w="10719"/>
      </w:tblGrid>
      <w:tr>
        <w:trPr>
          <w:trHeight w:val="390" w:hRule="atLeast"/>
        </w:trPr>
        <w:tc>
          <w:tcPr>
            <w:tcW w:w="10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EndnoteText"/>
              <w:jc w:val="both"/>
              <w:rPr>
                <w:rFonts w:ascii="Arial" w:hAnsi="Arial" w:cs="Arial"/>
                <w:b/>
                <w:color w:val="FFFFFF"/>
                <w:szCs w:val="24"/>
              </w:rPr>
            </w:pPr>
            <w:r>
              <w:rPr>
                <w:rFonts w:cs="Arial" w:ascii="Arial" w:hAnsi="Arial"/>
                <w:b/>
                <w:color w:val="FFFFFF"/>
                <w:szCs w:val="24"/>
              </w:rPr>
              <w:t xml:space="preserve">Key Tasks:  </w:t>
            </w:r>
          </w:p>
        </w:tc>
      </w:tr>
      <w:tr>
        <w:trPr>
          <w:trHeight w:val="390" w:hRule="atLeast"/>
        </w:trPr>
        <w:tc>
          <w:tcPr>
            <w:tcW w:w="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EndnoteText"/>
              <w:snapToGrid w:val="false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cs="Arial" w:ascii="Arial" w:hAnsi="Arial"/>
                <w:szCs w:val="24"/>
              </w:rPr>
            </w:r>
          </w:p>
          <w:p>
            <w:pPr>
              <w:pStyle w:val="EndnoteText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cs="Arial" w:ascii="Arial" w:hAnsi="Arial"/>
                <w:szCs w:val="24"/>
              </w:rPr>
            </w:r>
          </w:p>
        </w:tc>
        <w:tc>
          <w:tcPr>
            <w:tcW w:w="1071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numPr>
                <w:ilvl w:val="0"/>
                <w:numId w:val="5"/>
              </w:numPr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To apply psychology to promote the achievement and healthy emotional development of children and young people from 0 –25 in partnership with children, families, schools and other agencies.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EndnoteText"/>
              <w:numPr>
                <w:ilvl w:val="0"/>
                <w:numId w:val="5"/>
              </w:numPr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To contribute to organisational developments, initiatives and processes in relation to improving life chances and supporting inclusion for children, young people and their families.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EndnoteText"/>
              <w:numPr>
                <w:ilvl w:val="0"/>
                <w:numId w:val="5"/>
              </w:numPr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To work as a member of the Educational and Child Psychology team and to contribute to cross team working with other teams, departments and agencies.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EndnoteText"/>
              <w:numPr>
                <w:ilvl w:val="0"/>
                <w:numId w:val="5"/>
              </w:numPr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To communicate effectively and maintain good professional relationships with colleagues.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EndnoteText"/>
              <w:numPr>
                <w:ilvl w:val="0"/>
                <w:numId w:val="5"/>
              </w:numPr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To represent the Service on appropriate working groups and panels.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EndnoteText"/>
              <w:numPr>
                <w:ilvl w:val="0"/>
                <w:numId w:val="5"/>
              </w:numPr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To provide challenge and support to schools and school leadership teams.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EndnoteText"/>
              <w:numPr>
                <w:ilvl w:val="0"/>
                <w:numId w:val="5"/>
              </w:numPr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To contribute to the development and delivery of training to schools and other service users.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EndnoteText"/>
              <w:numPr>
                <w:ilvl w:val="0"/>
                <w:numId w:val="5"/>
              </w:numPr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To provide advice within the Statutory Assessment framework.</w:t>
            </w:r>
          </w:p>
          <w:p>
            <w:pPr>
              <w:pStyle w:val="Endnote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EndnoteText"/>
              <w:numPr>
                <w:ilvl w:val="0"/>
                <w:numId w:val="5"/>
              </w:numPr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To take lead responsibility for maintaining an overview of one or more specialist aspects of educational and child psychology practice.</w:t>
            </w:r>
          </w:p>
          <w:p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EndnoteText"/>
              <w:numPr>
                <w:ilvl w:val="0"/>
                <w:numId w:val="5"/>
              </w:numPr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To promote inclusion</w:t>
            </w:r>
          </w:p>
          <w:p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EndnoteText"/>
              <w:numPr>
                <w:ilvl w:val="0"/>
                <w:numId w:val="5"/>
              </w:numPr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Contribute to the development of effective and productive relationships with relevant colleagues in other services, including local health services, youth justice, parent-carer forum, looked after children and safeguarding teams</w:t>
            </w:r>
          </w:p>
          <w:p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EndnoteText"/>
              <w:numPr>
                <w:ilvl w:val="0"/>
                <w:numId w:val="5"/>
              </w:numPr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To undertake other work which may reasonably be requested by the Principal Educational Psychologist from time to time</w:t>
            </w:r>
          </w:p>
          <w:p>
            <w:pPr>
              <w:pStyle w:val="ListParagraph"/>
              <w:ind w:left="0" w:right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39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9917"/>
      </w:tblGrid>
      <w:tr>
        <w:trPr/>
        <w:tc>
          <w:tcPr>
            <w:tcW w:w="10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both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Standard Duties:</w:t>
            </w:r>
          </w:p>
          <w:p>
            <w:pPr>
              <w:pStyle w:val="Normal"/>
              <w:jc w:val="both"/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</w:r>
          </w:p>
        </w:tc>
        <w:tc>
          <w:tcPr>
            <w:tcW w:w="9917" w:type="dxa"/>
            <w:tcBorders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jc w:val="both"/>
              <w:rPr/>
            </w:pPr>
            <w:r>
              <w:rPr>
                <w:sz w:val="22"/>
                <w:szCs w:val="22"/>
              </w:rPr>
              <w:t>To actively promote the equalities and diversity agenda in the workplace and in service delivery.</w:t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9917" w:type="dxa"/>
            <w:tcBorders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jc w:val="both"/>
              <w:rPr/>
            </w:pPr>
            <w:r>
              <w:rPr>
                <w:sz w:val="22"/>
                <w:szCs w:val="22"/>
              </w:rPr>
              <w:t>To uphold and implement policies and procedures of the Council; including customer care, data protection, ICT, finance and health and safety policies.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9917" w:type="dxa"/>
            <w:tcBorders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jc w:val="both"/>
              <w:rPr/>
            </w:pPr>
            <w:r>
              <w:rPr>
                <w:sz w:val="22"/>
                <w:szCs w:val="22"/>
              </w:rPr>
              <w:t>To actively engage with the behaviours and values of the Council to promote and support our Co-operative Agenda.</w:t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9917" w:type="dxa"/>
            <w:tcBorders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jc w:val="both"/>
              <w:rPr/>
            </w:pPr>
            <w:r>
              <w:rPr>
                <w:sz w:val="22"/>
                <w:szCs w:val="22"/>
              </w:rPr>
              <w:t xml:space="preserve">To undertake continuous professional development and to be aware of new developments, legislation, initiatives, guidelines, policies and procedures as appropriate to the role. </w:t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991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jc w:val="both"/>
              <w:rPr/>
            </w:pPr>
            <w:r>
              <w:rPr>
                <w:sz w:val="22"/>
                <w:szCs w:val="22"/>
              </w:rPr>
              <w:t>Undertake any additional duties commensurate with the level of the post.</w:t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40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Contacts:</w:t>
            </w:r>
          </w:p>
          <w:p>
            <w:pPr>
              <w:pStyle w:val="Normal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  <w:t>Advisory Teachers, Inclusion Team, SEND team, Educational Psychology team</w:t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39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8333"/>
      </w:tblGrid>
      <w:tr>
        <w:trPr/>
        <w:tc>
          <w:tcPr>
            <w:tcW w:w="10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BodyText"/>
              <w:rPr>
                <w:rFonts w:cs="Arial"/>
                <w:color w:val="FFFFFF"/>
                <w:szCs w:val="24"/>
              </w:rPr>
            </w:pPr>
            <w:r>
              <w:rPr>
                <w:rFonts w:cs="Arial"/>
                <w:color w:val="FFFFFF"/>
                <w:szCs w:val="24"/>
              </w:rPr>
              <w:t>Relationship To Other Posts In The Department:</w:t>
            </w:r>
          </w:p>
          <w:p>
            <w:pPr>
              <w:pStyle w:val="Normal"/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</w:r>
          </w:p>
        </w:tc>
      </w:tr>
      <w:tr>
        <w:trPr>
          <w:trHeight w:val="518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Responsible to:  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833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120"/>
              <w:rPr/>
            </w:pPr>
            <w:r>
              <w:rPr>
                <w:rFonts w:cs="Arial"/>
                <w:b/>
                <w:szCs w:val="24"/>
              </w:rPr>
              <w:t>Sen</w:t>
            </w:r>
            <w:r>
              <w:rPr>
                <w:b/>
              </w:rPr>
              <w:t>ior EP</w:t>
            </w:r>
          </w:p>
        </w:tc>
      </w:tr>
      <w:tr>
        <w:trPr>
          <w:trHeight w:val="517" w:hRule="atLeast"/>
        </w:trPr>
        <w:tc>
          <w:tcPr>
            <w:tcW w:w="21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Responsible for:</w:t>
            </w:r>
          </w:p>
        </w:tc>
        <w:tc>
          <w:tcPr>
            <w:tcW w:w="833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color w:val="FF0000"/>
              </w:rPr>
            </w:pPr>
            <w:r>
              <w:rPr>
                <w:rFonts w:cs="Arial"/>
                <w:color w:val="FF0000"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40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Special Conditions:</w:t>
            </w:r>
          </w:p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40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Values and Behaviours:</w:t>
            </w:r>
          </w:p>
          <w:p>
            <w:pPr>
              <w:pStyle w:val="Normal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fill="FFFFFF" w:val="clear"/>
              <w:spacing w:lineRule="auto" w:line="256" w:before="0" w:after="379"/>
              <w:jc w:val="both"/>
              <w:rPr/>
            </w:pPr>
            <w:r>
              <w:rPr>
                <w:rFonts w:eastAsia="Helvetica;Arial" w:cs="Helvetica;Arial" w:ascii="Helvetica;Arial" w:hAnsi="Helvetica;Arial"/>
                <w:lang w:val="en-US"/>
              </w:rPr>
              <w:t>B</w:t>
            </w:r>
            <w:r>
              <w:rPr>
                <w:rFonts w:eastAsia="Arial" w:cs="Arial"/>
                <w:sz w:val="22"/>
                <w:szCs w:val="22"/>
                <w:lang w:val="en-US"/>
              </w:rPr>
              <w:t>y living our Values and Behaviours we will deliver the change we need to meet our Corporate ambitions for Oldham.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Our Values: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Proud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take pride not only in what we deliver for the residents of Oldham but also in how we deliver it.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Ambitious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recognise the challenges we face and are committed to setting high aspirations to overcome them, with determination and focus.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Together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believe in shared solutions, working across sectors and with our communities to achieve common goals and deliver the quality services Oldham deserves.</w:t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  <w:lang w:val="en"/>
              </w:rPr>
            </w:pPr>
            <w:r>
              <w:rPr>
                <w:rFonts w:cs="Arial"/>
                <w:lang w:val="en"/>
              </w:rPr>
              <w:t>Internally we’ve translated these values into five Co-operative behaviours which outline the priority areas of focus for staff at all levels.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>Work with a Resident Focus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>Support Local Leaders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>Committed to the Borough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>Take Ownership and Drive Change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 xml:space="preserve">Deliver High Performance 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More information around our Values and Behaviours can be found on our Greater.Jobs pages.</w:t>
            </w:r>
          </w:p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39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0"/>
        <w:gridCol w:w="2160"/>
        <w:gridCol w:w="4859"/>
      </w:tblGrid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snapToGrid w:val="false"/>
              <w:rPr>
                <w:rFonts w:cs="Arial"/>
                <w:color w:val="FFFFFF"/>
                <w:szCs w:val="24"/>
              </w:rPr>
            </w:pPr>
            <w:r>
              <w:rPr>
                <w:rFonts w:cs="Arial"/>
                <w:color w:val="FFFFFF"/>
                <w:szCs w:val="24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DATE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NAME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POST TITLE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Prepared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23.01.17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 Helen Wyton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SEN Support Manager and Lead Educational Psychologist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24.1.2020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 Helen Wyton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Principal Educational Psychologist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20.5.21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 Helen Wyton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Principal Educational Psychologist &amp; Preventative Lead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27.9.22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 Victoria Harold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Principal Educational Psychologist &amp; Preventative Lead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23.9.24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 Victoria Harold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Head of Specialist Services</w:t>
            </w:r>
          </w:p>
        </w:tc>
      </w:tr>
    </w:tbl>
    <w:p>
      <w:pPr>
        <w:pStyle w:val="Normal"/>
        <w:jc w:val="center"/>
        <w:rPr>
          <w:rFonts w:cs="Arial"/>
          <w:b/>
          <w:bCs/>
          <w:u w:val="single"/>
        </w:rPr>
      </w:pPr>
      <w:r>
        <w:br w:type="page"/>
      </w:r>
      <w:r>
        <w:rPr>
          <w:rFonts w:cs="Arial"/>
          <w:b/>
          <w:bCs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mc:AlternateContent>
          <mc:Choice Requires="wps">
            <w:drawing>
              <wp:anchor behindDoc="0" distT="0" distB="0" distL="114935" distR="114300" simplePos="0" locked="0" layoutInCell="1" allowOverlap="1" relativeHeight="3">
                <wp:simplePos x="0" y="0"/>
                <wp:positionH relativeFrom="column">
                  <wp:posOffset>5143500</wp:posOffset>
                </wp:positionH>
                <wp:positionV relativeFrom="paragraph">
                  <wp:posOffset>-605790</wp:posOffset>
                </wp:positionV>
                <wp:extent cx="1148715" cy="1187450"/>
                <wp:effectExtent l="635" t="0" r="0" b="0"/>
                <wp:wrapNone/>
                <wp:docPr id="5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760" cy="118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fillcolor="white" stroked="f" o:allowincell="f" style="position:absolute;margin-left:405pt;margin-top:-47.7pt;width:90.4pt;height:93.45pt;mso-wrap-style:none;v-text-anchor:middle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72390" distB="72390" distL="0" distR="3810" simplePos="0" locked="0" layoutInCell="1" allowOverlap="1" relativeHeight="6">
                <wp:simplePos x="0" y="0"/>
                <wp:positionH relativeFrom="column">
                  <wp:posOffset>5143500</wp:posOffset>
                </wp:positionH>
                <wp:positionV relativeFrom="paragraph">
                  <wp:posOffset>-605790</wp:posOffset>
                </wp:positionV>
                <wp:extent cx="1148715" cy="1187450"/>
                <wp:effectExtent l="0" t="0" r="0" b="0"/>
                <wp:wrapNone/>
                <wp:docPr id="6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715" cy="11874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965200" cy="1097915"/>
                                  <wp:effectExtent l="0" t="0" r="0" b="0"/>
                                  <wp:docPr id="7" name="Image2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Image2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 l="-40" t="-35" r="-40" b="-3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5200" cy="10979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90.45pt;height:93.5pt;mso-wrap-distance-left:0pt;mso-wrap-distance-right:0.3pt;mso-wrap-distance-top:5.7pt;mso-wrap-distance-bottom:5.7pt;margin-top:-47.7pt;mso-position-vertical-relative:text;margin-left:405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965200" cy="1097915"/>
                            <wp:effectExtent l="0" t="0" r="0" b="0"/>
                            <wp:docPr id="8" name="Image2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age2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 l="-40" t="-35" r="-40" b="-3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5200" cy="10979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t>PERSON SPECIFICATION</w:t>
      </w:r>
    </w:p>
    <w:p>
      <w:pPr>
        <w:pStyle w:val="Normal"/>
        <w:rPr>
          <w:rFonts w:cs="Arial"/>
          <w:bCs/>
        </w:rPr>
      </w:pPr>
      <w:r>
        <w:rPr>
          <w:rFonts w:cs="Arial"/>
          <w:bCs/>
        </w:rPr>
      </w:r>
    </w:p>
    <w:p>
      <w:pPr>
        <w:pStyle w:val="Normal"/>
        <w:ind w:right="-514"/>
        <w:rPr/>
      </w:pPr>
      <w:r>
        <w:rPr>
          <w:rFonts w:cs="Arial"/>
          <w:b/>
          <w:bCs/>
        </w:rPr>
        <w:t>Job Title:</w:t>
      </w:r>
      <w:r>
        <w:rPr>
          <w:rFonts w:cs="Arial"/>
          <w:bCs/>
        </w:rPr>
        <w:t xml:space="preserve">  Educational Psychologist </w:t>
      </w:r>
    </w:p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39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4649"/>
        <w:gridCol w:w="1984"/>
        <w:gridCol w:w="1498"/>
      </w:tblGrid>
      <w:tr>
        <w:trPr>
          <w:trHeight w:val="1000" w:hRule="atLeast"/>
          <w:cantSplit w:val="true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(Essential)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(Desirable)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How Assessed</w:t>
            </w:r>
          </w:p>
        </w:tc>
      </w:tr>
      <w:tr>
        <w:trPr/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color w:val="FFFFFF"/>
                <w:szCs w:val="22"/>
              </w:rPr>
            </w:pPr>
            <w:r>
              <w:rPr>
                <w:rFonts w:cs="Arial"/>
                <w:bCs/>
                <w:color w:val="FFFFFF"/>
                <w:szCs w:val="22"/>
              </w:rPr>
              <w:t>Education &amp; Qualifications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textAlignment w:val="baseline"/>
              <w:rPr>
                <w:rFonts w:cs="Arial"/>
                <w:b/>
                <w:bCs/>
                <w:color w:val="FFFFFF"/>
                <w:sz w:val="22"/>
                <w:szCs w:val="24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4"/>
              </w:rPr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Honours degree in psychology (or BPS recognised equivalent conferring GBR)</w:t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Post graduate professional qualification in educational psychology</w:t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Header"/>
              <w:rPr>
                <w:szCs w:val="24"/>
              </w:rPr>
            </w:pPr>
            <w:r>
              <w:rPr>
                <w:szCs w:val="24"/>
              </w:rPr>
              <w:t>Be eligible for chartered status in the BPS</w:t>
            </w:r>
          </w:p>
          <w:p>
            <w:pPr>
              <w:pStyle w:val="Header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overflowPunct w:val="true"/>
              <w:textAlignment w:val="baseline"/>
              <w:rPr>
                <w:szCs w:val="24"/>
              </w:rPr>
            </w:pPr>
            <w:r>
              <w:rPr>
                <w:szCs w:val="24"/>
              </w:rPr>
              <w:t>Registered with HCPC</w:t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overflowPunct w:val="true"/>
              <w:textAlignment w:val="baseline"/>
              <w:rPr/>
            </w:pPr>
            <w:r>
              <w:rPr>
                <w:rStyle w:val="normaltextrun"/>
                <w:rFonts w:cs="Arial"/>
                <w:color w:val="000000"/>
                <w:szCs w:val="24"/>
                <w:shd w:fill="FFFFFF" w:val="clear"/>
              </w:rPr>
              <w:t>To hold a valid driving licence / enhanced DBS</w:t>
            </w:r>
            <w:r>
              <w:rPr>
                <w:rStyle w:val="eop"/>
                <w:rFonts w:cs="Arial"/>
                <w:color w:val="000000"/>
                <w:szCs w:val="24"/>
                <w:shd w:fill="FFFFFF" w:val="clear"/>
              </w:rPr>
              <w:t> </w:t>
            </w:r>
          </w:p>
          <w:p>
            <w:pPr>
              <w:pStyle w:val="Head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snapToGrid w:val="fals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snapToGrid w:val="false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  <w:p>
            <w:pPr>
              <w:pStyle w:val="Header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AF / I</w:t>
            </w:r>
          </w:p>
        </w:tc>
      </w:tr>
      <w:tr>
        <w:trPr>
          <w:trHeight w:val="70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Experience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4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4"/>
              </w:rPr>
            </w:r>
          </w:p>
          <w:p>
            <w:pPr>
              <w:pStyle w:val="Normal"/>
              <w:overflowPunct w:val="true"/>
              <w:textAlignment w:val="baseline"/>
              <w:rPr>
                <w:szCs w:val="24"/>
              </w:rPr>
            </w:pPr>
            <w:r>
              <w:rPr>
                <w:szCs w:val="24"/>
              </w:rPr>
              <w:t xml:space="preserve">Experience of working with children and young people across the 0 – 25 age range who have additional needs </w:t>
            </w:r>
          </w:p>
          <w:p>
            <w:pPr>
              <w:pStyle w:val="Normal"/>
              <w:overflowPunct w:val="true"/>
              <w:ind w:left="720" w:right="0"/>
              <w:textAlignment w:val="baseline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overflowPunct w:val="true"/>
              <w:textAlignment w:val="baseline"/>
              <w:rPr>
                <w:szCs w:val="24"/>
              </w:rPr>
            </w:pPr>
            <w:r>
              <w:rPr>
                <w:szCs w:val="24"/>
              </w:rPr>
              <w:t>Experience of working across different educational phases and sectors</w:t>
            </w:r>
          </w:p>
          <w:p>
            <w:pPr>
              <w:pStyle w:val="Normal"/>
              <w:overflowPunct w:val="true"/>
              <w:textAlignment w:val="baseline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overflowPunct w:val="true"/>
              <w:textAlignment w:val="baseline"/>
              <w:rPr>
                <w:szCs w:val="24"/>
              </w:rPr>
            </w:pPr>
            <w:r>
              <w:rPr>
                <w:szCs w:val="24"/>
              </w:rPr>
              <w:t>Experience of multi-agency work</w:t>
            </w:r>
          </w:p>
          <w:p>
            <w:pPr>
              <w:pStyle w:val="Normal"/>
              <w:tabs>
                <w:tab w:val="clear" w:pos="720"/>
                <w:tab w:val="left" w:pos="2700" w:leader="none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Skills &amp; Abilities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snapToGrid w:val="false"/>
              <w:textAlignment w:val="baselin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Able to apply psychological theory to all aspects of practice 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Excellent psychological formulation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Able to provide consultation, assessment, and intervention for a range of additional needs through the use of applied psychology 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Able to work effectively as part of a team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Good self management and interpersonal skills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Excellent written and oral communication skills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Able to plan and deliver high quality training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Able to contribute to service planning and development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Knowledge of pertinent legislation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Commitment to the promotion of equal opportunities and inclusion 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Ability to contribute to service planning and development 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To be a reflective practitioner</w:t>
            </w:r>
          </w:p>
          <w:p>
            <w:pPr>
              <w:pStyle w:val="Normal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Ability to offer and accept challenge appropriately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Knowledge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Comprehensive knowledge of psychological theory and how this relates to practice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Comprehensive knowledge of child development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Detailed and comprehensive knowledge of relevant legislation, policy and guidance.</w:t>
            </w:r>
          </w:p>
          <w:p>
            <w:pPr>
              <w:pStyle w:val="Normal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Knowledge and understanding of school systems and an understanding of the issues affecting SEND.</w:t>
            </w:r>
          </w:p>
          <w:p>
            <w:pPr>
              <w:pStyle w:val="Normal"/>
              <w:rPr>
                <w:rFonts w:cs="Arial"/>
                <w:color w:val="808080"/>
                <w:szCs w:val="24"/>
              </w:rPr>
            </w:pPr>
            <w:r>
              <w:rPr>
                <w:rFonts w:cs="Arial"/>
                <w:color w:val="808080"/>
                <w:szCs w:val="24"/>
              </w:rPr>
            </w:r>
          </w:p>
          <w:p>
            <w:pPr>
              <w:pStyle w:val="Normal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Sound knowledge and understanding of the local authority role in the provision of special educational provision in its area. </w:t>
            </w:r>
          </w:p>
          <w:p>
            <w:pPr>
              <w:pStyle w:val="Normal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color w:val="FFFFFF"/>
                <w:szCs w:val="22"/>
              </w:rPr>
            </w:pPr>
            <w:r>
              <w:rPr>
                <w:rFonts w:cs="Arial"/>
                <w:bCs/>
                <w:color w:val="FFFFFF"/>
                <w:szCs w:val="22"/>
              </w:rPr>
              <w:t>Work Circumstances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389" w:leader="none"/>
              </w:tabs>
              <w:overflowPunct w:val="true"/>
              <w:snapToGrid w:val="false"/>
              <w:textAlignment w:val="baselin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20"/>
                <w:tab w:val="left" w:pos="389" w:leader="none"/>
              </w:tabs>
              <w:overflowPunct w:val="true"/>
              <w:textAlignment w:val="baseline"/>
              <w:rPr>
                <w:szCs w:val="24"/>
              </w:rPr>
            </w:pPr>
            <w:r>
              <w:rPr>
                <w:szCs w:val="24"/>
              </w:rPr>
              <w:t>Able to work flexibly to meet the demands of the service (including evening and weekend as necessary)</w:t>
            </w:r>
          </w:p>
          <w:p>
            <w:pPr>
              <w:pStyle w:val="Normal"/>
              <w:tabs>
                <w:tab w:val="clear" w:pos="720"/>
                <w:tab w:val="left" w:pos="389" w:leader="none"/>
              </w:tabs>
              <w:overflowPunct w:val="true"/>
              <w:textAlignment w:val="baseline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Commitment to personal and professional development of self and staff</w:t>
            </w:r>
          </w:p>
          <w:p>
            <w:pPr>
              <w:pStyle w:val="Normal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Punctuality &amp; regular attendance</w:t>
            </w:r>
          </w:p>
          <w:p>
            <w:pPr>
              <w:pStyle w:val="Normal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  <w:p>
            <w:pPr>
              <w:pStyle w:val="Normal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Ability to travel between locations both in and outside of Oldham.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jc w:val="both"/>
        <w:rPr/>
      </w:pPr>
      <w:r>
        <w:rPr>
          <w:rFonts w:cs="Arial"/>
          <w:i/>
        </w:rPr>
        <w:t>Abbreviations:</w:t>
      </w:r>
      <w:r>
        <w:rPr>
          <w:rFonts w:cs="Arial"/>
        </w:rPr>
        <w:t xml:space="preserve"> AF = Application Form; I = Interview; T = Test; P = Presentation; R = References;</w:t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jc w:val="both"/>
        <w:rPr/>
      </w:pPr>
      <w:r>
        <w:rPr>
          <w:rFonts w:cs="Arial"/>
          <w:b/>
          <w:bCs/>
          <w:sz w:val="22"/>
          <w:szCs w:val="22"/>
        </w:rPr>
        <w:t xml:space="preserve">NB. - Any candidate that meets the criteria of our </w:t>
      </w:r>
      <w:r>
        <w:rPr>
          <w:rFonts w:cs="Arial"/>
          <w:b/>
          <w:bCs/>
          <w:color w:val="0563C1"/>
          <w:sz w:val="22"/>
          <w:szCs w:val="22"/>
          <w:u w:val="single"/>
        </w:rPr>
        <w:t>Guaranteed Assessment Scheme</w:t>
      </w:r>
      <w:r>
        <w:rPr>
          <w:rFonts w:cs="Arial"/>
          <w:b/>
          <w:bCs/>
          <w:sz w:val="22"/>
          <w:szCs w:val="22"/>
        </w:rPr>
        <w:t xml:space="preserve"> and meets the essential criteria of the role, will be guaranteed the first stage of assessment (whether that is an interview or another assessment, as appropriate).</w:t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Our Guaranteed Assessment Scheme supports candidates with disabilities, have previously been in or currently in care, those that are carers, and those who have served in the Armed Forces as a regular, reserve or cadet.</w:t>
      </w:r>
      <w:bookmarkStart w:id="0" w:name="_Hlk190765446"/>
      <w:bookmarkEnd w:id="0"/>
    </w:p>
    <w:p>
      <w:pPr>
        <w:pStyle w:val="Normal"/>
        <w:spacing w:lineRule="auto" w:line="264"/>
        <w:rPr/>
      </w:pPr>
      <w:r>
        <w:rPr/>
      </w:r>
    </w:p>
    <w:sectPr>
      <w:headerReference w:type="default" r:id="rId6"/>
      <w:footerReference w:type="default" r:id="rId7"/>
      <w:type w:val="nextPage"/>
      <w:pgSz w:w="11906" w:h="16838"/>
      <w:pgMar w:left="720" w:right="720" w:gutter="0" w:header="720" w:top="777" w:footer="720" w:bottom="777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Univers (W1)">
    <w:charset w:val="00"/>
    <w:family w:val="swiss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Palatino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Helvetica">
    <w:altName w:val="Arial"/>
    <w:charset w:val="00"/>
    <w:family w:val="swiss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Univers (W1)" w:hAnsi="Univers (W1)" w:eastAsia="Times New Roman" w:cs="Times New Roman"/>
      <w:color w:val="auto"/>
      <w:kern w:val="0"/>
      <w:sz w:val="24"/>
      <w:szCs w:val="20"/>
      <w:lang w:val="en-GB" w:eastAsia="en-GB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20"/>
        <w:tab w:val="left" w:pos="1276" w:leader="none"/>
      </w:tabs>
      <w:outlineLvl w:val="0"/>
    </w:pPr>
    <w:rPr>
      <w:rFonts w:ascii="Arial" w:hAnsi="Arial" w:cs="Arial"/>
      <w:lang w:eastAsia="en-US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rFonts w:ascii="Arial" w:hAnsi="Arial" w:cs="Arial"/>
      <w:b/>
      <w:lang w:eastAsia="en-U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CommentTextChar">
    <w:name w:val="Comment Text Char"/>
    <w:basedOn w:val="DefaultParagraphFont"/>
    <w:qFormat/>
    <w:rPr>
      <w:rFonts w:ascii="Univers (W1)" w:hAnsi="Univers (W1)" w:cs="Univers (W1)"/>
    </w:rPr>
  </w:style>
  <w:style w:type="character" w:styleId="CommentSubjectChar">
    <w:name w:val="Comment Subject Char"/>
    <w:basedOn w:val="CommentTextChar"/>
    <w:qFormat/>
    <w:rPr>
      <w:rFonts w:ascii="Univers (W1)" w:hAnsi="Univers (W1)" w:cs="Univers (W1)"/>
      <w:b/>
      <w:bCs/>
    </w:rPr>
  </w:style>
  <w:style w:type="character" w:styleId="HeaderChar">
    <w:name w:val="Header Char"/>
    <w:basedOn w:val="DefaultParagraphFont"/>
    <w:qFormat/>
    <w:rPr>
      <w:rFonts w:ascii="Univers (W1)" w:hAnsi="Univers (W1)" w:cs="Univers (W1)"/>
      <w:sz w:val="24"/>
    </w:rPr>
  </w:style>
  <w:style w:type="character" w:styleId="FooterChar">
    <w:name w:val="Footer Char"/>
    <w:basedOn w:val="DefaultParagraphFont"/>
    <w:qFormat/>
    <w:rPr>
      <w:rFonts w:ascii="Univers (W1)" w:hAnsi="Univers (W1)" w:cs="Univers (W1)"/>
      <w:sz w:val="24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normaltextrun">
    <w:name w:val="normaltextrun"/>
    <w:qFormat/>
    <w:rPr/>
  </w:style>
  <w:style w:type="character" w:styleId="eop">
    <w:name w:val="eop"/>
    <w:qFormat/>
    <w:rPr/>
  </w:style>
  <w:style w:type="character" w:styleId="EndnoteTextChar">
    <w:name w:val="Endnote Text Char"/>
    <w:basedOn w:val="DefaultParagraphFont"/>
    <w:qFormat/>
    <w:rPr>
      <w:rFonts w:ascii="Palatino" w:hAnsi="Palatino" w:cs="Palatino"/>
      <w:sz w:val="24"/>
      <w:lang w:eastAsia="en-U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Normal"/>
    <w:pPr>
      <w:ind w:hanging="283" w:left="283" w:right="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Numbering">
    <w:name w:val="Numbering"/>
    <w:basedOn w:val="Heading2"/>
    <w:qFormat/>
    <w:pPr>
      <w:numPr>
        <w:ilvl w:val="0"/>
        <w:numId w:val="0"/>
      </w:numPr>
      <w:spacing w:lineRule="auto" w:line="360" w:before="0" w:after="0"/>
      <w:outlineLvl w:val="9"/>
    </w:pPr>
    <w:rPr>
      <w:rFonts w:cs="Times New Roman"/>
      <w:b w:val="false"/>
      <w:bCs w:val="false"/>
      <w:i w:val="false"/>
      <w:iCs w:val="false"/>
      <w:sz w:val="24"/>
      <w:szCs w:val="20"/>
      <w:lang w:eastAsia="en-US"/>
    </w:rPr>
  </w:style>
  <w:style w:type="paragraph" w:styleId="ListBullet2">
    <w:name w:val="List Bullet 2"/>
    <w:basedOn w:val="Normal"/>
    <w:qFormat/>
    <w:pPr/>
    <w:rPr/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BodyTextFirstIndent2">
    <w:name w:val="Body Text First Indent 2"/>
    <w:basedOn w:val="BodyTextIndent"/>
    <w:qFormat/>
    <w:pPr>
      <w:ind w:firstLine="210" w:left="283" w:right="0"/>
    </w:pPr>
    <w:rPr/>
  </w:style>
  <w:style w:type="paragraph" w:styleId="DocumentMap">
    <w:name w:val="Document Map"/>
    <w:basedOn w:val="Normal"/>
    <w:qFormat/>
    <w:pPr>
      <w:shd w:fill="000080" w:val="clear"/>
    </w:pPr>
    <w:rPr>
      <w:rFonts w:ascii="Tahoma" w:hAnsi="Tahoma" w:cs="Tahoma"/>
      <w:sz w:val="20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Times New Roman"/>
      <w:color w:val="auto"/>
      <w:kern w:val="0"/>
      <w:sz w:val="24"/>
      <w:szCs w:val="22"/>
      <w:lang w:val="en-GB" w:eastAsia="en-US" w:bidi="ar-SA"/>
    </w:rPr>
  </w:style>
  <w:style w:type="paragraph" w:styleId="annotationtext">
    <w:name w:val="annotation text"/>
    <w:basedOn w:val="Normal"/>
    <w:qFormat/>
    <w:pPr/>
    <w:rPr>
      <w:sz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Univers (W1)" w:hAnsi="Univers (W1)" w:eastAsia="Times New Roman" w:cs="Times New Roman"/>
      <w:color w:val="auto"/>
      <w:kern w:val="0"/>
      <w:sz w:val="24"/>
      <w:szCs w:val="20"/>
      <w:lang w:val="en-GB" w:eastAsia="en-GB" w:bidi="ar-SA"/>
    </w:rPr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hAnsi="Times New Roman" w:cs="Times New Roman"/>
      <w:szCs w:val="24"/>
    </w:rPr>
  </w:style>
  <w:style w:type="paragraph" w:styleId="paragraph">
    <w:name w:val="paragraph"/>
    <w:basedOn w:val="Normal"/>
    <w:qFormat/>
    <w:pPr>
      <w:spacing w:before="280" w:after="280"/>
    </w:pPr>
    <w:rPr>
      <w:rFonts w:ascii="Times New Roman" w:hAnsi="Times New Roman" w:cs="Times New Roman"/>
      <w:szCs w:val="24"/>
    </w:rPr>
  </w:style>
  <w:style w:type="paragraph" w:styleId="EndnoteText">
    <w:name w:val="Endnote Text"/>
    <w:basedOn w:val="Normal"/>
    <w:pPr>
      <w:overflowPunct w:val="true"/>
      <w:textAlignment w:val="baseline"/>
    </w:pPr>
    <w:rPr>
      <w:rFonts w:ascii="Palatino" w:hAnsi="Palatino" w:cs="Palatino"/>
      <w:lang w:eastAsia="en-US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1.wmf"/><Relationship Id="rId4" Type="http://schemas.openxmlformats.org/officeDocument/2006/relationships/image" Target="media/image1.wmf"/><Relationship Id="rId5" Type="http://schemas.openxmlformats.org/officeDocument/2006/relationships/image" Target="media/image1.wmf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