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5200" cy="10979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color w:val="FFFFFF"/>
                <w:sz w:val="22"/>
                <w:szCs w:val="22"/>
              </w:rPr>
            </w:pPr>
            <w:r>
              <w:rPr>
                <w:rFonts w:cs="Arial"/>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 w:val="22"/>
                <w:szCs w:val="22"/>
              </w:rPr>
            </w:pPr>
            <w:r>
              <w:rPr>
                <w:rFonts w:cs="Arial" w:ascii="Arial" w:hAnsi="Arial"/>
                <w:bCs/>
                <w:sz w:val="22"/>
                <w:szCs w:val="22"/>
              </w:rPr>
              <w:t xml:space="preserve">Residential Childcare Worker – Semi Independence </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 &amp; Young 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Division/Section:</w:t>
            </w:r>
            <w:r>
              <w:rPr>
                <w:rFonts w:cs="Arial"/>
                <w:color w:val="FFFFFF"/>
                <w:sz w:val="22"/>
                <w:szCs w:val="22"/>
              </w:rPr>
              <w:t xml:space="preserve">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color w:val="FFFFFF"/>
                <w:szCs w:val="22"/>
              </w:rPr>
            </w:pPr>
            <w:r>
              <w:rPr>
                <w:rFonts w:cs="Arial"/>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8032</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Under the guidance of the Homes Manager and Deputy Homes Manager to care for and guide young people who are resident in the establishment.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This post also carries a requirement to work regular weekends, evenings, bank holidays and to sleep – in’ as required by the homes rota.</w:t>
            </w:r>
          </w:p>
          <w:p>
            <w:pPr>
              <w:pStyle w:val="Normal"/>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Title"/>
              <w:numPr>
                <w:ilvl w:val="0"/>
                <w:numId w:val="4"/>
              </w:numPr>
              <w:jc w:val="both"/>
              <w:rPr>
                <w:rFonts w:cs="Arial"/>
                <w:b w:val="false"/>
                <w:b w:val="false"/>
                <w:sz w:val="22"/>
                <w:szCs w:val="22"/>
              </w:rPr>
            </w:pPr>
            <w:r>
              <w:rPr>
                <w:rFonts w:cs="Arial"/>
                <w:b w:val="false"/>
                <w:sz w:val="22"/>
                <w:szCs w:val="22"/>
              </w:rPr>
              <w:t>To provide a planned and stimulating environment which gives care, control and guidance to young people resident within the home that is consistent with the Homes Statement of Purpose and Quality Care Standards (QCS) and Regulations.</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implement, review, monitor and develop social work ‘Care Plans’.</w:t>
            </w:r>
          </w:p>
          <w:p>
            <w:pPr>
              <w:pStyle w:val="Title"/>
              <w:ind w:left="0" w:right="0" w:firstLine="60"/>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Develop, implement, review and monitor the children’s and young peoples ‘Placement Plans’ within the home.</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develop, monitor and review individual risk assessments and ensure that all actions resulting from them are followed.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assist young people in dealing with behavioural, emotional or other difficulties in line with Policy, Procedure and QCS and Regulations.</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be aware of QCS and Regulations and the responsibilities of all contained within them.</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participate in the professional life of the home and to work as a member of the residential staff team.</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create and maintain links with other agencies outside of the home to further the purpose of the home and care of the young people.</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participate in the administration of the home, maintaining appropriate records, personal, financial, etc. as required, and ensuring that the home and it’s equipment are properly used.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attend reviews, planning meetings, staff meetings and training courses as required.</w:t>
            </w:r>
          </w:p>
          <w:p>
            <w:pPr>
              <w:pStyle w:val="Title"/>
              <w:jc w:val="both"/>
              <w:rPr>
                <w:rFonts w:cs="Arial"/>
                <w:b w:val="false"/>
                <w:b w:val="false"/>
                <w:sz w:val="22"/>
                <w:szCs w:val="22"/>
              </w:rPr>
            </w:pPr>
            <w:r>
              <w:rPr>
                <w:rFonts w:cs="Arial"/>
                <w:b w:val="false"/>
                <w:sz w:val="22"/>
                <w:szCs w:val="22"/>
              </w:rPr>
            </w:r>
          </w:p>
          <w:p>
            <w:pPr>
              <w:pStyle w:val="Title"/>
              <w:numPr>
                <w:ilvl w:val="0"/>
                <w:numId w:val="4"/>
              </w:numPr>
              <w:jc w:val="left"/>
              <w:rPr>
                <w:rFonts w:cs="Arial"/>
                <w:b w:val="false"/>
                <w:b w:val="false"/>
                <w:sz w:val="22"/>
                <w:szCs w:val="22"/>
              </w:rPr>
            </w:pPr>
            <w:r>
              <w:rPr>
                <w:rFonts w:cs="Arial"/>
                <w:b w:val="false"/>
                <w:sz w:val="22"/>
                <w:szCs w:val="22"/>
              </w:rPr>
              <w:t>To complete. The Diploma in Health &amp; Social Care level 3 (unless already qualified)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Such other duties reasonably falling within the purview of the post as may be required.</w:t>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color w:val="FFFFFF"/>
                <w:sz w:val="22"/>
                <w:szCs w:val="22"/>
              </w:rPr>
            </w:pPr>
            <w:r>
              <w:rPr>
                <w:rFonts w:cs="Arial"/>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color w:val="FFFFFF"/>
                <w:sz w:val="22"/>
                <w:szCs w:val="22"/>
              </w:rPr>
            </w:pPr>
            <w:r>
              <w:rPr>
                <w:rFonts w:cs="Arial"/>
                <w:color w:val="FFFFFF"/>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sz w:val="22"/>
                <w:szCs w:val="22"/>
              </w:rPr>
            </w:pPr>
            <w:r>
              <w:rPr>
                <w:rFonts w:cs="Arial"/>
                <w:b/>
                <w:sz w:val="22"/>
                <w:szCs w:val="22"/>
              </w:rPr>
              <w:t>Contacts:</w:t>
            </w:r>
          </w:p>
          <w:p>
            <w:pPr>
              <w:pStyle w:val="Normal"/>
              <w:jc w:val="both"/>
              <w:rPr>
                <w:rFonts w:cs="Arial"/>
                <w:b/>
                <w:b/>
                <w:sz w:val="22"/>
                <w:szCs w:val="22"/>
              </w:rPr>
            </w:pPr>
            <w:r>
              <w:rPr>
                <w:rFonts w:cs="Arial"/>
                <w:b/>
                <w:sz w:val="22"/>
                <w:szCs w:val="22"/>
              </w:rPr>
            </w:r>
          </w:p>
          <w:p>
            <w:pPr>
              <w:pStyle w:val="Normal"/>
              <w:rPr>
                <w:rFonts w:cs="Arial"/>
                <w:sz w:val="22"/>
                <w:szCs w:val="22"/>
              </w:rPr>
            </w:pPr>
            <w:r>
              <w:rPr>
                <w:rFonts w:cs="Arial"/>
                <w:sz w:val="22"/>
                <w:szCs w:val="22"/>
              </w:rPr>
              <w:t>Contacts are employees of the team, service, division, the council, partners, trade union representatives, elected members, inspectors, external organisations and the public</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color w:val="FFFFFF"/>
                <w:sz w:val="22"/>
                <w:szCs w:val="22"/>
              </w:rPr>
            </w:pPr>
            <w:r>
              <w:rPr>
                <w:rFonts w:cs="Arial"/>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Residential Homes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Special Conditions:</w:t>
            </w:r>
          </w:p>
          <w:p>
            <w:pPr>
              <w:pStyle w:val="Normal"/>
              <w:rPr>
                <w:rFonts w:cs="Arial"/>
                <w:b/>
                <w:b/>
                <w:sz w:val="22"/>
                <w:szCs w:val="22"/>
              </w:rPr>
            </w:pPr>
            <w:r>
              <w:rPr>
                <w:rFonts w:cs="Arial"/>
                <w:b/>
                <w:sz w:val="22"/>
                <w:szCs w:val="22"/>
              </w:rPr>
            </w:r>
          </w:p>
          <w:p>
            <w:pPr>
              <w:pStyle w:val="Normal"/>
              <w:rPr>
                <w:rFonts w:cs="Arial"/>
                <w:sz w:val="22"/>
                <w:szCs w:val="22"/>
              </w:rPr>
            </w:pPr>
            <w:r>
              <w:rPr>
                <w:rFonts w:cs="Arial"/>
                <w:sz w:val="22"/>
                <w:szCs w:val="22"/>
              </w:rPr>
              <w:t xml:space="preserve">DBS disclosure – enhanced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color w:val="FFFFFF"/>
                <w:sz w:val="22"/>
                <w:szCs w:val="22"/>
              </w:rPr>
            </w:pPr>
            <w:r>
              <w:rPr>
                <w:rFonts w:cs="Arial"/>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12.02.24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Andrea Worthington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 w:val="22"/>
                <w:szCs w:val="22"/>
                <w:lang w:eastAsia="en-GB"/>
              </w:rPr>
            </w:pPr>
            <w:r>
              <w:rPr>
                <w:rFonts w:cs="Arial"/>
                <w:b/>
                <w:bCs/>
                <w:sz w:val="22"/>
                <w:szCs w:val="22"/>
                <w:lang w:eastAsia="en-GB"/>
              </w:rPr>
              <w:t xml:space="preserve">Head of Residential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5200" cy="10979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rFonts w:cs="Arial"/>
          <w:b/>
          <w:b/>
          <w:bCs/>
          <w:sz w:val="22"/>
          <w:szCs w:val="22"/>
        </w:rPr>
      </w:pPr>
      <w:r>
        <w:rPr>
          <w:rFonts w:cs="Arial"/>
          <w:b/>
          <w:bCs/>
          <w:sz w:val="22"/>
          <w:szCs w:val="22"/>
        </w:rPr>
      </w:r>
    </w:p>
    <w:p>
      <w:pPr>
        <w:pStyle w:val="Normal"/>
        <w:rPr/>
      </w:pPr>
      <w:r>
        <w:rPr>
          <w:rFonts w:cs="Arial"/>
          <w:b/>
          <w:bCs/>
          <w:sz w:val="22"/>
          <w:szCs w:val="22"/>
        </w:rPr>
        <w:t>Job Title:</w:t>
      </w:r>
      <w:r>
        <w:rPr>
          <w:rFonts w:cs="Arial"/>
          <w:bCs/>
          <w:sz w:val="22"/>
          <w:szCs w:val="22"/>
        </w:rPr>
        <w:t xml:space="preserve">  Residential Childcare Worker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Literate and numerate and willing to achieve The Diploma in Health &amp; Social Care level 3 (unless already qualified with an equivalent qualification eg. relevant NVQ 3).</w:t>
            </w:r>
          </w:p>
          <w:p>
            <w:pPr>
              <w:pStyle w:val="Normal"/>
              <w:tabs>
                <w:tab w:val="clear" w:pos="720"/>
                <w:tab w:val="left" w:pos="0" w:leader="none"/>
              </w:tabs>
              <w:suppressAutoHyphens w:val="true"/>
              <w:snapToGrid w:val="fals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Experience of working with young people in a social work / youth work or other setting.</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Experience of working as a Team Member.</w:t>
            </w:r>
          </w:p>
          <w:p>
            <w:pPr>
              <w:pStyle w:val="Normal"/>
              <w:tabs>
                <w:tab w:val="clear" w:pos="720"/>
                <w:tab w:val="left" w:pos="0" w:leader="none"/>
              </w:tabs>
              <w:suppressAutoHyphens w:val="true"/>
              <w:snapToGrid w:val="fals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 xml:space="preserve">Ability to engage with children and young people with emotional and behavioural difficulties.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and skills needed to engage young people in social activities using local and other resources, including holidays and residential.</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 xml:space="preserve">Ability to interpret national Minimum Standards (NMS) and Regulations and other relevant procedures and guidelines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put child care theory into practise.</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 xml:space="preserve">Ability to produce concise reports and complete other clear written records.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recognise and support other staff or young people at times of difficulty or in demanding situations.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respond appropriately to challenging behaviour.</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converse at ease with members of the public, service users / customers and provide advice in accurate spoken English</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2"/>
                <w:lang w:val="en-US"/>
              </w:rPr>
            </w:pPr>
            <w:r>
              <w:rPr>
                <w:sz w:val="22"/>
                <w:szCs w:val="22"/>
                <w:lang w:val="en-US"/>
              </w:rPr>
              <w:t>Knowledge of Childcare legislation, Supported Accommodation Quality Standards, Child Care Act, Health &amp; Safety, Child Development and Leaving Care Act.</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risk and protective factors and ablility to use these to inform interventions.</w:t>
            </w:r>
          </w:p>
          <w:p>
            <w:pPr>
              <w:pStyle w:val="Normal"/>
              <w:rPr>
                <w:rFonts w:cs="Arial"/>
                <w:sz w:val="22"/>
                <w:szCs w:val="22"/>
                <w:highlight w:val="yellow"/>
                <w:lang w:val="en-US"/>
              </w:rPr>
            </w:pPr>
            <w:r>
              <w:rPr>
                <w:rFonts w:cs="Arial"/>
                <w:sz w:val="22"/>
                <w:szCs w:val="22"/>
                <w:highlight w:val="yellow"/>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highlight w:val="yellow"/>
                <w:lang w:val="en-US"/>
              </w:rPr>
            </w:pPr>
            <w:r>
              <w:rPr>
                <w:rFonts w:cs="Arial"/>
                <w:sz w:val="22"/>
                <w:szCs w:val="22"/>
                <w:highlight w:val="yellow"/>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To work evenings, weekends and bank holidays as the homes rota dictates.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Undertake sleep – in duties as the rota dictates.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Be able to occasionally cover at short notice and be flexible.</w:t>
            </w:r>
          </w:p>
          <w:p>
            <w:pPr>
              <w:pStyle w:val="Normal"/>
              <w:rPr>
                <w:rFonts w:cs="Arial"/>
                <w:sz w:val="22"/>
                <w:szCs w:val="22"/>
              </w:rPr>
            </w:pPr>
            <w:r>
              <w:rPr>
                <w:rFonts w:cs="Arial"/>
                <w:sz w:val="22"/>
                <w:szCs w:val="22"/>
              </w:rPr>
            </w:r>
          </w:p>
          <w:p>
            <w:pPr>
              <w:pStyle w:val="Normal"/>
              <w:rPr>
                <w:rFonts w:cs="Arial"/>
                <w:color w:val="808080"/>
                <w:sz w:val="22"/>
                <w:szCs w:val="22"/>
              </w:rPr>
            </w:pPr>
            <w:r>
              <w:rPr>
                <w:rFonts w:cs="Arial"/>
                <w:color w:val="808080"/>
                <w:sz w:val="22"/>
                <w:szCs w:val="22"/>
              </w:rPr>
            </w:r>
          </w:p>
          <w:p>
            <w:pPr>
              <w:pStyle w:val="Normal"/>
              <w:rPr>
                <w:rFonts w:cs="Arial"/>
                <w:color w:val="808080"/>
                <w:sz w:val="22"/>
                <w:szCs w:val="22"/>
              </w:rPr>
            </w:pPr>
            <w:r>
              <w:rPr>
                <w:rFonts w:cs="Arial"/>
                <w:color w:val="808080"/>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ind w:left="785" w:hanging="360"/>
      </w:pPr>
      <w:rPr>
        <w:sz w:val="22"/>
        <w:b w:val="false"/>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b w:val="false"/>
      <w:bCs w:val="false"/>
      <w:sz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lang w:eastAsia="en-US"/>
    </w:rPr>
  </w:style>
  <w:style w:type="character" w:styleId="HeaderChar">
    <w:name w:val="Header Char"/>
    <w:qFormat/>
    <w:rPr>
      <w:rFonts w:ascii="Arial" w:hAnsi="Arial" w:cs="Arial"/>
      <w:sz w:val="22"/>
      <w:lang w:eastAsia="en-US"/>
    </w:rPr>
  </w:style>
  <w:style w:type="character" w:styleId="Annotationreference">
    <w:name w:val="annotation reference"/>
    <w:qFormat/>
    <w:rPr>
      <w:sz w:val="16"/>
      <w:szCs w:val="16"/>
    </w:rPr>
  </w:style>
  <w:style w:type="character" w:styleId="CommentTextChar">
    <w:name w:val="Comment Text Char"/>
    <w:qFormat/>
    <w:rPr>
      <w:rFonts w:ascii="Arial" w:hAnsi="Arial" w:cs="Arial"/>
      <w:lang w:eastAsia="en-US"/>
    </w:rPr>
  </w:style>
  <w:style w:type="character" w:styleId="CommentSubjectChar">
    <w:name w:val="Comment Subject Char"/>
    <w:qFormat/>
    <w:rPr>
      <w:rFonts w:ascii="Arial" w:hAnsi="Arial" w:cs="Arial"/>
      <w:b/>
      <w:bCs/>
      <w:lang w:eastAsia="en-US"/>
    </w:rPr>
  </w:style>
  <w:style w:type="character" w:styleId="BodyText3Char">
    <w:name w:val="Body Text 3 Char"/>
    <w:qFormat/>
    <w:rPr>
      <w:rFonts w:ascii="Arial" w:hAnsi="Arial" w:cs="Arial"/>
      <w:sz w:val="16"/>
      <w:szCs w:val="16"/>
      <w:lang w:eastAsia="en-US"/>
    </w:rPr>
  </w:style>
  <w:style w:type="character" w:styleId="TitleChar">
    <w:name w:val="Title Char"/>
    <w:qFormat/>
    <w:rPr>
      <w:rFonts w:ascii="Arial" w:hAnsi="Arial" w:cs="Arial"/>
      <w:b/>
      <w:bCs/>
      <w:sz w:val="24"/>
      <w:szCs w:val="24"/>
      <w:lang w:eastAsia="en-US"/>
    </w:rPr>
  </w:style>
  <w:style w:type="character" w:styleId="InternetLink">
    <w:name w:val="Internet Link"/>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val="false"/>
      <w:suppressAutoHyphens w:val="true"/>
      <w:bidi w:val="0"/>
      <w:spacing w:before="0" w:after="0"/>
      <w:jc w:val="left"/>
    </w:pPr>
    <w:rPr>
      <w:rFonts w:ascii="Helvetica;Arial" w:hAnsi="Helvetica;Arial" w:eastAsia="Times New Roman" w:cs="Helvetica;Arial"/>
      <w:color w:val="000000"/>
      <w:kern w:val="0"/>
      <w:sz w:val="24"/>
      <w:szCs w:val="24"/>
      <w:lang w:val="en-GB" w:eastAsia="en-GB"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0" w:after="120"/>
    </w:pPr>
    <w:rPr>
      <w:sz w:val="16"/>
      <w:szCs w:val="16"/>
    </w:rPr>
  </w:style>
  <w:style w:type="paragraph" w:styleId="Title">
    <w:name w:val="Title"/>
    <w:basedOn w:val="Normal"/>
    <w:next w:val="TextBody"/>
    <w:qFormat/>
    <w:pPr>
      <w:jc w:val="center"/>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2026-07-02T13:10:00Z</dcterms:created>
  <dc:creator>OMBC</dc:creator>
  <dc:description/>
  <dc:language>en-US</dc:language>
  <cp:lastModifiedBy>Ian Robinson (HR)</cp:lastModifiedBy>
  <cp:lastPrinted>1995-11-21T17:41:00Z</cp:lastPrinted>
  <dcterms:modified xsi:type="dcterms:W3CDTF">2026-07-02T13:10:00Z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