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sz w:val="22"/>
          <w:szCs w:val="22"/>
        </w:rPr>
      </w:pPr>
      <w:r>
        <w:rPr>
          <w:rFonts w:cs="Arial"/>
          <w:sz w:val="22"/>
          <w:szCs w:val="22"/>
        </w:rPr>
      </w:r>
    </w:p>
    <w:p>
      <w:pPr>
        <w:pStyle w:val="Heading1"/>
        <w:spacing w:lineRule="auto" w:line="240"/>
        <w:ind w:hanging="0" w:left="0"/>
        <w:rPr>
          <w:rFonts w:cs="Arial"/>
          <w:sz w:val="22"/>
          <w:szCs w:val="22"/>
        </w:rPr>
      </w:pPr>
      <w:r>
        <w:rPr>
          <w:rFonts w:cs="Arial"/>
          <w:sz w:val="22"/>
          <w:szCs w:val="22"/>
        </w:rPr>
      </w:r>
    </w:p>
    <w:p>
      <w:pPr>
        <w:pStyle w:val="Normal"/>
        <w:jc w:val="center"/>
        <w:rPr>
          <w:rFonts w:cs="Arial"/>
          <w:b/>
          <w:bCs/>
          <w:sz w:val="22"/>
          <w:szCs w:val="22"/>
          <w:u w:val="single"/>
        </w:rPr>
      </w:pP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JOB DESCRIPTION</w:t>
      </w:r>
    </w:p>
    <w:p>
      <w:pPr>
        <w:pStyle w:val="Normal"/>
        <w:jc w:val="center"/>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451"/>
        <w:gridCol w:w="8988"/>
      </w:tblGrid>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88" w:type="dxa"/>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MACPT Education Lead</w:t>
            </w:r>
          </w:p>
        </w:tc>
      </w:tr>
    </w:tbl>
    <w:p>
      <w:pPr>
        <w:pStyle w:val="Normal"/>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575"/>
        <w:gridCol w:w="2745"/>
        <w:gridCol w:w="2179"/>
        <w:gridCol w:w="3940"/>
      </w:tblGrid>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745"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Children’s Services</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MACPT</w:t>
            </w:r>
          </w:p>
        </w:tc>
      </w:tr>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74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7</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rPr>
                <w:rFonts w:cs="Arial"/>
                <w:b/>
                <w:szCs w:val="22"/>
              </w:rPr>
            </w:pPr>
            <w:r>
              <w:rPr>
                <w:rFonts w:cs="Arial"/>
                <w:b/>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11245</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48" w:type="dxa"/>
        <w:jc w:val="left"/>
        <w:tblInd w:w="-559"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bCs/>
                <w:sz w:val="22"/>
                <w:szCs w:val="22"/>
              </w:rPr>
            </w:pPr>
            <w:r>
              <w:rPr>
                <w:rFonts w:cs="Arial"/>
                <w:bCs/>
                <w:sz w:val="22"/>
                <w:szCs w:val="22"/>
              </w:rPr>
            </w:r>
          </w:p>
          <w:p>
            <w:pPr>
              <w:pStyle w:val="Normal"/>
              <w:rPr>
                <w:rFonts w:cs="Arial"/>
                <w:sz w:val="22"/>
                <w:szCs w:val="22"/>
              </w:rPr>
            </w:pPr>
            <w:r>
              <w:rPr>
                <w:rFonts w:cs="Arial"/>
                <w:sz w:val="22"/>
                <w:szCs w:val="22"/>
              </w:rPr>
              <w:t>The MACPT Education Lead is a core member of the Multi-Agency Child Protection Team (MACPT), providing specialist education safeguarding expertise to ensure that educational needs, risks, and protective factors are fully considered within child protection decision-making. Working alongside Children's Social Care, Police, Health and other partners, the postholder strengthens multi-agency risk assessment, planning and intervention by ensuring that timely, accurate and relevant education information informs safeguarding discussions at the earliest opportunity.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The role acts as the key link between MACPT and education settings and services, securing and analysing educational intelligence, promoting effective information sharing, and ensuring education contributes meaningfully to child protection processes. This includes attending and contributing to strategy discussions, Section 47 enquiries, Child Protection Conferences, Core Groups and other multi-agency forums, providing professional advice, consultation and challenge in line with Keeping Children Safe in Education and Working Together to Safeguard Children.</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The postholder will champion the educational needs and outcomes of children with a social worker, supporting the Virtual School in fulfilling its statutory responsibilities and the implementation of Families First reforms. Through strong partnership working, quality assurance, training and guidance, the role promotes consistent safeguarding practice across education settings and agencies, helping to improve educational engagement, reduce vulnerability and strengthen outcomes for children and young people.</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rPr>
                <w:rFonts w:cs="Arial"/>
                <w:b/>
                <w:bCs/>
                <w:sz w:val="22"/>
                <w:szCs w:val="22"/>
              </w:rPr>
            </w:pPr>
            <w:r>
              <w:rPr>
                <w:rFonts w:cs="Arial"/>
                <w:b/>
                <w:bCs/>
                <w:sz w:val="22"/>
                <w:szCs w:val="22"/>
              </w:rPr>
              <w:t>1. Education Safeguarding Advice and Challenge</w:t>
            </w:r>
          </w:p>
          <w:p>
            <w:pPr>
              <w:pStyle w:val="ListParagraph"/>
              <w:numPr>
                <w:ilvl w:val="0"/>
                <w:numId w:val="8"/>
              </w:numPr>
              <w:rPr/>
            </w:pPr>
            <w:r>
              <w:rPr>
                <w:rFonts w:cs="Arial" w:ascii="Arial" w:hAnsi="Arial"/>
              </w:rPr>
              <w:t>Provide expert education safeguarding advice to MACPT colleagues and partner agencies.</w:t>
            </w:r>
          </w:p>
          <w:p>
            <w:pPr>
              <w:pStyle w:val="ListParagraph"/>
              <w:numPr>
                <w:ilvl w:val="0"/>
                <w:numId w:val="8"/>
              </w:numPr>
              <w:rPr/>
            </w:pPr>
            <w:r>
              <w:rPr>
                <w:rFonts w:cs="Arial" w:ascii="Arial" w:hAnsi="Arial"/>
              </w:rPr>
              <w:t>Ensure decision-making reflects statutory guidance, particularly Keeping Children Safe in Education (KCSIE).</w:t>
            </w:r>
          </w:p>
          <w:p>
            <w:pPr>
              <w:pStyle w:val="ListParagraph"/>
              <w:numPr>
                <w:ilvl w:val="0"/>
                <w:numId w:val="8"/>
              </w:numPr>
              <w:rPr/>
            </w:pPr>
            <w:r>
              <w:rPr>
                <w:rFonts w:cs="Arial" w:ascii="Arial" w:hAnsi="Arial"/>
              </w:rPr>
              <w:t>Offer professional challenge where safeguarding risks are not being appropriately addressed.</w:t>
            </w:r>
          </w:p>
          <w:p>
            <w:pPr>
              <w:pStyle w:val="ListParagraph"/>
              <w:numPr>
                <w:ilvl w:val="0"/>
                <w:numId w:val="8"/>
              </w:numPr>
              <w:rPr/>
            </w:pPr>
            <w:r>
              <w:rPr>
                <w:rFonts w:cs="Arial" w:ascii="Arial" w:hAnsi="Arial"/>
              </w:rPr>
              <w:t>Support education settings to improve safeguarding practice and engagement.</w:t>
            </w:r>
          </w:p>
          <w:p>
            <w:pPr>
              <w:pStyle w:val="ListParagraph"/>
              <w:numPr>
                <w:ilvl w:val="0"/>
                <w:numId w:val="8"/>
              </w:numPr>
              <w:rPr/>
            </w:pPr>
            <w:r>
              <w:rPr>
                <w:rFonts w:cs="Arial" w:ascii="Arial" w:hAnsi="Arial"/>
              </w:rPr>
              <w:t>Working closely with the safeguarding adviser for schools</w:t>
            </w:r>
          </w:p>
          <w:p>
            <w:pPr>
              <w:pStyle w:val="Normal"/>
              <w:rPr>
                <w:rFonts w:cs="Arial"/>
                <w:b/>
                <w:bCs/>
                <w:sz w:val="22"/>
                <w:szCs w:val="22"/>
              </w:rPr>
            </w:pPr>
            <w:r>
              <w:rPr>
                <w:rFonts w:cs="Arial"/>
                <w:b/>
                <w:bCs/>
                <w:sz w:val="22"/>
                <w:szCs w:val="22"/>
              </w:rPr>
              <w:t>2. Multi-Agency Child Protection Activity</w:t>
            </w:r>
          </w:p>
          <w:p>
            <w:pPr>
              <w:pStyle w:val="ListParagraph"/>
              <w:numPr>
                <w:ilvl w:val="0"/>
                <w:numId w:val="3"/>
              </w:numPr>
              <w:rPr/>
            </w:pPr>
            <w:r>
              <w:rPr>
                <w:rFonts w:cs="Arial" w:ascii="Arial" w:hAnsi="Arial"/>
              </w:rPr>
              <w:t>Contribute to:</w:t>
            </w:r>
          </w:p>
          <w:p>
            <w:pPr>
              <w:pStyle w:val="ListParagraph"/>
              <w:numPr>
                <w:ilvl w:val="1"/>
                <w:numId w:val="3"/>
              </w:numPr>
              <w:rPr/>
            </w:pPr>
            <w:r>
              <w:rPr>
                <w:rFonts w:cs="Arial" w:ascii="Arial" w:hAnsi="Arial"/>
              </w:rPr>
              <w:t>Strategy discussions.</w:t>
            </w:r>
          </w:p>
          <w:p>
            <w:pPr>
              <w:pStyle w:val="ListParagraph"/>
              <w:numPr>
                <w:ilvl w:val="1"/>
                <w:numId w:val="3"/>
              </w:numPr>
              <w:rPr/>
            </w:pPr>
            <w:r>
              <w:rPr>
                <w:rFonts w:cs="Arial" w:ascii="Arial" w:hAnsi="Arial"/>
              </w:rPr>
              <w:t>Section 47 enquiries.</w:t>
            </w:r>
          </w:p>
          <w:p>
            <w:pPr>
              <w:pStyle w:val="ListParagraph"/>
              <w:numPr>
                <w:ilvl w:val="1"/>
                <w:numId w:val="3"/>
              </w:numPr>
              <w:rPr/>
            </w:pPr>
            <w:r>
              <w:rPr>
                <w:rFonts w:cs="Arial" w:ascii="Arial" w:hAnsi="Arial"/>
              </w:rPr>
              <w:t>Child Protection Conferences.</w:t>
            </w:r>
          </w:p>
          <w:p>
            <w:pPr>
              <w:pStyle w:val="ListParagraph"/>
              <w:numPr>
                <w:ilvl w:val="1"/>
                <w:numId w:val="3"/>
              </w:numPr>
              <w:rPr/>
            </w:pPr>
            <w:r>
              <w:rPr>
                <w:rFonts w:cs="Arial" w:ascii="Arial" w:hAnsi="Arial"/>
              </w:rPr>
              <w:t>Core Groups.</w:t>
            </w:r>
          </w:p>
          <w:p>
            <w:pPr>
              <w:pStyle w:val="ListParagraph"/>
              <w:numPr>
                <w:ilvl w:val="1"/>
                <w:numId w:val="3"/>
              </w:numPr>
              <w:rPr/>
            </w:pPr>
            <w:r>
              <w:rPr>
                <w:rFonts w:cs="Arial" w:ascii="Arial" w:hAnsi="Arial"/>
              </w:rPr>
              <w:t>Multi-agency planning meetings</w:t>
            </w:r>
            <w:r>
              <w:rPr>
                <w:rFonts w:cs="Arial" w:ascii="Arial" w:hAnsi="Arial"/>
                <w:b/>
                <w:bCs/>
              </w:rPr>
              <w:t>.</w:t>
            </w:r>
          </w:p>
          <w:p>
            <w:pPr>
              <w:pStyle w:val="ListParagraph"/>
              <w:numPr>
                <w:ilvl w:val="0"/>
                <w:numId w:val="3"/>
              </w:numPr>
              <w:rPr/>
            </w:pPr>
            <w:r>
              <w:rPr>
                <w:rFonts w:cs="Arial" w:ascii="Arial" w:hAnsi="Arial"/>
              </w:rPr>
              <w:t>Ensure education information informs all safeguarding assessments and decisions.</w:t>
            </w:r>
          </w:p>
          <w:p>
            <w:pPr>
              <w:pStyle w:val="ListParagraph"/>
              <w:numPr>
                <w:ilvl w:val="0"/>
                <w:numId w:val="3"/>
              </w:numPr>
              <w:rPr/>
            </w:pPr>
            <w:r>
              <w:rPr>
                <w:rFonts w:cs="Arial" w:ascii="Arial" w:hAnsi="Arial"/>
              </w:rPr>
              <w:t>Track and monitor education-related safeguarding actions.</w:t>
            </w:r>
          </w:p>
          <w:p>
            <w:pPr>
              <w:pStyle w:val="Normal"/>
              <w:rPr>
                <w:rFonts w:cs="Arial"/>
                <w:b/>
                <w:bCs/>
                <w:sz w:val="22"/>
                <w:szCs w:val="22"/>
              </w:rPr>
            </w:pPr>
            <w:r>
              <w:rPr>
                <w:rFonts w:cs="Arial"/>
                <w:b/>
                <w:bCs/>
                <w:sz w:val="22"/>
                <w:szCs w:val="22"/>
              </w:rPr>
              <w:t>3. Information Sharing and Communication</w:t>
            </w:r>
          </w:p>
          <w:p>
            <w:pPr>
              <w:pStyle w:val="ListParagraph"/>
              <w:numPr>
                <w:ilvl w:val="0"/>
                <w:numId w:val="6"/>
              </w:numPr>
              <w:rPr/>
            </w:pPr>
            <w:r>
              <w:rPr>
                <w:rFonts w:cs="Arial" w:ascii="Arial" w:hAnsi="Arial"/>
              </w:rPr>
              <w:t>Develop effective relationships with schools, colleges and education providers.</w:t>
            </w:r>
          </w:p>
          <w:p>
            <w:pPr>
              <w:pStyle w:val="ListParagraph"/>
              <w:numPr>
                <w:ilvl w:val="0"/>
                <w:numId w:val="6"/>
              </w:numPr>
              <w:rPr/>
            </w:pPr>
            <w:r>
              <w:rPr>
                <w:rFonts w:cs="Arial" w:ascii="Arial" w:hAnsi="Arial"/>
              </w:rPr>
              <w:t>Secure timely educational information, chronologies and professional reports.</w:t>
            </w:r>
          </w:p>
          <w:p>
            <w:pPr>
              <w:pStyle w:val="ListParagraph"/>
              <w:numPr>
                <w:ilvl w:val="0"/>
                <w:numId w:val="6"/>
              </w:numPr>
              <w:rPr/>
            </w:pPr>
            <w:r>
              <w:rPr>
                <w:rFonts w:cs="Arial" w:ascii="Arial" w:hAnsi="Arial"/>
              </w:rPr>
              <w:t>Promote lawful, proportionate and timely information sharing.</w:t>
            </w:r>
          </w:p>
          <w:p>
            <w:pPr>
              <w:pStyle w:val="ListParagraph"/>
              <w:numPr>
                <w:ilvl w:val="0"/>
                <w:numId w:val="6"/>
              </w:numPr>
              <w:rPr/>
            </w:pPr>
            <w:r>
              <w:rPr>
                <w:rFonts w:cs="Arial" w:ascii="Arial" w:hAnsi="Arial"/>
              </w:rPr>
              <w:t>Communicate MACPT decisions, actions and expectations to education settings.</w:t>
            </w:r>
          </w:p>
          <w:p>
            <w:pPr>
              <w:pStyle w:val="Normal"/>
              <w:rPr>
                <w:rFonts w:cs="Arial"/>
                <w:b/>
                <w:bCs/>
                <w:sz w:val="22"/>
                <w:szCs w:val="22"/>
              </w:rPr>
            </w:pPr>
            <w:r>
              <w:rPr>
                <w:rFonts w:cs="Arial"/>
                <w:b/>
                <w:bCs/>
                <w:sz w:val="22"/>
                <w:szCs w:val="22"/>
              </w:rPr>
              <w:t>4. Educational Risk Assessment and Planning</w:t>
            </w:r>
          </w:p>
          <w:p>
            <w:pPr>
              <w:pStyle w:val="ListParagraph"/>
              <w:numPr>
                <w:ilvl w:val="0"/>
                <w:numId w:val="10"/>
              </w:numPr>
              <w:rPr/>
            </w:pPr>
            <w:r>
              <w:rPr>
                <w:rFonts w:cs="Arial" w:ascii="Arial" w:hAnsi="Arial"/>
              </w:rPr>
              <w:t>Analyse educational information and data including:</w:t>
            </w:r>
          </w:p>
          <w:p>
            <w:pPr>
              <w:pStyle w:val="ListParagraph"/>
              <w:numPr>
                <w:ilvl w:val="1"/>
                <w:numId w:val="10"/>
              </w:numPr>
              <w:rPr/>
            </w:pPr>
            <w:r>
              <w:rPr>
                <w:rFonts w:cs="Arial" w:ascii="Arial" w:hAnsi="Arial"/>
              </w:rPr>
              <w:t>Attendance.</w:t>
            </w:r>
          </w:p>
          <w:p>
            <w:pPr>
              <w:pStyle w:val="ListParagraph"/>
              <w:numPr>
                <w:ilvl w:val="1"/>
                <w:numId w:val="10"/>
              </w:numPr>
              <w:rPr/>
            </w:pPr>
            <w:r>
              <w:rPr>
                <w:rFonts w:cs="Arial" w:ascii="Arial" w:hAnsi="Arial"/>
              </w:rPr>
              <w:t>Attainment.</w:t>
            </w:r>
          </w:p>
          <w:p>
            <w:pPr>
              <w:pStyle w:val="ListParagraph"/>
              <w:numPr>
                <w:ilvl w:val="1"/>
                <w:numId w:val="10"/>
              </w:numPr>
              <w:rPr/>
            </w:pPr>
            <w:r>
              <w:rPr>
                <w:rFonts w:cs="Arial" w:ascii="Arial" w:hAnsi="Arial"/>
              </w:rPr>
              <w:t>Exclusions and suspensions.</w:t>
            </w:r>
          </w:p>
          <w:p>
            <w:pPr>
              <w:pStyle w:val="ListParagraph"/>
              <w:numPr>
                <w:ilvl w:val="1"/>
                <w:numId w:val="10"/>
              </w:numPr>
              <w:rPr/>
            </w:pPr>
            <w:r>
              <w:rPr>
                <w:rFonts w:cs="Arial" w:ascii="Arial" w:hAnsi="Arial"/>
              </w:rPr>
              <w:t>Engagement.</w:t>
            </w:r>
          </w:p>
          <w:p>
            <w:pPr>
              <w:pStyle w:val="ListParagraph"/>
              <w:numPr>
                <w:ilvl w:val="1"/>
                <w:numId w:val="10"/>
              </w:numPr>
              <w:rPr/>
            </w:pPr>
            <w:r>
              <w:rPr>
                <w:rFonts w:cs="Arial" w:ascii="Arial" w:hAnsi="Arial"/>
              </w:rPr>
              <w:t>Elective Home Education status.</w:t>
            </w:r>
          </w:p>
          <w:p>
            <w:pPr>
              <w:pStyle w:val="ListParagraph"/>
              <w:numPr>
                <w:ilvl w:val="0"/>
                <w:numId w:val="10"/>
              </w:numPr>
              <w:rPr/>
            </w:pPr>
            <w:r>
              <w:rPr>
                <w:rFonts w:cs="Arial" w:ascii="Arial" w:hAnsi="Arial"/>
              </w:rPr>
              <w:t>Identify barriers to learning and safeguarding.</w:t>
            </w:r>
          </w:p>
          <w:p>
            <w:pPr>
              <w:pStyle w:val="ListParagraph"/>
              <w:numPr>
                <w:ilvl w:val="0"/>
                <w:numId w:val="10"/>
              </w:numPr>
              <w:rPr/>
            </w:pPr>
            <w:r>
              <w:rPr>
                <w:rFonts w:cs="Arial" w:ascii="Arial" w:hAnsi="Arial"/>
              </w:rPr>
              <w:t>Contribute to safety planning around:</w:t>
            </w:r>
          </w:p>
          <w:p>
            <w:pPr>
              <w:pStyle w:val="ListParagraph"/>
              <w:numPr>
                <w:ilvl w:val="1"/>
                <w:numId w:val="10"/>
              </w:numPr>
              <w:rPr/>
            </w:pPr>
            <w:r>
              <w:rPr>
                <w:rFonts w:cs="Arial" w:ascii="Arial" w:hAnsi="Arial"/>
              </w:rPr>
              <w:t>Exploitation.</w:t>
            </w:r>
          </w:p>
          <w:p>
            <w:pPr>
              <w:pStyle w:val="ListParagraph"/>
              <w:numPr>
                <w:ilvl w:val="1"/>
                <w:numId w:val="10"/>
              </w:numPr>
              <w:rPr/>
            </w:pPr>
            <w:r>
              <w:rPr>
                <w:rFonts w:cs="Arial" w:ascii="Arial" w:hAnsi="Arial"/>
              </w:rPr>
              <w:t>Harmful peer behaviour.</w:t>
            </w:r>
          </w:p>
          <w:p>
            <w:pPr>
              <w:pStyle w:val="ListParagraph"/>
              <w:numPr>
                <w:ilvl w:val="1"/>
                <w:numId w:val="10"/>
              </w:numPr>
              <w:rPr/>
            </w:pPr>
            <w:r>
              <w:rPr>
                <w:rFonts w:cs="Arial" w:ascii="Arial" w:hAnsi="Arial"/>
              </w:rPr>
              <w:t>Online safety.</w:t>
            </w:r>
          </w:p>
          <w:p>
            <w:pPr>
              <w:pStyle w:val="ListParagraph"/>
              <w:numPr>
                <w:ilvl w:val="1"/>
                <w:numId w:val="10"/>
              </w:numPr>
              <w:rPr/>
            </w:pPr>
            <w:r>
              <w:rPr>
                <w:rFonts w:cs="Arial" w:ascii="Arial" w:hAnsi="Arial"/>
              </w:rPr>
              <w:t>Contextual safeguarding concerns.</w:t>
            </w:r>
          </w:p>
          <w:p>
            <w:pPr>
              <w:pStyle w:val="ListParagraph"/>
              <w:numPr>
                <w:ilvl w:val="1"/>
                <w:numId w:val="10"/>
              </w:numPr>
              <w:rPr/>
            </w:pPr>
            <w:r>
              <w:rPr>
                <w:rFonts w:cs="Arial" w:ascii="Arial" w:hAnsi="Arial"/>
              </w:rPr>
              <w:t>Harm outside the home.</w:t>
            </w:r>
          </w:p>
          <w:p>
            <w:pPr>
              <w:pStyle w:val="Normal"/>
              <w:rPr>
                <w:rFonts w:cs="Arial"/>
                <w:b/>
                <w:bCs/>
                <w:sz w:val="22"/>
                <w:szCs w:val="22"/>
              </w:rPr>
            </w:pPr>
            <w:r>
              <w:rPr>
                <w:rFonts w:cs="Arial"/>
                <w:b/>
                <w:bCs/>
                <w:sz w:val="22"/>
                <w:szCs w:val="22"/>
              </w:rPr>
              <w:t>5. Support for Vulnerable Children</w:t>
            </w:r>
          </w:p>
          <w:p>
            <w:pPr>
              <w:pStyle w:val="ListParagraph"/>
              <w:numPr>
                <w:ilvl w:val="0"/>
                <w:numId w:val="13"/>
              </w:numPr>
              <w:rPr/>
            </w:pPr>
            <w:r>
              <w:rPr>
                <w:rFonts w:cs="Arial" w:ascii="Arial" w:hAnsi="Arial"/>
              </w:rPr>
              <w:t>Promote educational engagement for children with social care involvement.</w:t>
            </w:r>
          </w:p>
          <w:p>
            <w:pPr>
              <w:pStyle w:val="ListParagraph"/>
              <w:numPr>
                <w:ilvl w:val="0"/>
                <w:numId w:val="13"/>
              </w:numPr>
              <w:rPr/>
            </w:pPr>
            <w:r>
              <w:rPr>
                <w:rFonts w:cs="Arial" w:ascii="Arial" w:hAnsi="Arial"/>
              </w:rPr>
              <w:t>Reduce disruption to education and improve stability.</w:t>
            </w:r>
          </w:p>
          <w:p>
            <w:pPr>
              <w:pStyle w:val="ListParagraph"/>
              <w:numPr>
                <w:ilvl w:val="0"/>
                <w:numId w:val="13"/>
              </w:numPr>
              <w:rPr/>
            </w:pPr>
            <w:r>
              <w:rPr>
                <w:rFonts w:cs="Arial" w:ascii="Arial" w:hAnsi="Arial"/>
              </w:rPr>
              <w:t>Prevent drift or delay in securing suitable educational provision.</w:t>
            </w:r>
          </w:p>
          <w:p>
            <w:pPr>
              <w:pStyle w:val="ListParagraph"/>
              <w:numPr>
                <w:ilvl w:val="0"/>
                <w:numId w:val="13"/>
              </w:numPr>
              <w:rPr/>
            </w:pPr>
            <w:r>
              <w:rPr>
                <w:rFonts w:cs="Arial" w:ascii="Arial" w:hAnsi="Arial"/>
              </w:rPr>
              <w:t>Support children who are not on roll, excluded, persistently absent or otherwise educationally vulnerable.</w:t>
            </w:r>
          </w:p>
          <w:p>
            <w:pPr>
              <w:pStyle w:val="Normal"/>
              <w:rPr>
                <w:rFonts w:cs="Arial"/>
                <w:b/>
                <w:bCs/>
                <w:sz w:val="22"/>
                <w:szCs w:val="22"/>
              </w:rPr>
            </w:pPr>
            <w:r>
              <w:rPr>
                <w:rFonts w:cs="Arial"/>
                <w:b/>
                <w:bCs/>
                <w:sz w:val="22"/>
                <w:szCs w:val="22"/>
              </w:rPr>
              <w:t>6. Partnership Working</w:t>
            </w:r>
          </w:p>
          <w:p>
            <w:pPr>
              <w:pStyle w:val="ListParagraph"/>
              <w:numPr>
                <w:ilvl w:val="0"/>
                <w:numId w:val="11"/>
              </w:numPr>
              <w:rPr/>
            </w:pPr>
            <w:r>
              <w:rPr>
                <w:rFonts w:cs="Arial" w:ascii="Arial" w:hAnsi="Arial"/>
              </w:rPr>
              <w:t>Maintain strong relationships across:</w:t>
            </w:r>
          </w:p>
          <w:p>
            <w:pPr>
              <w:pStyle w:val="ListParagraph"/>
              <w:numPr>
                <w:ilvl w:val="1"/>
                <w:numId w:val="11"/>
              </w:numPr>
              <w:rPr/>
            </w:pPr>
            <w:r>
              <w:rPr>
                <w:rFonts w:cs="Arial" w:ascii="Arial" w:hAnsi="Arial"/>
              </w:rPr>
              <w:t>Schools and colleges.</w:t>
            </w:r>
          </w:p>
          <w:p>
            <w:pPr>
              <w:pStyle w:val="ListParagraph"/>
              <w:numPr>
                <w:ilvl w:val="1"/>
                <w:numId w:val="11"/>
              </w:numPr>
              <w:rPr/>
            </w:pPr>
            <w:r>
              <w:rPr>
                <w:rFonts w:cs="Arial" w:ascii="Arial" w:hAnsi="Arial"/>
              </w:rPr>
              <w:t>Children's Social Care.</w:t>
            </w:r>
          </w:p>
          <w:p>
            <w:pPr>
              <w:pStyle w:val="ListParagraph"/>
              <w:numPr>
                <w:ilvl w:val="1"/>
                <w:numId w:val="11"/>
              </w:numPr>
              <w:rPr/>
            </w:pPr>
            <w:r>
              <w:rPr>
                <w:rFonts w:cs="Arial" w:ascii="Arial" w:hAnsi="Arial"/>
              </w:rPr>
              <w:t>Police.</w:t>
            </w:r>
          </w:p>
          <w:p>
            <w:pPr>
              <w:pStyle w:val="ListParagraph"/>
              <w:numPr>
                <w:ilvl w:val="1"/>
                <w:numId w:val="11"/>
              </w:numPr>
              <w:rPr/>
            </w:pPr>
            <w:r>
              <w:rPr>
                <w:rFonts w:cs="Arial" w:ascii="Arial" w:hAnsi="Arial"/>
              </w:rPr>
              <w:t>Health services.</w:t>
            </w:r>
          </w:p>
          <w:p>
            <w:pPr>
              <w:pStyle w:val="ListParagraph"/>
              <w:numPr>
                <w:ilvl w:val="1"/>
                <w:numId w:val="11"/>
              </w:numPr>
              <w:rPr/>
            </w:pPr>
            <w:r>
              <w:rPr>
                <w:rFonts w:cs="Arial" w:ascii="Arial" w:hAnsi="Arial"/>
              </w:rPr>
              <w:t>Safeguarding partnership leads.</w:t>
            </w:r>
          </w:p>
          <w:p>
            <w:pPr>
              <w:pStyle w:val="ListParagraph"/>
              <w:numPr>
                <w:ilvl w:val="1"/>
                <w:numId w:val="11"/>
              </w:numPr>
              <w:rPr/>
            </w:pPr>
            <w:r>
              <w:rPr>
                <w:rFonts w:cs="Arial" w:ascii="Arial" w:hAnsi="Arial"/>
              </w:rPr>
              <w:t>Families First teams.</w:t>
            </w:r>
          </w:p>
          <w:p>
            <w:pPr>
              <w:pStyle w:val="ListParagraph"/>
              <w:numPr>
                <w:ilvl w:val="0"/>
                <w:numId w:val="11"/>
              </w:numPr>
              <w:rPr/>
            </w:pPr>
            <w:r>
              <w:rPr>
                <w:rFonts w:cs="Arial" w:ascii="Arial" w:hAnsi="Arial"/>
              </w:rPr>
              <w:t>Contribute to Family Front Door discussions, exploitation panels and other multi-agency forums.</w:t>
            </w:r>
          </w:p>
          <w:p>
            <w:pPr>
              <w:pStyle w:val="Normal"/>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7. Quality Assurance and Service Improvement</w:t>
            </w:r>
          </w:p>
          <w:p>
            <w:pPr>
              <w:pStyle w:val="ListParagraph"/>
              <w:numPr>
                <w:ilvl w:val="0"/>
                <w:numId w:val="5"/>
              </w:numPr>
              <w:rPr/>
            </w:pPr>
            <w:r>
              <w:rPr>
                <w:rFonts w:cs="Arial" w:ascii="Arial" w:hAnsi="Arial"/>
              </w:rPr>
              <w:t>Participate in:</w:t>
            </w:r>
          </w:p>
          <w:p>
            <w:pPr>
              <w:pStyle w:val="ListParagraph"/>
              <w:numPr>
                <w:ilvl w:val="1"/>
                <w:numId w:val="5"/>
              </w:numPr>
              <w:rPr/>
            </w:pPr>
            <w:r>
              <w:rPr>
                <w:rFonts w:cs="Arial" w:ascii="Arial" w:hAnsi="Arial"/>
              </w:rPr>
              <w:t>Audits.</w:t>
            </w:r>
          </w:p>
          <w:p>
            <w:pPr>
              <w:pStyle w:val="ListParagraph"/>
              <w:numPr>
                <w:ilvl w:val="1"/>
                <w:numId w:val="5"/>
              </w:numPr>
              <w:rPr/>
            </w:pPr>
            <w:r>
              <w:rPr>
                <w:rFonts w:cs="Arial" w:ascii="Arial" w:hAnsi="Arial"/>
              </w:rPr>
              <w:t>Case reviews.</w:t>
            </w:r>
          </w:p>
          <w:p>
            <w:pPr>
              <w:pStyle w:val="ListParagraph"/>
              <w:numPr>
                <w:ilvl w:val="1"/>
                <w:numId w:val="5"/>
              </w:numPr>
              <w:rPr/>
            </w:pPr>
            <w:r>
              <w:rPr>
                <w:rFonts w:cs="Arial" w:ascii="Arial" w:hAnsi="Arial"/>
              </w:rPr>
              <w:t>Themed dip samples.</w:t>
            </w:r>
          </w:p>
          <w:p>
            <w:pPr>
              <w:pStyle w:val="ListParagraph"/>
              <w:numPr>
                <w:ilvl w:val="1"/>
                <w:numId w:val="5"/>
              </w:numPr>
              <w:rPr/>
            </w:pPr>
            <w:r>
              <w:rPr>
                <w:rFonts w:cs="Arial" w:ascii="Arial" w:hAnsi="Arial"/>
              </w:rPr>
              <w:t>Learning reviews.</w:t>
            </w:r>
          </w:p>
          <w:p>
            <w:pPr>
              <w:pStyle w:val="ListParagraph"/>
              <w:numPr>
                <w:ilvl w:val="0"/>
                <w:numId w:val="5"/>
              </w:numPr>
              <w:rPr/>
            </w:pPr>
            <w:r>
              <w:rPr>
                <w:rFonts w:cs="Arial" w:ascii="Arial" w:hAnsi="Arial"/>
              </w:rPr>
              <w:t>Identify safeguarding trends, risks and emerging themes.</w:t>
            </w:r>
          </w:p>
          <w:p>
            <w:pPr>
              <w:pStyle w:val="ListParagraph"/>
              <w:numPr>
                <w:ilvl w:val="0"/>
                <w:numId w:val="5"/>
              </w:numPr>
              <w:rPr/>
            </w:pPr>
            <w:r>
              <w:rPr>
                <w:rFonts w:cs="Arial" w:ascii="Arial" w:hAnsi="Arial"/>
              </w:rPr>
              <w:t>Disseminate good practice across education settings.</w:t>
            </w:r>
          </w:p>
          <w:p>
            <w:pPr>
              <w:pStyle w:val="ListParagraph"/>
              <w:numPr>
                <w:ilvl w:val="0"/>
                <w:numId w:val="5"/>
              </w:numPr>
              <w:rPr/>
            </w:pPr>
            <w:r>
              <w:rPr>
                <w:rFonts w:cs="Arial" w:ascii="Arial" w:hAnsi="Arial"/>
              </w:rPr>
              <w:t>Contribute to strategic safeguarding developments.</w:t>
            </w:r>
          </w:p>
          <w:p>
            <w:pPr>
              <w:pStyle w:val="Normal"/>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8. Training, Guidance and Workforce Development</w:t>
            </w:r>
          </w:p>
          <w:p>
            <w:pPr>
              <w:pStyle w:val="ListParagraph"/>
              <w:numPr>
                <w:ilvl w:val="0"/>
                <w:numId w:val="12"/>
              </w:numPr>
              <w:rPr/>
            </w:pPr>
            <w:r>
              <w:rPr>
                <w:rFonts w:cs="Arial" w:ascii="Arial" w:hAnsi="Arial"/>
              </w:rPr>
              <w:t>Provide training, consultation and advice on:</w:t>
            </w:r>
          </w:p>
          <w:p>
            <w:pPr>
              <w:pStyle w:val="ListParagraph"/>
              <w:numPr>
                <w:ilvl w:val="1"/>
                <w:numId w:val="12"/>
              </w:numPr>
              <w:rPr/>
            </w:pPr>
            <w:r>
              <w:rPr>
                <w:rFonts w:cs="Arial" w:ascii="Arial" w:hAnsi="Arial"/>
              </w:rPr>
              <w:t>Education safeguarding.</w:t>
            </w:r>
          </w:p>
          <w:p>
            <w:pPr>
              <w:pStyle w:val="ListParagraph"/>
              <w:numPr>
                <w:ilvl w:val="1"/>
                <w:numId w:val="12"/>
              </w:numPr>
              <w:rPr/>
            </w:pPr>
            <w:r>
              <w:rPr>
                <w:rFonts w:cs="Arial" w:ascii="Arial" w:hAnsi="Arial"/>
              </w:rPr>
              <w:t>Attendance and inclusion.</w:t>
            </w:r>
          </w:p>
          <w:p>
            <w:pPr>
              <w:pStyle w:val="ListParagraph"/>
              <w:numPr>
                <w:ilvl w:val="1"/>
                <w:numId w:val="12"/>
              </w:numPr>
              <w:rPr/>
            </w:pPr>
            <w:r>
              <w:rPr>
                <w:rFonts w:cs="Arial" w:ascii="Arial" w:hAnsi="Arial"/>
              </w:rPr>
              <w:t>Child-on-child abuse.</w:t>
            </w:r>
          </w:p>
          <w:p>
            <w:pPr>
              <w:pStyle w:val="ListParagraph"/>
              <w:numPr>
                <w:ilvl w:val="1"/>
                <w:numId w:val="12"/>
              </w:numPr>
              <w:rPr/>
            </w:pPr>
            <w:r>
              <w:rPr>
                <w:rFonts w:cs="Arial" w:ascii="Arial" w:hAnsi="Arial"/>
              </w:rPr>
              <w:t>Online safety.</w:t>
            </w:r>
          </w:p>
          <w:p>
            <w:pPr>
              <w:pStyle w:val="ListParagraph"/>
              <w:numPr>
                <w:ilvl w:val="1"/>
                <w:numId w:val="12"/>
              </w:numPr>
              <w:rPr/>
            </w:pPr>
            <w:r>
              <w:rPr>
                <w:rFonts w:cs="Arial" w:ascii="Arial" w:hAnsi="Arial"/>
              </w:rPr>
              <w:t>Exploitation.</w:t>
            </w:r>
          </w:p>
          <w:p>
            <w:pPr>
              <w:pStyle w:val="ListParagraph"/>
              <w:numPr>
                <w:ilvl w:val="1"/>
                <w:numId w:val="12"/>
              </w:numPr>
              <w:rPr/>
            </w:pPr>
            <w:r>
              <w:rPr>
                <w:rFonts w:cs="Arial" w:ascii="Arial" w:hAnsi="Arial"/>
              </w:rPr>
              <w:t>Educational impact of neglect and cumulative harm.</w:t>
            </w:r>
          </w:p>
          <w:p>
            <w:pPr>
              <w:pStyle w:val="ListParagraph"/>
              <w:numPr>
                <w:ilvl w:val="0"/>
                <w:numId w:val="12"/>
              </w:numPr>
              <w:rPr/>
            </w:pPr>
            <w:r>
              <w:rPr>
                <w:rFonts w:cs="Arial" w:ascii="Arial" w:hAnsi="Arial"/>
              </w:rPr>
              <w:t>Support professional development across the partnership.</w:t>
            </w:r>
          </w:p>
          <w:p>
            <w:pPr>
              <w:pStyle w:val="Normal"/>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9. Professional Practice</w:t>
            </w:r>
          </w:p>
          <w:p>
            <w:pPr>
              <w:pStyle w:val="ListParagraph"/>
              <w:numPr>
                <w:ilvl w:val="0"/>
                <w:numId w:val="7"/>
              </w:numPr>
              <w:rPr/>
            </w:pPr>
            <w:r>
              <w:rPr>
                <w:rFonts w:cs="Arial" w:ascii="Arial" w:hAnsi="Arial"/>
              </w:rPr>
              <w:t>Promote equality, diversity and inclusion.</w:t>
            </w:r>
          </w:p>
          <w:p>
            <w:pPr>
              <w:pStyle w:val="ListParagraph"/>
              <w:numPr>
                <w:ilvl w:val="0"/>
                <w:numId w:val="7"/>
              </w:numPr>
              <w:rPr/>
            </w:pPr>
            <w:r>
              <w:rPr>
                <w:rFonts w:cs="Arial" w:ascii="Arial" w:hAnsi="Arial"/>
              </w:rPr>
              <w:t>Maintain up-to-date safeguarding knowledge.</w:t>
            </w:r>
          </w:p>
          <w:p>
            <w:pPr>
              <w:pStyle w:val="ListParagraph"/>
              <w:numPr>
                <w:ilvl w:val="0"/>
                <w:numId w:val="7"/>
              </w:numPr>
              <w:rPr/>
            </w:pPr>
            <w:r>
              <w:rPr>
                <w:rFonts w:cs="Arial" w:ascii="Arial" w:hAnsi="Arial"/>
              </w:rPr>
              <w:t>Review personal practice and undertake continuous professional development.</w:t>
            </w:r>
          </w:p>
          <w:p>
            <w:pPr>
              <w:pStyle w:val="ListParagraph"/>
              <w:numPr>
                <w:ilvl w:val="0"/>
                <w:numId w:val="7"/>
              </w:numPr>
              <w:spacing w:before="0" w:after="200"/>
              <w:contextualSpacing/>
              <w:rPr>
                <w:rFonts w:ascii="Arial" w:hAnsi="Arial" w:cs="Arial"/>
              </w:rPr>
            </w:pPr>
            <w:r>
              <w:rPr>
                <w:rFonts w:cs="Arial" w:ascii="Arial" w:hAnsi="Arial"/>
              </w:rPr>
              <w:t>Ensure compliance with policies, procedures and statutory guidance.</w:t>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522"/>
        <w:gridCol w:w="9917"/>
      </w:tblGrid>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1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2.</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3.</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4.</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5.</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ind w:hanging="1560" w:left="1560" w:right="0"/>
              <w:jc w:val="both"/>
              <w:rPr/>
            </w:pPr>
            <w:r>
              <w:rPr>
                <w:rFonts w:cs="Arial"/>
                <w:b/>
                <w:sz w:val="22"/>
                <w:szCs w:val="22"/>
              </w:rPr>
              <w:t>Contacts:</w:t>
            </w:r>
            <w:r>
              <w:rPr>
                <w:rFonts w:cs="Arial"/>
                <w:sz w:val="22"/>
                <w:szCs w:val="22"/>
              </w:rPr>
              <w:t xml:space="preserve"> </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BodyText"/>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center"/>
        <w:tblInd w:w="0" w:type="dxa"/>
        <w:tblLayout w:type="fixed"/>
        <w:tblCellMar>
          <w:top w:w="0" w:type="dxa"/>
          <w:left w:w="108" w:type="dxa"/>
          <w:bottom w:w="0" w:type="dxa"/>
          <w:right w:w="108" w:type="dxa"/>
        </w:tblCellMar>
      </w:tblPr>
      <w:tblGrid>
        <w:gridCol w:w="2106"/>
        <w:gridCol w:w="8333"/>
      </w:tblGrid>
      <w:tr>
        <w:trPr>
          <w:trHeight w:val="518"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33" w:type="dxa"/>
            <w:tcBorders>
              <w:top w:val="single" w:sz="4" w:space="0" w:color="000000"/>
              <w:left w:val="single" w:sz="4" w:space="0" w:color="000000"/>
              <w:bottom w:val="single" w:sz="4" w:space="0" w:color="000000"/>
              <w:right w:val="single" w:sz="4" w:space="0" w:color="000000"/>
            </w:tcBorders>
          </w:tcPr>
          <w:p>
            <w:pPr>
              <w:pStyle w:val="BodyText"/>
              <w:snapToGrid w:val="false"/>
              <w:rPr>
                <w:rFonts w:cs="Arial"/>
                <w:b w:val="false"/>
                <w:bCs/>
                <w:sz w:val="22"/>
                <w:szCs w:val="22"/>
              </w:rPr>
            </w:pPr>
            <w:r>
              <w:rPr>
                <w:rFonts w:cs="Arial"/>
                <w:b w:val="false"/>
                <w:bCs/>
                <w:sz w:val="22"/>
                <w:szCs w:val="22"/>
              </w:rPr>
            </w:r>
          </w:p>
        </w:tc>
      </w:tr>
      <w:tr>
        <w:trPr>
          <w:trHeight w:val="517"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Responsible for:</w:t>
            </w:r>
          </w:p>
        </w:tc>
        <w:tc>
          <w:tcPr>
            <w:tcW w:w="8333"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bookmarkStart w:id="0" w:name="_Hlk95121094"/>
            <w:bookmarkStart w:id="1" w:name="_Hlk95121094"/>
            <w:bookmarkEnd w:id="1"/>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None</w:t>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Values and Behaviours:</w:t>
            </w:r>
          </w:p>
          <w:p>
            <w:pPr>
              <w:pStyle w:val="Normal"/>
              <w:rPr>
                <w:rFonts w:cs="Arial"/>
                <w:b/>
                <w:sz w:val="22"/>
                <w:szCs w:val="22"/>
              </w:rPr>
            </w:pPr>
            <w:r>
              <w:rPr>
                <w:rFonts w:cs="Arial"/>
                <w:b/>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auto" w:line="256" w:before="0" w:after="379"/>
              <w:jc w:val="both"/>
              <w:rPr/>
            </w:pPr>
            <w:r>
              <w:rPr>
                <w:rFonts w:eastAsia="Helvetica;Arial" w:cs="Arial"/>
                <w:sz w:val="22"/>
                <w:szCs w:val="22"/>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Together</w:t>
            </w:r>
          </w:p>
          <w:p>
            <w:pPr>
              <w:pStyle w:val="Normal"/>
              <w:shd w:fill="FFFFFF" w:val="clear"/>
              <w:spacing w:before="0" w:after="379"/>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pPr>
            <w:r>
              <w:rPr>
                <w:rFonts w:eastAsia="Arial" w:cs="Arial" w:ascii="Arial" w:hAnsi="Arial"/>
              </w:rPr>
              <w:t>Work with a Resident Focus</w:t>
            </w:r>
          </w:p>
          <w:p>
            <w:pPr>
              <w:pStyle w:val="ListParagraph"/>
              <w:numPr>
                <w:ilvl w:val="0"/>
                <w:numId w:val="2"/>
              </w:numPr>
              <w:rPr/>
            </w:pPr>
            <w:r>
              <w:rPr>
                <w:rFonts w:eastAsia="Arial" w:cs="Arial" w:ascii="Arial" w:hAnsi="Arial"/>
              </w:rPr>
              <w:t>Support Local Leaders</w:t>
            </w:r>
          </w:p>
          <w:p>
            <w:pPr>
              <w:pStyle w:val="ListParagraph"/>
              <w:numPr>
                <w:ilvl w:val="0"/>
                <w:numId w:val="2"/>
              </w:numPr>
              <w:rPr/>
            </w:pPr>
            <w:r>
              <w:rPr>
                <w:rFonts w:eastAsia="Arial" w:cs="Arial" w:ascii="Arial" w:hAnsi="Arial"/>
              </w:rPr>
              <w:t>Committed to the Borough</w:t>
            </w:r>
          </w:p>
          <w:p>
            <w:pPr>
              <w:pStyle w:val="ListParagraph"/>
              <w:numPr>
                <w:ilvl w:val="0"/>
                <w:numId w:val="2"/>
              </w:numPr>
              <w:rPr/>
            </w:pPr>
            <w:r>
              <w:rPr>
                <w:rFonts w:eastAsia="Arial" w:cs="Arial" w:ascii="Arial" w:hAnsi="Arial"/>
              </w:rPr>
              <w:t>Take Ownership and Drive Change</w:t>
            </w:r>
          </w:p>
          <w:p>
            <w:pPr>
              <w:pStyle w:val="ListParagraph"/>
              <w:numPr>
                <w:ilvl w:val="0"/>
                <w:numId w:val="2"/>
              </w:numPr>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Hyper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Cs/>
          <w:sz w:val="22"/>
          <w:szCs w:val="22"/>
          <w:u w:val="single"/>
        </w:rPr>
      </w:pPr>
      <w:r>
        <w:br w:type="page"/>
      </w: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Text"/>
        <w:rPr>
          <w:rFonts w:ascii="Arial" w:hAnsi="Arial" w:cs="Arial"/>
          <w:b/>
          <w:bCs/>
          <w:sz w:val="22"/>
          <w:szCs w:val="22"/>
        </w:rPr>
      </w:pPr>
      <w:r>
        <w:rPr>
          <w:rFonts w:cs="Arial" w:ascii="Arial" w:hAnsi="Arial"/>
          <w:b/>
          <w:bCs/>
          <w:sz w:val="22"/>
          <w:szCs w:val="22"/>
        </w:rPr>
      </w:r>
    </w:p>
    <w:p>
      <w:pPr>
        <w:pStyle w:val="EndnoteText"/>
        <w:rPr>
          <w:rFonts w:ascii="Arial" w:hAnsi="Arial" w:cs="Arial"/>
          <w:b/>
          <w:bCs/>
          <w:sz w:val="22"/>
          <w:szCs w:val="22"/>
        </w:rPr>
      </w:pPr>
      <w:r>
        <w:rPr>
          <w:rFonts w:cs="Arial" w:ascii="Arial" w:hAnsi="Arial"/>
          <w:b/>
          <w:bCs/>
          <w:sz w:val="22"/>
          <w:szCs w:val="22"/>
        </w:rPr>
        <w:t>Job Title: MACPT Education Lead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964"/>
        <w:gridCol w:w="3795"/>
        <w:gridCol w:w="3060"/>
        <w:gridCol w:w="1620"/>
      </w:tblGrid>
      <w:tr>
        <w:trPr>
          <w:trHeight w:val="1000" w:hRule="atLeast"/>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(Desirable)</w:t>
            </w:r>
          </w:p>
          <w:p>
            <w:pPr>
              <w:pStyle w:val="Normal"/>
              <w:jc w:val="center"/>
              <w:rPr>
                <w:rFonts w:cs="Arial"/>
                <w:b/>
                <w:bCs/>
                <w:sz w:val="22"/>
                <w:szCs w:val="22"/>
              </w:rPr>
            </w:pPr>
            <w:r>
              <w:rPr>
                <w:rFonts w:cs="Arial"/>
                <w:b/>
                <w:bCs/>
                <w:sz w:val="22"/>
                <w:szCs w:val="22"/>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How Assessed</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Education &amp; Qualifications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center" w:pos="4513" w:leader="none"/>
                <w:tab w:val="right" w:pos="9026" w:leader="none"/>
              </w:tabs>
              <w:rPr>
                <w:rFonts w:cs="Arial"/>
                <w:szCs w:val="22"/>
              </w:rPr>
            </w:pPr>
            <w:r>
              <w:rPr>
                <w:rFonts w:cs="Arial"/>
                <w:szCs w:val="22"/>
              </w:rPr>
              <w:t>Recent safeguarding training at an appropriate level for the role.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Evidence of continuous professional development in a discipline or area relevant to the role.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NVQ L6 or equivalent relevant compensatory experience.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Specialist safeguarding qualification and/or significant experience in an advisory/governance role within an education organisation or local authority education service.</w:t>
            </w:r>
          </w:p>
        </w:tc>
        <w:tc>
          <w:tcPr>
            <w:tcW w:w="1620" w:type="dxa"/>
            <w:tcBorders>
              <w:top w:val="single" w:sz="4" w:space="0" w:color="000000"/>
              <w:left w:val="single" w:sz="4" w:space="0" w:color="000000"/>
              <w:bottom w:val="single" w:sz="4" w:space="0" w:color="000000"/>
              <w:right w:val="single" w:sz="4" w:space="0" w:color="000000"/>
            </w:tcBorders>
          </w:tcPr>
          <w:p>
            <w:pPr>
              <w:pStyle w:val="EndnoteText"/>
              <w:snapToGrid w:val="false"/>
              <w:jc w:val="center"/>
              <w:rPr>
                <w:rFonts w:ascii="Arial" w:hAnsi="Arial" w:cs="Arial"/>
                <w:sz w:val="22"/>
                <w:szCs w:val="22"/>
              </w:rPr>
            </w:pPr>
            <w:r>
              <w:rPr>
                <w:rFonts w:cs="Arial" w:ascii="Arial" w:hAnsi="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ascii="Arial" w:hAnsi="Arial" w:cs="Arial"/>
                <w:b/>
                <w:bCs/>
                <w:sz w:val="22"/>
                <w:szCs w:val="22"/>
              </w:rPr>
            </w:pPr>
            <w:r>
              <w:rPr>
                <w:rFonts w:cs="Arial"/>
                <w:b/>
                <w:bCs/>
                <w:sz w:val="22"/>
                <w:szCs w:val="22"/>
              </w:rPr>
            </w:r>
          </w:p>
          <w:p>
            <w:pPr>
              <w:pStyle w:val="Normal"/>
              <w:rPr>
                <w:rFonts w:cs="Arial"/>
                <w:b/>
                <w:bCs/>
                <w:sz w:val="22"/>
                <w:szCs w:val="22"/>
              </w:rPr>
            </w:pPr>
            <w:r>
              <w:rPr>
                <w:rFonts w:cs="Arial"/>
                <w:b/>
                <w:bCs/>
                <w:sz w:val="22"/>
                <w:szCs w:val="22"/>
              </w:rPr>
              <w:t>Experience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ListParagraph"/>
              <w:numPr>
                <w:ilvl w:val="0"/>
                <w:numId w:val="2"/>
              </w:numPr>
              <w:spacing w:lineRule="atLeast" w:line="300"/>
              <w:rPr/>
            </w:pPr>
            <w:r>
              <w:rPr>
                <w:rFonts w:cs="Arial" w:ascii="Arial" w:hAnsi="Arial"/>
                <w:lang w:eastAsia="en-GB"/>
              </w:rPr>
              <w:t xml:space="preserve">Experience in an education safeguarding role and/or a senior education role with safeguarding responsibilities. </w:t>
            </w:r>
          </w:p>
          <w:p>
            <w:pPr>
              <w:pStyle w:val="ListParagraph"/>
              <w:numPr>
                <w:ilvl w:val="0"/>
                <w:numId w:val="2"/>
              </w:numPr>
              <w:spacing w:lineRule="atLeast" w:line="300"/>
              <w:rPr/>
            </w:pPr>
            <w:r>
              <w:rPr>
                <w:rFonts w:cs="Arial" w:ascii="Arial" w:hAnsi="Arial"/>
                <w:lang w:eastAsia="en-GB"/>
              </w:rPr>
              <w:t xml:space="preserve">Significant experience of applying safeguarding and child protection legislation, statutory guidance and best practice within education settings. </w:t>
            </w:r>
          </w:p>
          <w:p>
            <w:pPr>
              <w:pStyle w:val="ListParagraph"/>
              <w:numPr>
                <w:ilvl w:val="0"/>
                <w:numId w:val="2"/>
              </w:numPr>
              <w:spacing w:lineRule="atLeast" w:line="300"/>
              <w:rPr/>
            </w:pPr>
            <w:r>
              <w:rPr>
                <w:rFonts w:cs="Arial" w:ascii="Arial" w:hAnsi="Arial"/>
                <w:lang w:eastAsia="en-GB"/>
              </w:rPr>
              <w:t xml:space="preserve">Substantial experience of working with children with a social worker and other vulnerable children and young people, with a proven track record of improving educational engagement, attendance, participation and outcomes. </w:t>
            </w:r>
          </w:p>
          <w:p>
            <w:pPr>
              <w:pStyle w:val="ListParagraph"/>
              <w:numPr>
                <w:ilvl w:val="0"/>
                <w:numId w:val="2"/>
              </w:numPr>
              <w:spacing w:lineRule="atLeast" w:line="300"/>
              <w:rPr/>
            </w:pPr>
            <w:r>
              <w:rPr>
                <w:rFonts w:cs="Arial" w:ascii="Arial" w:hAnsi="Arial"/>
                <w:lang w:eastAsia="en-GB"/>
              </w:rPr>
              <w:t xml:space="preserve">Experience of effective multi-agency working, including collaboration with Children's Social Care, Police, Health and other partners to support risk assessment, safeguarding planning and decision-making. </w:t>
            </w:r>
          </w:p>
          <w:p>
            <w:pPr>
              <w:pStyle w:val="ListParagraph"/>
              <w:numPr>
                <w:ilvl w:val="0"/>
                <w:numId w:val="2"/>
              </w:numPr>
              <w:spacing w:lineRule="atLeast" w:line="300"/>
              <w:rPr/>
            </w:pPr>
            <w:r>
              <w:rPr>
                <w:rFonts w:cs="Arial" w:ascii="Arial" w:hAnsi="Arial"/>
                <w:lang w:eastAsia="en-GB"/>
              </w:rPr>
              <w:t xml:space="preserve">Experience of providing professional advice, support, challenge and consultation to education settings and practitioners to improve safeguarding practice and outcomes. </w:t>
            </w:r>
          </w:p>
          <w:p>
            <w:pPr>
              <w:pStyle w:val="ListParagraph"/>
              <w:numPr>
                <w:ilvl w:val="0"/>
                <w:numId w:val="2"/>
              </w:numPr>
              <w:spacing w:lineRule="atLeast" w:line="300"/>
              <w:rPr/>
            </w:pPr>
            <w:r>
              <w:rPr>
                <w:rFonts w:cs="Arial" w:ascii="Arial" w:hAnsi="Arial"/>
                <w:lang w:eastAsia="en-GB"/>
              </w:rPr>
              <w:t xml:space="preserve">Experience of preparing, analysing and presenting educational information to inform safeguarding processes, including strategy discussions, child protection conferences, core groups and other multi-agency forums. </w:t>
            </w:r>
          </w:p>
          <w:p>
            <w:pPr>
              <w:pStyle w:val="ListParagraph"/>
              <w:numPr>
                <w:ilvl w:val="0"/>
                <w:numId w:val="2"/>
              </w:numPr>
              <w:spacing w:lineRule="atLeast" w:line="300"/>
              <w:rPr/>
            </w:pPr>
            <w:r>
              <w:rPr>
                <w:rFonts w:cs="Arial" w:ascii="Arial" w:hAnsi="Arial"/>
                <w:lang w:eastAsia="en-GB"/>
              </w:rPr>
              <w:t xml:space="preserve">Experience of managing a complex workload and competing priorities effectively. </w:t>
            </w:r>
          </w:p>
          <w:p>
            <w:pPr>
              <w:pStyle w:val="ListParagraph"/>
              <w:numPr>
                <w:ilvl w:val="0"/>
                <w:numId w:val="2"/>
              </w:numPr>
              <w:spacing w:lineRule="atLeast" w:line="300"/>
              <w:rPr/>
            </w:pPr>
            <w:r>
              <w:rPr>
                <w:rFonts w:cs="Arial" w:ascii="Arial" w:hAnsi="Arial"/>
                <w:lang w:eastAsia="en-GB"/>
              </w:rPr>
              <w:t>Experience of developing and delivering training, guidance and support to a range of professional audiences.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Skills &amp; Abilities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ListParagraph"/>
              <w:numPr>
                <w:ilvl w:val="0"/>
                <w:numId w:val="9"/>
              </w:numPr>
              <w:rPr/>
            </w:pPr>
            <w:r>
              <w:rPr>
                <w:rFonts w:cs="Arial" w:ascii="Arial" w:hAnsi="Arial"/>
              </w:rPr>
              <w:t>Excellent written and verbal communication skills, with the ability to produce clear, accurate reports and present complex information to a range of audiences.</w:t>
            </w:r>
          </w:p>
          <w:p>
            <w:pPr>
              <w:pStyle w:val="ListParagraph"/>
              <w:numPr>
                <w:ilvl w:val="0"/>
                <w:numId w:val="9"/>
              </w:numPr>
              <w:rPr/>
            </w:pPr>
            <w:r>
              <w:rPr>
                <w:rFonts w:cs="Arial" w:ascii="Arial" w:hAnsi="Arial"/>
              </w:rPr>
              <w:t>Ability to analyse and interpret complex information, exercise professional judgement, and present findings clearly to support safeguarding decision-making.</w:t>
            </w:r>
          </w:p>
          <w:p>
            <w:pPr>
              <w:pStyle w:val="ListParagraph"/>
              <w:numPr>
                <w:ilvl w:val="0"/>
                <w:numId w:val="9"/>
              </w:numPr>
              <w:rPr/>
            </w:pPr>
            <w:r>
              <w:rPr>
                <w:rFonts w:cs="Arial" w:ascii="Arial" w:hAnsi="Arial"/>
              </w:rPr>
              <w:t>Strong interpersonal, relationship-building and partnership-working skills, including the ability to engage effectively with children and young people, families, education professionals and multi-agency partners.</w:t>
            </w:r>
          </w:p>
          <w:p>
            <w:pPr>
              <w:pStyle w:val="ListParagraph"/>
              <w:numPr>
                <w:ilvl w:val="0"/>
                <w:numId w:val="9"/>
              </w:numPr>
              <w:rPr/>
            </w:pPr>
            <w:r>
              <w:rPr>
                <w:rFonts w:cs="Arial" w:ascii="Arial" w:hAnsi="Arial"/>
              </w:rPr>
              <w:t>Highly developed skills in influencing, negotiation, professional challenge and conflict resolution, delivered sensitively and constructively.</w:t>
            </w:r>
          </w:p>
          <w:p>
            <w:pPr>
              <w:pStyle w:val="ListParagraph"/>
              <w:numPr>
                <w:ilvl w:val="0"/>
                <w:numId w:val="9"/>
              </w:numPr>
              <w:rPr/>
            </w:pPr>
            <w:r>
              <w:rPr>
                <w:rFonts w:cs="Arial" w:ascii="Arial" w:hAnsi="Arial"/>
              </w:rPr>
              <w:t>Ability to plan, organise and prioritise a complex workload, manage competing demands, meet statutory timescales and work effectively under pressure in a fast-paced environment.</w:t>
            </w:r>
          </w:p>
          <w:p>
            <w:pPr>
              <w:pStyle w:val="ListParagraph"/>
              <w:numPr>
                <w:ilvl w:val="0"/>
                <w:numId w:val="9"/>
              </w:numPr>
              <w:rPr/>
            </w:pPr>
            <w:r>
              <w:rPr>
                <w:rFonts w:cs="Arial" w:ascii="Arial" w:hAnsi="Arial"/>
              </w:rPr>
              <w:t>Demonstrable resilience, adaptability and sound decision-making when managing complex safeguarding issues.</w:t>
            </w:r>
          </w:p>
          <w:p>
            <w:pPr>
              <w:pStyle w:val="ListParagraph"/>
              <w:numPr>
                <w:ilvl w:val="0"/>
                <w:numId w:val="9"/>
              </w:numPr>
              <w:rPr/>
            </w:pPr>
            <w:r>
              <w:rPr>
                <w:rFonts w:cs="Arial" w:ascii="Arial" w:hAnsi="Arial"/>
              </w:rPr>
              <w:t>Ability to work independently and collaboratively as part of a multi-disciplinary team.</w:t>
            </w:r>
          </w:p>
          <w:p>
            <w:pPr>
              <w:pStyle w:val="ListParagraph"/>
              <w:numPr>
                <w:ilvl w:val="0"/>
                <w:numId w:val="9"/>
              </w:numPr>
              <w:rPr/>
            </w:pPr>
            <w:r>
              <w:rPr>
                <w:rFonts w:cs="Arial" w:ascii="Arial" w:hAnsi="Arial"/>
              </w:rPr>
              <w:t>Competence in the use of IT systems, education and safeguarding databases, and the secure recording, analysis and sharing of information.</w:t>
            </w:r>
          </w:p>
          <w:p>
            <w:pPr>
              <w:pStyle w:val="ListParagraph"/>
              <w:numPr>
                <w:ilvl w:val="0"/>
                <w:numId w:val="9"/>
              </w:numPr>
              <w:spacing w:before="0" w:after="200"/>
              <w:contextualSpacing/>
              <w:rPr>
                <w:rFonts w:ascii="Arial" w:hAnsi="Arial" w:cs="Arial"/>
              </w:rPr>
            </w:pPr>
            <w:r>
              <w:rPr>
                <w:rFonts w:cs="Arial" w:ascii="Arial" w:hAnsi="Arial"/>
              </w:rPr>
              <w:t>Ability to monitor, evaluate and reflect on practice, using evidence and analysis to support continuous improvement and service development.</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Knowledge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ListParagraph"/>
              <w:numPr>
                <w:ilvl w:val="0"/>
                <w:numId w:val="4"/>
              </w:numPr>
              <w:rPr/>
            </w:pPr>
            <w:r>
              <w:rPr>
                <w:rFonts w:cs="Arial" w:ascii="Arial" w:hAnsi="Arial"/>
                <w:lang w:val="en-US"/>
              </w:rPr>
              <w:t>In-depth knowledge of education safeguarding legislation, statutory guidance and multi-agency child protection processes, including Keeping Children Safe in Education and Working Together to Safeguard Children, and their practical application within education settings.</w:t>
            </w:r>
          </w:p>
          <w:p>
            <w:pPr>
              <w:pStyle w:val="ListParagraph"/>
              <w:numPr>
                <w:ilvl w:val="0"/>
                <w:numId w:val="4"/>
              </w:numPr>
              <w:rPr/>
            </w:pPr>
            <w:r>
              <w:rPr>
                <w:rFonts w:cs="Arial" w:ascii="Arial" w:hAnsi="Arial"/>
                <w:lang w:val="en-US"/>
              </w:rPr>
              <w:t>Extensive knowledge of education systems, pathways and provision, including mainstream, specialist, alternative provision, elective home education, attendance processes, exclusion, inclusion, SEND and post-16 participation.</w:t>
            </w:r>
          </w:p>
          <w:p>
            <w:pPr>
              <w:pStyle w:val="ListParagraph"/>
              <w:numPr>
                <w:ilvl w:val="0"/>
                <w:numId w:val="4"/>
              </w:numPr>
              <w:rPr/>
            </w:pPr>
            <w:r>
              <w:rPr>
                <w:rFonts w:cs="Arial" w:ascii="Arial" w:hAnsi="Arial"/>
                <w:lang w:val="en-US"/>
              </w:rPr>
              <w:t>Strong understanding of the educational, developmental and safeguarding needs of children with a social worker and other vulnerable learners across all phases of education.</w:t>
            </w:r>
          </w:p>
          <w:p>
            <w:pPr>
              <w:pStyle w:val="ListParagraph"/>
              <w:numPr>
                <w:ilvl w:val="0"/>
                <w:numId w:val="4"/>
              </w:numPr>
              <w:rPr/>
            </w:pPr>
            <w:r>
              <w:rPr>
                <w:rFonts w:cs="Arial" w:ascii="Arial" w:hAnsi="Arial"/>
                <w:lang w:val="en-US"/>
              </w:rPr>
              <w:t>Knowledge of the factors affecting attendance, attainment, engagement and educational stability, and the barriers that can impact vulnerable children and young people's outcomes.</w:t>
            </w:r>
          </w:p>
          <w:p>
            <w:pPr>
              <w:pStyle w:val="ListParagraph"/>
              <w:numPr>
                <w:ilvl w:val="0"/>
                <w:numId w:val="4"/>
              </w:numPr>
              <w:rPr/>
            </w:pPr>
            <w:r>
              <w:rPr>
                <w:rFonts w:cs="Arial" w:ascii="Arial" w:hAnsi="Arial"/>
                <w:lang w:val="en-US"/>
              </w:rPr>
              <w:t>Sound knowledge of the roles, responsibilities and current practice within Education, Early Help, Children's Social Care and wider safeguarding partnerships.</w:t>
            </w:r>
          </w:p>
          <w:p>
            <w:pPr>
              <w:pStyle w:val="ListParagraph"/>
              <w:numPr>
                <w:ilvl w:val="0"/>
                <w:numId w:val="4"/>
              </w:numPr>
              <w:spacing w:before="0" w:after="200"/>
              <w:contextualSpacing/>
              <w:rPr>
                <w:rFonts w:ascii="Arial" w:hAnsi="Arial" w:cs="Arial"/>
                <w:lang w:val="en-US"/>
              </w:rPr>
            </w:pPr>
            <w:r>
              <w:rPr>
                <w:rFonts w:cs="Arial" w:ascii="Arial" w:hAnsi="Arial"/>
                <w:lang w:val="en-US"/>
              </w:rPr>
              <w:t>Knowledge of evidence-based strategies, initiatives, policies and legislation that support improved educational engagement, access, achievement and holistic outcomes for children with a social worker and other vulnerable learners.</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Understanding of national and local wider strategic priorities and how this links to the role.</w:t>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Work Circumstances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overflowPunct w:val="true"/>
              <w:snapToGrid w:val="false"/>
              <w:textAlignment w:val="baseline"/>
              <w:rPr>
                <w:rFonts w:cs="Arial"/>
                <w:b/>
                <w:bCs/>
                <w:sz w:val="22"/>
                <w:szCs w:val="22"/>
              </w:rPr>
            </w:pPr>
            <w:r>
              <w:rPr>
                <w:rFonts w:cs="Arial"/>
                <w:b/>
                <w:bCs/>
                <w:sz w:val="22"/>
                <w:szCs w:val="22"/>
              </w:rPr>
            </w:r>
          </w:p>
          <w:p>
            <w:pPr>
              <w:pStyle w:val="Normal"/>
              <w:spacing w:lineRule="auto" w:line="276"/>
              <w:rPr>
                <w:rFonts w:cs="Arial"/>
                <w:sz w:val="22"/>
                <w:szCs w:val="22"/>
              </w:rPr>
            </w:pPr>
            <w:r>
              <w:rPr>
                <w:rFonts w:cs="Arial"/>
                <w:sz w:val="22"/>
                <w:szCs w:val="22"/>
              </w:rPr>
              <w:t>Able to travel to different sites across the Borough</w:t>
            </w:r>
          </w:p>
          <w:p>
            <w:pPr>
              <w:pStyle w:val="Normal"/>
              <w:spacing w:lineRule="auto" w:line="276"/>
              <w:rPr>
                <w:rFonts w:cs="Arial"/>
                <w:sz w:val="22"/>
                <w:szCs w:val="22"/>
              </w:rPr>
            </w:pPr>
            <w:r>
              <w:rPr>
                <w:rFonts w:cs="Arial"/>
                <w:sz w:val="22"/>
                <w:szCs w:val="22"/>
              </w:rPr>
            </w:r>
          </w:p>
          <w:p>
            <w:pPr>
              <w:pStyle w:val="Normal"/>
              <w:spacing w:lineRule="auto" w:line="276"/>
              <w:rPr>
                <w:rFonts w:cs="Arial"/>
                <w:sz w:val="22"/>
                <w:szCs w:val="22"/>
              </w:rPr>
            </w:pPr>
            <w:r>
              <w:rPr>
                <w:rFonts w:cs="Arial"/>
                <w:sz w:val="22"/>
                <w:szCs w:val="22"/>
              </w:rPr>
              <w:t>Able to work flexibly to meet the needs of the service, including ability to work outside of normal office hours on occasions.</w:t>
            </w:r>
          </w:p>
          <w:p>
            <w:pPr>
              <w:pStyle w:val="Normal"/>
              <w:spacing w:lineRule="auto" w:line="276"/>
              <w:rPr>
                <w:rFonts w:cs="Arial"/>
                <w:sz w:val="22"/>
                <w:szCs w:val="22"/>
              </w:rPr>
            </w:pPr>
            <w:r>
              <w:rPr>
                <w:rFonts w:cs="Arial"/>
                <w:sz w:val="22"/>
                <w:szCs w:val="22"/>
              </w:rPr>
            </w:r>
          </w:p>
          <w:p>
            <w:pPr>
              <w:pStyle w:val="Normal"/>
              <w:spacing w:lineRule="auto" w:line="276"/>
              <w:rPr>
                <w:rFonts w:cs="Arial"/>
                <w:sz w:val="22"/>
                <w:szCs w:val="22"/>
              </w:rPr>
            </w:pPr>
            <w:r>
              <w:rPr>
                <w:rFonts w:cs="Arial"/>
                <w:sz w:val="22"/>
                <w:szCs w:val="22"/>
              </w:rPr>
              <w:t>Commitment to personal and professional development</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jc w:val="center"/>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those who have previously been in or currently in care, those that are carers, and those who have served in the Armed Forces as a regular, reserve or cadet.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sectPr>
      <w:headerReference w:type="default" r:id="rId2"/>
      <w:headerReference w:type="first" r:id="rId3"/>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Arial MT">
    <w:charset w:val="00"/>
    <w:family w:val="swiss"/>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b/>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3">
    <w:name w:val="Heading 3"/>
    <w:basedOn w:val="Normal"/>
    <w:next w:val="Normal"/>
    <w:qFormat/>
    <w:pPr>
      <w:keepNext w:val="true"/>
      <w:keepLines/>
      <w:numPr>
        <w:ilvl w:val="2"/>
        <w:numId w:val="1"/>
      </w:numPr>
      <w:spacing w:before="160" w:after="80"/>
      <w:outlineLvl w:val="2"/>
    </w:pPr>
    <w:rPr>
      <w:rFonts w:eastAsia="游明朝" w:cs="游ゴシック Light"/>
      <w:color w:val="2F5496"/>
      <w:sz w:val="28"/>
      <w:szCs w:val="2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b/>
    </w:rPr>
  </w:style>
  <w:style w:type="character" w:styleId="WW8Num2z2">
    <w:name w:val="WW8Num2z2"/>
    <w:qFormat/>
    <w:rPr>
      <w:rFonts w:ascii="Wingdings" w:hAnsi="Wingdings" w:cs="Wingdings"/>
    </w:rPr>
  </w:style>
  <w:style w:type="character" w:styleId="WW8Num2z4">
    <w:name w:val="WW8Num2z4"/>
    <w:qFormat/>
    <w:rPr>
      <w:rFonts w:ascii="Courier New" w:hAnsi="Courier New" w:cs="Courier New"/>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FooterChar">
    <w:name w:val="Footer Char"/>
    <w:basedOn w:val="DefaultParagraphFont"/>
    <w:qFormat/>
    <w:rPr>
      <w:rFonts w:ascii="Arial" w:hAnsi="Arial" w:cs="Arial"/>
      <w:sz w:val="24"/>
      <w:szCs w:val="24"/>
      <w:lang w:eastAsia="en-US"/>
    </w:rPr>
  </w:style>
  <w:style w:type="character" w:styleId="annotationreference">
    <w:name w:val="annotation reference"/>
    <w:basedOn w:val="DefaultParagraphFont"/>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Paragraph">
    <w:name w:val="Table Paragraph"/>
    <w:basedOn w:val="Normal"/>
    <w:qFormat/>
    <w:pPr>
      <w:widowControl w:val="false"/>
    </w:pPr>
    <w:rPr>
      <w:rFonts w:ascii="Arial MT" w:hAnsi="Arial MT" w:eastAsia="Arial MT" w:cs="Arial MT"/>
      <w:sz w:val="22"/>
      <w:szCs w:val="22"/>
      <w:lang w:val="en-US"/>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Footer">
    <w:name w:val="Footer"/>
    <w:basedOn w:val="Normal"/>
    <w:pPr>
      <w:tabs>
        <w:tab w:val="clear" w:pos="720"/>
        <w:tab w:val="center" w:pos="4680" w:leader="none"/>
        <w:tab w:val="right" w:pos="9360"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