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Fonts w:cs="Century Gothic" w:ascii="Century Gothic" w:hAnsi="Century Gothic"/>
          <w:b/>
          <w:sz w:val="22"/>
          <w:szCs w:val="22"/>
        </w:rPr>
        <w:t>JOB TITLE</w:t>
      </w:r>
      <w:r>
        <w:rPr>
          <w:rFonts w:cs="Century Gothic" w:ascii="Century Gothic" w:hAnsi="Century Gothic"/>
          <w:sz w:val="22"/>
          <w:szCs w:val="22"/>
        </w:rPr>
        <w:t>:</w:t>
        <w:tab/>
        <w:tab/>
        <w:tab/>
        <w:t>Class Teacher and SENCO</w:t>
      </w:r>
    </w:p>
    <w:p>
      <w:pPr>
        <w:pStyle w:val="Normal"/>
        <w:rPr>
          <w:rFonts w:ascii="Century Gothic" w:hAnsi="Century Gothic" w:cs="Century Gothic"/>
          <w:i/>
          <w:i/>
          <w:sz w:val="22"/>
          <w:szCs w:val="22"/>
        </w:rPr>
      </w:pPr>
      <w:r>
        <w:rPr>
          <w:rFonts w:cs="Century Gothic" w:ascii="Century Gothic" w:hAnsi="Century Gothic"/>
          <w:i/>
          <w:sz w:val="22"/>
          <w:szCs w:val="22"/>
        </w:rPr>
      </w:r>
    </w:p>
    <w:p>
      <w:pPr>
        <w:pStyle w:val="Normal"/>
        <w:rPr/>
      </w:pPr>
      <w:r>
        <w:rPr>
          <w:rFonts w:cs="Century Gothic" w:ascii="Century Gothic" w:hAnsi="Century Gothic"/>
          <w:b/>
          <w:sz w:val="22"/>
          <w:szCs w:val="22"/>
        </w:rPr>
        <w:t>SCALE:</w:t>
      </w:r>
      <w:r>
        <w:rPr>
          <w:rFonts w:cs="Century Gothic" w:ascii="Century Gothic" w:hAnsi="Century Gothic"/>
          <w:sz w:val="22"/>
          <w:szCs w:val="22"/>
        </w:rPr>
        <w:tab/>
        <w:tab/>
        <w:tab/>
        <w:t xml:space="preserve">Teachers’ Pay Scale + TLR 2 </w:t>
      </w:r>
    </w:p>
    <w:p>
      <w:pPr>
        <w:pStyle w:val="Normal"/>
        <w:ind w:left="2880" w:right="0"/>
        <w:rPr>
          <w:rFonts w:ascii="Century Gothic" w:hAnsi="Century Gothic" w:cs="Century Gothic"/>
          <w:sz w:val="22"/>
          <w:szCs w:val="22"/>
        </w:rPr>
      </w:pPr>
      <w:r>
        <w:rPr>
          <w:rFonts w:cs="Century Gothic" w:ascii="Century Gothic" w:hAnsi="Century Gothic"/>
          <w:sz w:val="22"/>
          <w:szCs w:val="22"/>
        </w:rPr>
        <w:tab/>
        <w:tab/>
        <w:tab/>
      </w:r>
    </w:p>
    <w:p>
      <w:pPr>
        <w:pStyle w:val="Normal"/>
        <w:ind w:hanging="2880" w:left="2880" w:right="0"/>
        <w:rPr/>
      </w:pPr>
      <w:r>
        <w:rPr>
          <w:rFonts w:cs="Century Gothic" w:ascii="Century Gothic" w:hAnsi="Century Gothic"/>
          <w:b/>
          <w:sz w:val="22"/>
          <w:szCs w:val="22"/>
        </w:rPr>
        <w:t>PURPOSE OF POST:</w:t>
      </w:r>
      <w:r>
        <w:rPr>
          <w:rFonts w:cs="Century Gothic" w:ascii="Century Gothic" w:hAnsi="Century Gothic"/>
          <w:sz w:val="22"/>
          <w:szCs w:val="22"/>
        </w:rPr>
        <w:tab/>
        <w:t>Under direction of the Headteacher, carry out the professional duties of a schoolteacher as set out in the current School Teachers’ Pay and Conditions Document.</w:t>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tab/>
        <w:t>Teach in accordance with the ethos, organisation, and policies of the school as a fully committed member of the teaching team and as detailed in the specific duties below.</w:t>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tab/>
        <w:t>Determine the strategic development of special educational needs (SEN) policy and provision in the school.</w:t>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tab/>
        <w:t>Be responsible for day-to-day operation of the SEN policy and co-ordination of specific provision to support individual pupils with SEN or a disability.</w:t>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tab/>
        <w:t>Provide professional guidance to colleagues, working closely with staff, parents and other agencies</w:t>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p>
    <w:p>
      <w:pPr>
        <w:pStyle w:val="Normal"/>
        <w:ind w:hanging="2880" w:left="2880" w:right="0"/>
        <w:rPr>
          <w:rFonts w:ascii="Century Gothic" w:hAnsi="Century Gothic" w:cs="Century Gothic"/>
          <w:b/>
          <w:bCs/>
          <w:sz w:val="22"/>
          <w:szCs w:val="22"/>
        </w:rPr>
      </w:pPr>
      <w:r>
        <w:rPr>
          <w:rFonts w:cs="Century Gothic" w:ascii="Century Gothic" w:hAnsi="Century Gothic"/>
          <w:b/>
          <w:bCs/>
          <w:sz w:val="22"/>
          <w:szCs w:val="22"/>
        </w:rPr>
      </w:r>
    </w:p>
    <w:p>
      <w:pPr>
        <w:pStyle w:val="Normal"/>
        <w:rPr/>
      </w:pPr>
      <w:r>
        <w:rPr>
          <w:rFonts w:cs="Century Gothic" w:ascii="Century Gothic" w:hAnsi="Century Gothic"/>
          <w:b/>
          <w:bCs/>
          <w:sz w:val="22"/>
          <w:szCs w:val="22"/>
        </w:rPr>
        <w:t>LIAISING WITH:</w:t>
        <w:tab/>
        <w:tab/>
      </w:r>
      <w:r>
        <w:rPr>
          <w:rFonts w:cs="Century Gothic" w:ascii="Century Gothic" w:hAnsi="Century Gothic"/>
          <w:sz w:val="22"/>
          <w:szCs w:val="22"/>
        </w:rPr>
        <w:t>Executive Headteacher and Head of School</w:t>
      </w:r>
    </w:p>
    <w:p>
      <w:pPr>
        <w:pStyle w:val="Normal"/>
        <w:rPr>
          <w:rFonts w:ascii="Century Gothic" w:hAnsi="Century Gothic" w:cs="Century Gothic"/>
          <w:sz w:val="22"/>
          <w:szCs w:val="22"/>
        </w:rPr>
      </w:pPr>
      <w:r>
        <w:rPr>
          <w:rFonts w:cs="Century Gothic" w:ascii="Century Gothic" w:hAnsi="Century Gothic"/>
          <w:sz w:val="22"/>
          <w:szCs w:val="22"/>
        </w:rPr>
        <w:tab/>
        <w:tab/>
        <w:tab/>
        <w:tab/>
        <w:t>Teachers</w:t>
      </w:r>
    </w:p>
    <w:p>
      <w:pPr>
        <w:pStyle w:val="Normal"/>
        <w:rPr>
          <w:rFonts w:ascii="Century Gothic" w:hAnsi="Century Gothic" w:cs="Century Gothic"/>
          <w:sz w:val="22"/>
          <w:szCs w:val="22"/>
        </w:rPr>
      </w:pPr>
      <w:r>
        <w:rPr>
          <w:rFonts w:cs="Century Gothic" w:ascii="Century Gothic" w:hAnsi="Century Gothic"/>
          <w:sz w:val="22"/>
          <w:szCs w:val="22"/>
        </w:rPr>
        <w:tab/>
        <w:tab/>
        <w:tab/>
        <w:tab/>
        <w:t>Support Staff</w:t>
      </w:r>
    </w:p>
    <w:p>
      <w:pPr>
        <w:pStyle w:val="Normal"/>
        <w:rPr>
          <w:rFonts w:ascii="Century Gothic" w:hAnsi="Century Gothic" w:cs="Century Gothic"/>
          <w:sz w:val="22"/>
          <w:szCs w:val="22"/>
        </w:rPr>
      </w:pPr>
      <w:r>
        <w:rPr>
          <w:rFonts w:cs="Century Gothic" w:ascii="Century Gothic" w:hAnsi="Century Gothic"/>
          <w:sz w:val="22"/>
          <w:szCs w:val="22"/>
        </w:rPr>
        <w:tab/>
        <w:tab/>
        <w:tab/>
        <w:tab/>
        <w:t>Parents</w:t>
      </w:r>
    </w:p>
    <w:p>
      <w:pPr>
        <w:pStyle w:val="Normal"/>
        <w:rPr>
          <w:rFonts w:ascii="Century Gothic" w:hAnsi="Century Gothic" w:cs="Century Gothic"/>
          <w:sz w:val="22"/>
          <w:szCs w:val="22"/>
        </w:rPr>
      </w:pPr>
      <w:r>
        <w:rPr>
          <w:rFonts w:cs="Century Gothic" w:ascii="Century Gothic" w:hAnsi="Century Gothic"/>
          <w:sz w:val="22"/>
          <w:szCs w:val="22"/>
        </w:rPr>
        <w:tab/>
        <w:tab/>
        <w:tab/>
        <w:tab/>
        <w:t>LEA representatives</w:t>
      </w:r>
    </w:p>
    <w:p>
      <w:pPr>
        <w:pStyle w:val="Normal"/>
        <w:rPr>
          <w:rFonts w:ascii="Century Gothic" w:hAnsi="Century Gothic" w:cs="Century Gothic"/>
          <w:sz w:val="22"/>
          <w:szCs w:val="22"/>
        </w:rPr>
      </w:pPr>
      <w:r>
        <w:rPr>
          <w:rFonts w:cs="Century Gothic" w:ascii="Century Gothic" w:hAnsi="Century Gothic"/>
          <w:sz w:val="22"/>
          <w:szCs w:val="22"/>
        </w:rPr>
        <w:tab/>
        <w:tab/>
        <w:tab/>
        <w:tab/>
        <w:t>External agencies</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Strategic Development of SEN Policy and Provision</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numPr>
          <w:ilvl w:val="0"/>
          <w:numId w:val="2"/>
        </w:numPr>
        <w:rPr/>
      </w:pPr>
      <w:r>
        <w:rPr>
          <w:rFonts w:cs="Century Gothic" w:ascii="Century Gothic" w:hAnsi="Century Gothic"/>
          <w:sz w:val="22"/>
          <w:szCs w:val="22"/>
        </w:rPr>
        <w:t>Have a strategic overview of provision for pupils with SEN or a disability across the school, monitoring and reviewing the quality of provision.</w:t>
      </w:r>
    </w:p>
    <w:p>
      <w:pPr>
        <w:pStyle w:val="Normal"/>
        <w:numPr>
          <w:ilvl w:val="0"/>
          <w:numId w:val="2"/>
        </w:numPr>
        <w:rPr/>
      </w:pPr>
      <w:r>
        <w:rPr>
          <w:rFonts w:cs="Century Gothic" w:ascii="Century Gothic" w:hAnsi="Century Gothic"/>
          <w:sz w:val="22"/>
          <w:szCs w:val="22"/>
        </w:rPr>
        <w:t>Contribute to the school self-evaluation, particularly with respect to provision for pupils with SEN or a disability</w:t>
      </w:r>
    </w:p>
    <w:p>
      <w:pPr>
        <w:pStyle w:val="Normal"/>
        <w:numPr>
          <w:ilvl w:val="0"/>
          <w:numId w:val="2"/>
        </w:numPr>
        <w:rPr/>
      </w:pPr>
      <w:r>
        <w:rPr>
          <w:rFonts w:cs="Century Gothic" w:ascii="Century Gothic" w:hAnsi="Century Gothic"/>
          <w:sz w:val="22"/>
          <w:szCs w:val="22"/>
        </w:rPr>
        <w:t>Make sure the SEN policy is put into practice and its objectives are reflected in the school improvement plan (SIP)</w:t>
      </w:r>
    </w:p>
    <w:p>
      <w:pPr>
        <w:pStyle w:val="Normal"/>
        <w:numPr>
          <w:ilvl w:val="0"/>
          <w:numId w:val="2"/>
        </w:numPr>
        <w:rPr/>
      </w:pPr>
      <w:r>
        <w:rPr>
          <w:rFonts w:cs="Century Gothic" w:ascii="Century Gothic" w:hAnsi="Century Gothic"/>
          <w:sz w:val="22"/>
          <w:szCs w:val="22"/>
        </w:rPr>
        <w:t>Maintain up-to-date knowledge of national and local initiatives that may affect the school’s policy and practice</w:t>
      </w:r>
    </w:p>
    <w:p>
      <w:pPr>
        <w:pStyle w:val="Normal"/>
        <w:numPr>
          <w:ilvl w:val="0"/>
          <w:numId w:val="2"/>
        </w:numPr>
        <w:rPr/>
      </w:pPr>
      <w:r>
        <w:rPr>
          <w:rFonts w:cs="Century Gothic" w:ascii="Century Gothic" w:hAnsi="Century Gothic"/>
          <w:sz w:val="22"/>
          <w:szCs w:val="22"/>
        </w:rPr>
        <w:t>Evaluate whether funding is being used effectively and suggest changes to make use of funding more effective.</w:t>
      </w:r>
    </w:p>
    <w:p>
      <w:pPr>
        <w:pStyle w:val="Normal"/>
        <w:ind w:left="720" w:right="0"/>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Operation of the SEN policy and co-ordination of provision</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numPr>
          <w:ilvl w:val="0"/>
          <w:numId w:val="2"/>
        </w:numPr>
        <w:rPr/>
      </w:pPr>
      <w:r>
        <w:rPr>
          <w:rFonts w:cs="Century Gothic" w:ascii="Century Gothic" w:hAnsi="Century Gothic"/>
          <w:sz w:val="22"/>
          <w:szCs w:val="22"/>
        </w:rPr>
        <w:t>Maintain an accurate SEN register and provision map</w:t>
      </w:r>
    </w:p>
    <w:p>
      <w:pPr>
        <w:pStyle w:val="Normal"/>
        <w:numPr>
          <w:ilvl w:val="0"/>
          <w:numId w:val="2"/>
        </w:numPr>
        <w:rPr/>
      </w:pPr>
      <w:r>
        <w:rPr>
          <w:rFonts w:cs="Century Gothic" w:ascii="Century Gothic" w:hAnsi="Century Gothic"/>
          <w:sz w:val="22"/>
          <w:szCs w:val="22"/>
        </w:rPr>
        <w:t>Provide guidance to colleagues on teaching pupils with SEN or a disability, and advise on the graduated approach to SEN support</w:t>
      </w:r>
    </w:p>
    <w:p>
      <w:pPr>
        <w:pStyle w:val="Normal"/>
        <w:numPr>
          <w:ilvl w:val="0"/>
          <w:numId w:val="2"/>
        </w:numPr>
        <w:rPr/>
      </w:pPr>
      <w:r>
        <w:rPr>
          <w:rFonts w:cs="Century Gothic" w:ascii="Century Gothic" w:hAnsi="Century Gothic"/>
          <w:sz w:val="22"/>
          <w:szCs w:val="22"/>
        </w:rPr>
        <w:t>Advise on the use of the school’s budget and other resources to meet pupils’ needs effectively, including staff deployment.</w:t>
      </w:r>
    </w:p>
    <w:p>
      <w:pPr>
        <w:pStyle w:val="Normal"/>
        <w:numPr>
          <w:ilvl w:val="0"/>
          <w:numId w:val="2"/>
        </w:numPr>
        <w:rPr/>
      </w:pPr>
      <w:r>
        <w:rPr>
          <w:rFonts w:cs="Century Gothic" w:ascii="Century Gothic" w:hAnsi="Century Gothic"/>
          <w:sz w:val="22"/>
          <w:szCs w:val="22"/>
        </w:rPr>
        <w:t>Be aware of the provision in the local offer.</w:t>
      </w:r>
    </w:p>
    <w:p>
      <w:pPr>
        <w:pStyle w:val="Normal"/>
        <w:numPr>
          <w:ilvl w:val="0"/>
          <w:numId w:val="2"/>
        </w:numPr>
        <w:rPr/>
      </w:pPr>
      <w:r>
        <w:rPr>
          <w:rFonts w:cs="Century Gothic" w:ascii="Century Gothic" w:hAnsi="Century Gothic"/>
          <w:sz w:val="22"/>
          <w:szCs w:val="22"/>
        </w:rPr>
        <w:t>Work with early years providers, other schools, educational psychologists, health and social care professionals, and other external agencies</w:t>
      </w:r>
    </w:p>
    <w:p>
      <w:pPr>
        <w:pStyle w:val="Normal"/>
        <w:numPr>
          <w:ilvl w:val="0"/>
          <w:numId w:val="2"/>
        </w:numPr>
        <w:rPr/>
      </w:pPr>
      <w:r>
        <w:rPr>
          <w:rFonts w:cs="Century Gothic" w:ascii="Century Gothic" w:hAnsi="Century Gothic"/>
          <w:sz w:val="22"/>
          <w:szCs w:val="22"/>
        </w:rPr>
        <w:t>Be a key point of contact for external agencies, especially the local authority (LA)</w:t>
      </w:r>
    </w:p>
    <w:p>
      <w:pPr>
        <w:pStyle w:val="Normal"/>
        <w:numPr>
          <w:ilvl w:val="0"/>
          <w:numId w:val="2"/>
        </w:numPr>
        <w:rPr/>
      </w:pPr>
      <w:r>
        <w:rPr>
          <w:rFonts w:cs="Century Gothic" w:ascii="Century Gothic" w:hAnsi="Century Gothic"/>
          <w:sz w:val="22"/>
          <w:szCs w:val="22"/>
        </w:rPr>
        <w:t>Analyse assessment data for pupils with SEN or a disability</w:t>
      </w:r>
    </w:p>
    <w:p>
      <w:pPr>
        <w:pStyle w:val="Normal"/>
        <w:numPr>
          <w:ilvl w:val="0"/>
          <w:numId w:val="2"/>
        </w:numPr>
        <w:rPr/>
      </w:pPr>
      <w:r>
        <w:rPr>
          <w:rFonts w:cs="Century Gothic" w:ascii="Century Gothic" w:hAnsi="Century Gothic"/>
          <w:sz w:val="22"/>
          <w:szCs w:val="22"/>
        </w:rPr>
        <w:t>Implement and lead intervention groups for pupils with SEN, and evaluate their effectiveness</w:t>
      </w:r>
    </w:p>
    <w:p>
      <w:pPr>
        <w:pStyle w:val="Normal"/>
        <w:numPr>
          <w:ilvl w:val="0"/>
          <w:numId w:val="2"/>
        </w:numPr>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Support for pupils with SEN or a Disability</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numPr>
          <w:ilvl w:val="0"/>
          <w:numId w:val="2"/>
        </w:numPr>
        <w:rPr/>
      </w:pPr>
      <w:r>
        <w:rPr>
          <w:rFonts w:cs="Century Gothic" w:ascii="Century Gothic" w:hAnsi="Century Gothic"/>
          <w:sz w:val="22"/>
          <w:szCs w:val="22"/>
        </w:rPr>
        <w:t>Identify a pupil’s SEN</w:t>
      </w:r>
    </w:p>
    <w:p>
      <w:pPr>
        <w:pStyle w:val="Normal"/>
        <w:numPr>
          <w:ilvl w:val="0"/>
          <w:numId w:val="2"/>
        </w:numPr>
        <w:rPr/>
      </w:pPr>
      <w:r>
        <w:rPr>
          <w:rFonts w:cs="Century Gothic" w:ascii="Century Gothic" w:hAnsi="Century Gothic"/>
          <w:sz w:val="22"/>
          <w:szCs w:val="22"/>
        </w:rPr>
        <w:t>Co-ordinate provision that meets the pupil’s needs, and monitor its effectiveness</w:t>
      </w:r>
    </w:p>
    <w:p>
      <w:pPr>
        <w:pStyle w:val="Normal"/>
        <w:numPr>
          <w:ilvl w:val="0"/>
          <w:numId w:val="2"/>
        </w:numPr>
        <w:rPr/>
      </w:pPr>
      <w:r>
        <w:rPr>
          <w:rFonts w:cs="Century Gothic" w:ascii="Century Gothic" w:hAnsi="Century Gothic"/>
          <w:sz w:val="22"/>
          <w:szCs w:val="22"/>
        </w:rPr>
        <w:t>Secure relevant services for the pupil</w:t>
      </w:r>
    </w:p>
    <w:p>
      <w:pPr>
        <w:pStyle w:val="Normal"/>
        <w:numPr>
          <w:ilvl w:val="0"/>
          <w:numId w:val="2"/>
        </w:numPr>
        <w:rPr/>
      </w:pPr>
      <w:r>
        <w:rPr>
          <w:rFonts w:cs="Century Gothic" w:ascii="Century Gothic" w:hAnsi="Century Gothic"/>
          <w:sz w:val="22"/>
          <w:szCs w:val="22"/>
        </w:rPr>
        <w:t>Ensure records are maintained and kept up to date</w:t>
      </w:r>
    </w:p>
    <w:p>
      <w:pPr>
        <w:pStyle w:val="Normal"/>
        <w:numPr>
          <w:ilvl w:val="0"/>
          <w:numId w:val="2"/>
        </w:numPr>
        <w:rPr/>
      </w:pPr>
      <w:r>
        <w:rPr>
          <w:rFonts w:cs="Century Gothic" w:ascii="Century Gothic" w:hAnsi="Century Gothic"/>
          <w:sz w:val="22"/>
          <w:szCs w:val="22"/>
        </w:rPr>
        <w:t>Review the education, health, and care plan (EHCP) with parents or carers and the pupil.</w:t>
      </w:r>
    </w:p>
    <w:p>
      <w:pPr>
        <w:pStyle w:val="Normal"/>
        <w:numPr>
          <w:ilvl w:val="0"/>
          <w:numId w:val="2"/>
        </w:numPr>
        <w:rPr/>
      </w:pPr>
      <w:r>
        <w:rPr>
          <w:rFonts w:cs="Century Gothic" w:ascii="Century Gothic" w:hAnsi="Century Gothic"/>
          <w:sz w:val="22"/>
          <w:szCs w:val="22"/>
        </w:rPr>
        <w:t>Ensure the pupil’s inclusion in the school community and access to the curriculum, facilities, and extra-curricular activities</w:t>
      </w:r>
    </w:p>
    <w:p>
      <w:pPr>
        <w:pStyle w:val="Normal"/>
        <w:numPr>
          <w:ilvl w:val="0"/>
          <w:numId w:val="2"/>
        </w:numPr>
        <w:rPr/>
      </w:pPr>
      <w:r>
        <w:rPr>
          <w:rFonts w:cs="Century Gothic" w:ascii="Century Gothic" w:hAnsi="Century Gothic"/>
          <w:sz w:val="22"/>
          <w:szCs w:val="22"/>
        </w:rPr>
        <w:t>Work with the designated teacher for looked after children, where a looked-after pupil has SEN or a disability</w:t>
      </w:r>
    </w:p>
    <w:p>
      <w:pPr>
        <w:pStyle w:val="Normal"/>
        <w:numPr>
          <w:ilvl w:val="0"/>
          <w:numId w:val="2"/>
        </w:numPr>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Leadership and Management</w:t>
      </w:r>
    </w:p>
    <w:p>
      <w:pPr>
        <w:pStyle w:val="Normal"/>
        <w:numPr>
          <w:ilvl w:val="0"/>
          <w:numId w:val="2"/>
        </w:numPr>
        <w:rPr/>
      </w:pPr>
      <w:r>
        <w:rPr>
          <w:rFonts w:cs="Century Gothic" w:ascii="Century Gothic" w:hAnsi="Century Gothic"/>
          <w:sz w:val="22"/>
          <w:szCs w:val="22"/>
        </w:rPr>
        <w:t>Work with the headteacher and governors to ensure the school meets its responsibilities under the Equality Act 2010 in terms of reasonable adjustments and access arrangements</w:t>
      </w:r>
    </w:p>
    <w:p>
      <w:pPr>
        <w:pStyle w:val="Normal"/>
        <w:numPr>
          <w:ilvl w:val="0"/>
          <w:numId w:val="2"/>
        </w:numPr>
        <w:rPr/>
      </w:pPr>
      <w:r>
        <w:rPr>
          <w:rFonts w:cs="Century Gothic" w:ascii="Century Gothic" w:hAnsi="Century Gothic"/>
          <w:sz w:val="22"/>
          <w:szCs w:val="22"/>
        </w:rPr>
        <w:t>Prepare and review information the governing board is required to publish</w:t>
      </w:r>
    </w:p>
    <w:p>
      <w:pPr>
        <w:pStyle w:val="Normal"/>
        <w:numPr>
          <w:ilvl w:val="0"/>
          <w:numId w:val="2"/>
        </w:numPr>
        <w:rPr/>
      </w:pPr>
      <w:r>
        <w:rPr>
          <w:rFonts w:cs="Century Gothic" w:ascii="Century Gothic" w:hAnsi="Century Gothic"/>
          <w:sz w:val="22"/>
          <w:szCs w:val="22"/>
        </w:rPr>
        <w:t>Contribute to the school improvement plan and whole school policy</w:t>
      </w:r>
    </w:p>
    <w:p>
      <w:pPr>
        <w:pStyle w:val="Normal"/>
        <w:numPr>
          <w:ilvl w:val="0"/>
          <w:numId w:val="2"/>
        </w:numPr>
        <w:rPr/>
      </w:pPr>
      <w:r>
        <w:rPr>
          <w:rFonts w:cs="Century Gothic" w:ascii="Century Gothic" w:hAnsi="Century Gothic"/>
          <w:sz w:val="22"/>
          <w:szCs w:val="22"/>
        </w:rPr>
        <w:t>Identify training needs for staff and how to meet these needs</w:t>
      </w:r>
    </w:p>
    <w:p>
      <w:pPr>
        <w:pStyle w:val="Normal"/>
        <w:numPr>
          <w:ilvl w:val="0"/>
          <w:numId w:val="2"/>
        </w:numPr>
        <w:rPr/>
      </w:pPr>
      <w:r>
        <w:rPr>
          <w:rFonts w:cs="Century Gothic" w:ascii="Century Gothic" w:hAnsi="Century Gothic"/>
          <w:sz w:val="22"/>
          <w:szCs w:val="22"/>
        </w:rPr>
        <w:t>Lead INSET for staff</w:t>
      </w:r>
    </w:p>
    <w:p>
      <w:pPr>
        <w:pStyle w:val="Normal"/>
        <w:numPr>
          <w:ilvl w:val="0"/>
          <w:numId w:val="2"/>
        </w:numPr>
        <w:rPr/>
      </w:pPr>
      <w:r>
        <w:rPr>
          <w:rFonts w:cs="Century Gothic" w:ascii="Century Gothic" w:hAnsi="Century Gothic"/>
          <w:sz w:val="22"/>
          <w:szCs w:val="22"/>
        </w:rPr>
        <w:t>Share procedural information, such as the school’s SEN policy</w:t>
      </w:r>
    </w:p>
    <w:p>
      <w:pPr>
        <w:pStyle w:val="Normal"/>
        <w:numPr>
          <w:ilvl w:val="0"/>
          <w:numId w:val="2"/>
        </w:numPr>
        <w:rPr/>
      </w:pPr>
      <w:r>
        <w:rPr>
          <w:rFonts w:cs="Century Gothic" w:ascii="Century Gothic" w:hAnsi="Century Gothic"/>
          <w:sz w:val="22"/>
          <w:szCs w:val="22"/>
        </w:rPr>
        <w:t>Update the headteacher and governing body on the effectiveness of provision for SEN children</w:t>
      </w:r>
    </w:p>
    <w:p>
      <w:pPr>
        <w:pStyle w:val="Normal"/>
        <w:numPr>
          <w:ilvl w:val="0"/>
          <w:numId w:val="2"/>
        </w:numPr>
        <w:rPr/>
      </w:pPr>
      <w:r>
        <w:rPr>
          <w:rFonts w:cs="Century Gothic" w:ascii="Century Gothic" w:hAnsi="Century Gothic"/>
          <w:sz w:val="22"/>
          <w:szCs w:val="22"/>
        </w:rPr>
        <w:t>Promote an ethos and culture that support the school’s SNE policy and promotes good outcomes for pupils with SEN or a disability</w:t>
      </w:r>
    </w:p>
    <w:p>
      <w:pPr>
        <w:pStyle w:val="Normal"/>
        <w:ind w:left="720" w:right="0"/>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Developing Self and Working with Others</w:t>
      </w:r>
    </w:p>
    <w:p>
      <w:pPr>
        <w:pStyle w:val="Normal"/>
        <w:numPr>
          <w:ilvl w:val="0"/>
          <w:numId w:val="2"/>
        </w:numPr>
        <w:rPr/>
      </w:pPr>
      <w:r>
        <w:rPr>
          <w:rFonts w:cs="Century Gothic" w:ascii="Century Gothic" w:hAnsi="Century Gothic"/>
          <w:sz w:val="22"/>
          <w:szCs w:val="22"/>
        </w:rPr>
        <w:t>Promote effective teamwork within the school, DLP, and with external partners</w:t>
      </w:r>
    </w:p>
    <w:p>
      <w:pPr>
        <w:pStyle w:val="Normal"/>
        <w:numPr>
          <w:ilvl w:val="0"/>
          <w:numId w:val="2"/>
        </w:numPr>
        <w:rPr/>
      </w:pPr>
      <w:r>
        <w:rPr>
          <w:rFonts w:cs="Century Gothic" w:ascii="Century Gothic" w:hAnsi="Century Gothic"/>
          <w:sz w:val="22"/>
          <w:szCs w:val="22"/>
        </w:rPr>
        <w:t>Demonstrate and encourage shared leadership</w:t>
      </w:r>
    </w:p>
    <w:p>
      <w:pPr>
        <w:pStyle w:val="Normal"/>
        <w:numPr>
          <w:ilvl w:val="0"/>
          <w:numId w:val="2"/>
        </w:numPr>
        <w:rPr/>
      </w:pPr>
      <w:r>
        <w:rPr>
          <w:rFonts w:cs="Century Gothic" w:ascii="Century Gothic" w:hAnsi="Century Gothic"/>
          <w:sz w:val="22"/>
          <w:szCs w:val="22"/>
        </w:rPr>
        <w:t>Take part in effective team working</w:t>
      </w:r>
    </w:p>
    <w:p>
      <w:pPr>
        <w:pStyle w:val="Normal"/>
        <w:numPr>
          <w:ilvl w:val="0"/>
          <w:numId w:val="2"/>
        </w:numPr>
        <w:rPr/>
      </w:pPr>
      <w:r>
        <w:rPr>
          <w:rFonts w:cs="Century Gothic" w:ascii="Century Gothic" w:hAnsi="Century Gothic"/>
          <w:sz w:val="22"/>
          <w:szCs w:val="22"/>
        </w:rPr>
        <w:t>Ensure continuing professional development for self and all others within the school</w:t>
      </w:r>
    </w:p>
    <w:p>
      <w:pPr>
        <w:pStyle w:val="Normal"/>
        <w:numPr>
          <w:ilvl w:val="0"/>
          <w:numId w:val="2"/>
        </w:numPr>
        <w:rPr/>
      </w:pPr>
      <w:r>
        <w:rPr>
          <w:rFonts w:cs="Century Gothic" w:ascii="Century Gothic" w:hAnsi="Century Gothic"/>
          <w:sz w:val="22"/>
          <w:szCs w:val="22"/>
        </w:rPr>
        <w:t>Promote a collaborative school vision of excellence and equity that sets high standards for every pupil</w:t>
      </w:r>
    </w:p>
    <w:p>
      <w:pPr>
        <w:pStyle w:val="Normal"/>
        <w:numPr>
          <w:ilvl w:val="0"/>
          <w:numId w:val="2"/>
        </w:numPr>
        <w:rPr/>
      </w:pPr>
      <w:r>
        <w:rPr>
          <w:rFonts w:cs="Century Gothic" w:ascii="Century Gothic" w:hAnsi="Century Gothic"/>
          <w:sz w:val="22"/>
          <w:szCs w:val="22"/>
        </w:rPr>
        <w:t>The role holder shall be subject to all relevant statutory requirements as detailed in the most recent School Teachers Pay and Conditions Document.</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Other areas of responsibility</w:t>
      </w:r>
    </w:p>
    <w:p>
      <w:pPr>
        <w:pStyle w:val="Normal"/>
        <w:numPr>
          <w:ilvl w:val="0"/>
          <w:numId w:val="2"/>
        </w:numPr>
        <w:rPr/>
      </w:pPr>
      <w:r>
        <w:rPr>
          <w:rFonts w:cs="Century Gothic" w:ascii="Century Gothic" w:hAnsi="Century Gothic"/>
          <w:sz w:val="22"/>
          <w:szCs w:val="22"/>
        </w:rPr>
        <w:t>The post holder will also lead a subject negotiated with the headteacher</w:t>
      </w:r>
    </w:p>
    <w:p>
      <w:pPr>
        <w:pStyle w:val="Normal"/>
        <w:numPr>
          <w:ilvl w:val="0"/>
          <w:numId w:val="2"/>
        </w:numPr>
        <w:rPr/>
      </w:pPr>
      <w:r>
        <w:rPr>
          <w:rFonts w:cs="Century Gothic" w:ascii="Century Gothic" w:hAnsi="Century Gothic"/>
          <w:sz w:val="22"/>
          <w:szCs w:val="22"/>
        </w:rPr>
        <w:t>The SENCO will be required to safeguard and promote the welfare of children and young people, and follow school policies and the staff code of conduct.</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note that this is illustrative of the general nature and level of responsibility of the role. It is not a comprehensive list of all tasks that the SENCO will carry out. The posholder may be required to do other duties appropriate to the level of the role, as directed by the Headteacher of Senior Leadership Team.</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r>
        <w:br w:type="page"/>
      </w:r>
    </w:p>
    <w:tbl>
      <w:tblPr>
        <w:tblW w:w="9780" w:type="dxa"/>
        <w:jc w:val="left"/>
        <w:tblInd w:w="783" w:type="dxa"/>
        <w:tblLayout w:type="fixed"/>
        <w:tblCellMar>
          <w:top w:w="0" w:type="dxa"/>
          <w:left w:w="108" w:type="dxa"/>
          <w:bottom w:w="0" w:type="dxa"/>
          <w:right w:w="108" w:type="dxa"/>
        </w:tblCellMar>
      </w:tblPr>
      <w:tblGrid>
        <w:gridCol w:w="1956"/>
        <w:gridCol w:w="4706"/>
        <w:gridCol w:w="2269"/>
        <w:gridCol w:w="849"/>
      </w:tblGrid>
      <w:tr>
        <w:trPr/>
        <w:tc>
          <w:tcPr>
            <w:tcW w:w="1956" w:type="dxa"/>
            <w:tcBorders>
              <w:top w:val="single" w:sz="4" w:space="0" w:color="000000"/>
              <w:left w:val="single" w:sz="4" w:space="0" w:color="000000"/>
              <w:bottom w:val="single" w:sz="4" w:space="0" w:color="000000"/>
              <w:right w:val="single" w:sz="4" w:space="0" w:color="000000"/>
            </w:tcBorders>
          </w:tcPr>
          <w:p>
            <w:pPr>
              <w:pStyle w:val="Normal"/>
              <w:pageBreakBefore/>
              <w:snapToGrid w:val="false"/>
              <w:rPr>
                <w:rFonts w:ascii="Century Gothic" w:hAnsi="Century Gothic" w:cs="Century Gothic"/>
                <w:sz w:val="20"/>
              </w:rPr>
            </w:pPr>
            <w:r>
              <w:rPr>
                <w:rFonts w:cs="Century Gothic" w:ascii="Century Gothic" w:hAnsi="Century Gothic"/>
                <w:sz w:val="20"/>
              </w:rPr>
            </w:r>
          </w:p>
        </w:tc>
        <w:tc>
          <w:tcPr>
            <w:tcW w:w="470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c>
          <w:tcPr>
            <w:tcW w:w="22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c>
          <w:tcPr>
            <w:tcW w:w="84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r>
      <w:tr>
        <w:trPr/>
        <w:tc>
          <w:tcPr>
            <w:tcW w:w="1956"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Qualifications and training</w:t>
            </w:r>
          </w:p>
        </w:tc>
        <w:tc>
          <w:tcPr>
            <w:tcW w:w="4706" w:type="dxa"/>
            <w:tcBorders>
              <w:top w:val="single" w:sz="4" w:space="0" w:color="000000"/>
              <w:left w:val="single" w:sz="4" w:space="0" w:color="000000"/>
              <w:bottom w:val="single" w:sz="4" w:space="0" w:color="000000"/>
              <w:right w:val="single" w:sz="4" w:space="0" w:color="000000"/>
            </w:tcBorders>
          </w:tcPr>
          <w:p>
            <w:pPr>
              <w:pStyle w:val="Normal"/>
              <w:numPr>
                <w:ilvl w:val="0"/>
                <w:numId w:val="3"/>
              </w:numPr>
              <w:rPr/>
            </w:pPr>
            <w:r>
              <w:rPr>
                <w:rFonts w:cs="Century Gothic" w:ascii="Century Gothic" w:hAnsi="Century Gothic"/>
                <w:sz w:val="20"/>
              </w:rPr>
              <w:t>Qualified teacher status</w:t>
            </w:r>
          </w:p>
          <w:p>
            <w:pPr>
              <w:pStyle w:val="Normal"/>
              <w:numPr>
                <w:ilvl w:val="0"/>
                <w:numId w:val="3"/>
              </w:numPr>
              <w:rPr/>
            </w:pPr>
            <w:r>
              <w:rPr>
                <w:rFonts w:cs="Century Gothic" w:ascii="Century Gothic" w:hAnsi="Century Gothic"/>
                <w:sz w:val="20"/>
              </w:rPr>
              <w:t>National Award for SEN co-ordination or willingness to complete within 3 years of appointment</w:t>
            </w:r>
          </w:p>
          <w:p>
            <w:pPr>
              <w:pStyle w:val="Normal"/>
              <w:numPr>
                <w:ilvl w:val="0"/>
                <w:numId w:val="3"/>
              </w:numPr>
              <w:rPr/>
            </w:pPr>
            <w:r>
              <w:rPr>
                <w:rFonts w:cs="Century Gothic" w:ascii="Century Gothic" w:hAnsi="Century Gothic"/>
                <w:sz w:val="20"/>
              </w:rPr>
              <w:t>Degree</w:t>
            </w:r>
          </w:p>
          <w:p>
            <w:pPr>
              <w:pStyle w:val="Normal"/>
              <w:numPr>
                <w:ilvl w:val="0"/>
                <w:numId w:val="3"/>
              </w:numPr>
              <w:rPr/>
            </w:pPr>
            <w:r>
              <w:rPr>
                <w:rFonts w:cs="Century Gothic" w:ascii="Century Gothic" w:hAnsi="Century Gothic"/>
                <w:sz w:val="20"/>
              </w:rPr>
              <w:t>Relevant qualifications</w:t>
            </w:r>
          </w:p>
          <w:p>
            <w:pPr>
              <w:pStyle w:val="Normal"/>
              <w:numPr>
                <w:ilvl w:val="0"/>
                <w:numId w:val="3"/>
              </w:numPr>
              <w:rPr>
                <w:rFonts w:ascii="Century Gothic" w:hAnsi="Century Gothic" w:cs="Century Gothic"/>
                <w:sz w:val="20"/>
              </w:rPr>
            </w:pPr>
            <w:r>
              <w:rPr>
                <w:rFonts w:cs="Century Gothic" w:ascii="Century Gothic" w:hAnsi="Century Gothic"/>
                <w:sz w:val="20"/>
              </w:rPr>
              <w:t>Relevant in-service training during the last three years</w:t>
            </w:r>
          </w:p>
        </w:tc>
        <w:tc>
          <w:tcPr>
            <w:tcW w:w="2269" w:type="dxa"/>
            <w:tcBorders>
              <w:top w:val="single" w:sz="4" w:space="0" w:color="000000"/>
              <w:left w:val="single" w:sz="4" w:space="0" w:color="000000"/>
              <w:bottom w:val="single" w:sz="4" w:space="0" w:color="000000"/>
              <w:right w:val="single" w:sz="4" w:space="0" w:color="000000"/>
            </w:tcBorders>
          </w:tcPr>
          <w:p>
            <w:pPr>
              <w:pStyle w:val="Normal"/>
              <w:numPr>
                <w:ilvl w:val="0"/>
                <w:numId w:val="3"/>
              </w:numPr>
              <w:rPr/>
            </w:pPr>
            <w:r>
              <w:rPr>
                <w:rFonts w:cs="Century Gothic" w:ascii="Century Gothic" w:hAnsi="Century Gothic"/>
                <w:sz w:val="20"/>
              </w:rPr>
              <w:t>Good honours degree</w:t>
            </w:r>
          </w:p>
          <w:p>
            <w:pPr>
              <w:pStyle w:val="Normal"/>
              <w:numPr>
                <w:ilvl w:val="0"/>
                <w:numId w:val="3"/>
              </w:numPr>
              <w:rPr>
                <w:rFonts w:ascii="Century Gothic" w:hAnsi="Century Gothic" w:cs="Century Gothic"/>
                <w:sz w:val="20"/>
              </w:rPr>
            </w:pPr>
            <w:r>
              <w:rPr>
                <w:rFonts w:cs="Century Gothic" w:ascii="Century Gothic" w:hAnsi="Century Gothic"/>
                <w:sz w:val="20"/>
              </w:rPr>
              <w:t>National SENCO Award</w:t>
            </w:r>
          </w:p>
        </w:tc>
        <w:tc>
          <w:tcPr>
            <w:tcW w:w="849"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App</w:t>
            </w:r>
          </w:p>
        </w:tc>
      </w:tr>
      <w:tr>
        <w:trPr/>
        <w:tc>
          <w:tcPr>
            <w:tcW w:w="1956"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Experience</w:t>
            </w:r>
          </w:p>
        </w:tc>
        <w:tc>
          <w:tcPr>
            <w:tcW w:w="4706" w:type="dxa"/>
            <w:tcBorders>
              <w:top w:val="single" w:sz="4" w:space="0" w:color="000000"/>
              <w:left w:val="single" w:sz="4" w:space="0" w:color="000000"/>
              <w:bottom w:val="single" w:sz="4" w:space="0" w:color="000000"/>
              <w:right w:val="single" w:sz="4" w:space="0" w:color="000000"/>
            </w:tcBorders>
          </w:tcPr>
          <w:p>
            <w:pPr>
              <w:pStyle w:val="Normal"/>
              <w:numPr>
                <w:ilvl w:val="0"/>
                <w:numId w:val="3"/>
              </w:numPr>
              <w:rPr/>
            </w:pPr>
            <w:r>
              <w:rPr>
                <w:rFonts w:cs="Century Gothic" w:ascii="Century Gothic" w:hAnsi="Century Gothic"/>
                <w:sz w:val="20"/>
              </w:rPr>
              <w:t>At least 3 years of teaching experience across a variety of Primary Key Stages</w:t>
            </w:r>
          </w:p>
          <w:p>
            <w:pPr>
              <w:pStyle w:val="Normal"/>
              <w:numPr>
                <w:ilvl w:val="0"/>
                <w:numId w:val="3"/>
              </w:numPr>
              <w:rPr/>
            </w:pPr>
            <w:r>
              <w:rPr>
                <w:rFonts w:cs="Century Gothic" w:ascii="Century Gothic" w:hAnsi="Century Gothic"/>
                <w:sz w:val="20"/>
              </w:rPr>
              <w:t>Involvement in self-evaluation and development planning</w:t>
            </w:r>
          </w:p>
          <w:p>
            <w:pPr>
              <w:pStyle w:val="Normal"/>
              <w:numPr>
                <w:ilvl w:val="0"/>
                <w:numId w:val="3"/>
              </w:numPr>
              <w:rPr/>
            </w:pPr>
            <w:r>
              <w:rPr>
                <w:rFonts w:cs="Century Gothic" w:ascii="Century Gothic" w:hAnsi="Century Gothic"/>
                <w:sz w:val="20"/>
              </w:rPr>
              <w:t>Experience in conducting training/leading INSET</w:t>
            </w:r>
          </w:p>
          <w:p>
            <w:pPr>
              <w:pStyle w:val="Normal"/>
              <w:numPr>
                <w:ilvl w:val="0"/>
                <w:numId w:val="3"/>
              </w:numPr>
              <w:rPr>
                <w:rFonts w:ascii="Century Gothic" w:hAnsi="Century Gothic" w:cs="Century Gothic"/>
                <w:sz w:val="20"/>
              </w:rPr>
            </w:pPr>
            <w:r>
              <w:rPr>
                <w:rFonts w:cs="Century Gothic" w:ascii="Century Gothic" w:hAnsi="Century Gothic"/>
                <w:sz w:val="20"/>
              </w:rPr>
              <w:t>Evidence of work that has led directly to positive outcomes for pupils at a whole school level</w:t>
            </w:r>
          </w:p>
        </w:tc>
        <w:tc>
          <w:tcPr>
            <w:tcW w:w="2269"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Experience in more than one school</w:t>
            </w:r>
          </w:p>
          <w:p>
            <w:pPr>
              <w:pStyle w:val="Normal"/>
              <w:rPr>
                <w:rFonts w:ascii="Century Gothic" w:hAnsi="Century Gothic" w:cs="Century Gothic"/>
                <w:sz w:val="20"/>
              </w:rPr>
            </w:pPr>
            <w:r>
              <w:rPr>
                <w:rFonts w:cs="Century Gothic" w:ascii="Century Gothic" w:hAnsi="Century Gothic"/>
                <w:sz w:val="20"/>
              </w:rPr>
              <w:t>Collaborative work with other schools/agencies</w:t>
            </w:r>
          </w:p>
        </w:tc>
        <w:tc>
          <w:tcPr>
            <w:tcW w:w="849"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App</w:t>
            </w:r>
          </w:p>
          <w:p>
            <w:pPr>
              <w:pStyle w:val="Normal"/>
              <w:rPr>
                <w:rFonts w:ascii="Century Gothic" w:hAnsi="Century Gothic" w:cs="Century Gothic"/>
                <w:sz w:val="20"/>
              </w:rPr>
            </w:pPr>
            <w:r>
              <w:rPr>
                <w:rFonts w:cs="Century Gothic" w:ascii="Century Gothic" w:hAnsi="Century Gothic"/>
                <w:sz w:val="20"/>
              </w:rPr>
              <w:t>Int</w:t>
            </w:r>
          </w:p>
        </w:tc>
      </w:tr>
      <w:tr>
        <w:trPr/>
        <w:tc>
          <w:tcPr>
            <w:tcW w:w="1956"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Skills and Knowledge</w:t>
            </w:r>
          </w:p>
        </w:tc>
        <w:tc>
          <w:tcPr>
            <w:tcW w:w="4706" w:type="dxa"/>
            <w:tcBorders>
              <w:top w:val="single" w:sz="4" w:space="0" w:color="000000"/>
              <w:left w:val="single" w:sz="4" w:space="0" w:color="000000"/>
              <w:bottom w:val="single" w:sz="4" w:space="0" w:color="000000"/>
              <w:right w:val="single" w:sz="4" w:space="0" w:color="000000"/>
            </w:tcBorders>
          </w:tcPr>
          <w:p>
            <w:pPr>
              <w:pStyle w:val="Normal"/>
              <w:numPr>
                <w:ilvl w:val="0"/>
                <w:numId w:val="4"/>
              </w:numPr>
              <w:rPr/>
            </w:pPr>
            <w:r>
              <w:rPr>
                <w:rFonts w:cs="Century Gothic" w:ascii="Century Gothic" w:hAnsi="Century Gothic"/>
                <w:sz w:val="20"/>
              </w:rPr>
              <w:t>Sound knowledge of the SEND Code of Practice</w:t>
            </w:r>
          </w:p>
          <w:p>
            <w:pPr>
              <w:pStyle w:val="Normal"/>
              <w:numPr>
                <w:ilvl w:val="0"/>
                <w:numId w:val="4"/>
              </w:numPr>
              <w:rPr/>
            </w:pPr>
            <w:r>
              <w:rPr>
                <w:rFonts w:cs="Century Gothic" w:ascii="Century Gothic" w:hAnsi="Century Gothic"/>
                <w:sz w:val="20"/>
              </w:rPr>
              <w:t>Understanding of what makes ‘quality first’ teaching and effective intervention strategies.</w:t>
            </w:r>
          </w:p>
          <w:p>
            <w:pPr>
              <w:pStyle w:val="Normal"/>
              <w:numPr>
                <w:ilvl w:val="0"/>
                <w:numId w:val="4"/>
              </w:numPr>
              <w:rPr/>
            </w:pPr>
            <w:r>
              <w:rPr>
                <w:rFonts w:cs="Century Gothic" w:ascii="Century Gothic" w:hAnsi="Century Gothic"/>
                <w:sz w:val="20"/>
              </w:rPr>
              <w:t>An excellent understanding of how children learn and how to overcome barriers to learning</w:t>
            </w:r>
          </w:p>
          <w:p>
            <w:pPr>
              <w:pStyle w:val="Normal"/>
              <w:numPr>
                <w:ilvl w:val="0"/>
                <w:numId w:val="4"/>
              </w:numPr>
              <w:rPr/>
            </w:pPr>
            <w:r>
              <w:rPr>
                <w:rFonts w:cs="Century Gothic" w:ascii="Century Gothic" w:hAnsi="Century Gothic"/>
                <w:sz w:val="20"/>
              </w:rPr>
              <w:t>Ability to plan and evaluate interventions</w:t>
            </w:r>
          </w:p>
          <w:p>
            <w:pPr>
              <w:pStyle w:val="Normal"/>
              <w:numPr>
                <w:ilvl w:val="0"/>
                <w:numId w:val="4"/>
              </w:numPr>
              <w:rPr/>
            </w:pPr>
            <w:r>
              <w:rPr>
                <w:rFonts w:cs="Century Gothic" w:ascii="Century Gothic" w:hAnsi="Century Gothic"/>
                <w:sz w:val="20"/>
              </w:rPr>
              <w:t>Data analysis skills and the ability to use data to inform provision planning</w:t>
            </w:r>
          </w:p>
          <w:p>
            <w:pPr>
              <w:pStyle w:val="Normal"/>
              <w:numPr>
                <w:ilvl w:val="0"/>
                <w:numId w:val="4"/>
              </w:numPr>
              <w:rPr/>
            </w:pPr>
            <w:r>
              <w:rPr>
                <w:rFonts w:cs="Century Gothic" w:ascii="Century Gothic" w:hAnsi="Century Gothic"/>
                <w:sz w:val="20"/>
              </w:rPr>
              <w:t>Effective communication and interpersonal skills</w:t>
            </w:r>
          </w:p>
          <w:p>
            <w:pPr>
              <w:pStyle w:val="Normal"/>
              <w:numPr>
                <w:ilvl w:val="0"/>
                <w:numId w:val="4"/>
              </w:numPr>
              <w:rPr/>
            </w:pPr>
            <w:r>
              <w:rPr>
                <w:rFonts w:cs="Century Gothic" w:ascii="Century Gothic" w:hAnsi="Century Gothic"/>
                <w:sz w:val="20"/>
              </w:rPr>
              <w:t>Ability to build effective working relationships</w:t>
            </w:r>
          </w:p>
          <w:p>
            <w:pPr>
              <w:pStyle w:val="Normal"/>
              <w:numPr>
                <w:ilvl w:val="0"/>
                <w:numId w:val="4"/>
              </w:numPr>
              <w:rPr/>
            </w:pPr>
            <w:r>
              <w:rPr>
                <w:rFonts w:cs="Century Gothic" w:ascii="Century Gothic" w:hAnsi="Century Gothic"/>
                <w:sz w:val="20"/>
              </w:rPr>
              <w:t>Ability to influence and negotiate</w:t>
            </w:r>
          </w:p>
          <w:p>
            <w:pPr>
              <w:pStyle w:val="Normal"/>
              <w:numPr>
                <w:ilvl w:val="0"/>
                <w:numId w:val="4"/>
              </w:numPr>
              <w:rPr/>
            </w:pPr>
            <w:r>
              <w:rPr>
                <w:rFonts w:cs="Century Gothic" w:ascii="Century Gothic" w:hAnsi="Century Gothic"/>
                <w:sz w:val="20"/>
              </w:rPr>
              <w:t>Good record keeping skills</w:t>
            </w:r>
          </w:p>
          <w:p>
            <w:pPr>
              <w:pStyle w:val="Normal"/>
              <w:rPr>
                <w:rFonts w:ascii="Century Gothic" w:hAnsi="Century Gothic" w:cs="Century Gothic"/>
                <w:sz w:val="20"/>
              </w:rPr>
            </w:pPr>
            <w:r>
              <w:rPr>
                <w:rFonts w:cs="Century Gothic" w:ascii="Century Gothic" w:hAnsi="Century Gothic"/>
                <w:sz w:val="20"/>
              </w:rPr>
            </w:r>
          </w:p>
        </w:tc>
        <w:tc>
          <w:tcPr>
            <w:tcW w:w="22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c>
          <w:tcPr>
            <w:tcW w:w="84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r>
      <w:tr>
        <w:trPr/>
        <w:tc>
          <w:tcPr>
            <w:tcW w:w="1956"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sz w:val="20"/>
              </w:rPr>
            </w:pPr>
            <w:r>
              <w:rPr>
                <w:rFonts w:cs="Century Gothic" w:ascii="Century Gothic" w:hAnsi="Century Gothic"/>
                <w:sz w:val="20"/>
              </w:rPr>
              <w:t>Personal qualities</w:t>
            </w:r>
          </w:p>
        </w:tc>
        <w:tc>
          <w:tcPr>
            <w:tcW w:w="4706" w:type="dxa"/>
            <w:tcBorders>
              <w:top w:val="single" w:sz="4" w:space="0" w:color="000000"/>
              <w:left w:val="single" w:sz="4" w:space="0" w:color="000000"/>
              <w:bottom w:val="single" w:sz="4" w:space="0" w:color="000000"/>
              <w:right w:val="single" w:sz="4" w:space="0" w:color="000000"/>
            </w:tcBorders>
          </w:tcPr>
          <w:p>
            <w:pPr>
              <w:pStyle w:val="Normal"/>
              <w:numPr>
                <w:ilvl w:val="0"/>
                <w:numId w:val="4"/>
              </w:numPr>
              <w:rPr/>
            </w:pPr>
            <w:r>
              <w:rPr>
                <w:rFonts w:cs="Century Gothic" w:ascii="Century Gothic" w:hAnsi="Century Gothic"/>
                <w:sz w:val="20"/>
              </w:rPr>
              <w:t>Ability to work on own initiative</w:t>
            </w:r>
          </w:p>
          <w:p>
            <w:pPr>
              <w:pStyle w:val="Normal"/>
              <w:numPr>
                <w:ilvl w:val="0"/>
                <w:numId w:val="4"/>
              </w:numPr>
              <w:rPr/>
            </w:pPr>
            <w:r>
              <w:rPr>
                <w:rFonts w:cs="Century Gothic" w:ascii="Century Gothic" w:hAnsi="Century Gothic"/>
                <w:sz w:val="20"/>
              </w:rPr>
              <w:t>Ability and willingness to work with a wide range of people</w:t>
            </w:r>
          </w:p>
          <w:p>
            <w:pPr>
              <w:pStyle w:val="Normal"/>
              <w:numPr>
                <w:ilvl w:val="0"/>
                <w:numId w:val="4"/>
              </w:numPr>
              <w:rPr/>
            </w:pPr>
            <w:r>
              <w:rPr>
                <w:rFonts w:cs="Century Gothic" w:ascii="Century Gothic" w:hAnsi="Century Gothic"/>
                <w:sz w:val="20"/>
              </w:rPr>
              <w:t>Commitment to getting the best outcomes for pupils and promoting the ethos and values of the school</w:t>
            </w:r>
          </w:p>
          <w:p>
            <w:pPr>
              <w:pStyle w:val="Normal"/>
              <w:numPr>
                <w:ilvl w:val="0"/>
                <w:numId w:val="4"/>
              </w:numPr>
              <w:rPr/>
            </w:pPr>
            <w:r>
              <w:rPr>
                <w:rFonts w:cs="Century Gothic" w:ascii="Century Gothic" w:hAnsi="Century Gothic"/>
                <w:sz w:val="20"/>
              </w:rPr>
              <w:t>Commitment to equal opportunities and securing good outcomes for pupils with SEN or a disability</w:t>
            </w:r>
          </w:p>
          <w:p>
            <w:pPr>
              <w:pStyle w:val="Normal"/>
              <w:numPr>
                <w:ilvl w:val="0"/>
                <w:numId w:val="4"/>
              </w:numPr>
              <w:rPr/>
            </w:pPr>
            <w:r>
              <w:rPr>
                <w:rFonts w:cs="Century Gothic" w:ascii="Century Gothic" w:hAnsi="Century Gothic"/>
                <w:sz w:val="20"/>
              </w:rPr>
              <w:t>Ability to work under pressure and prioritise effectively</w:t>
            </w:r>
          </w:p>
          <w:p>
            <w:pPr>
              <w:pStyle w:val="Normal"/>
              <w:numPr>
                <w:ilvl w:val="0"/>
                <w:numId w:val="4"/>
              </w:numPr>
              <w:rPr/>
            </w:pPr>
            <w:r>
              <w:rPr>
                <w:rFonts w:cs="Century Gothic" w:ascii="Century Gothic" w:hAnsi="Century Gothic"/>
                <w:sz w:val="20"/>
              </w:rPr>
              <w:t>Commitment to maintaining confidentiality at all times</w:t>
            </w:r>
          </w:p>
          <w:p>
            <w:pPr>
              <w:pStyle w:val="Normal"/>
              <w:numPr>
                <w:ilvl w:val="0"/>
                <w:numId w:val="4"/>
              </w:numPr>
              <w:rPr/>
            </w:pPr>
            <w:r>
              <w:rPr>
                <w:rFonts w:cs="Century Gothic" w:ascii="Century Gothic" w:hAnsi="Century Gothic"/>
                <w:sz w:val="20"/>
              </w:rPr>
              <w:t>Commitment to safeguarding and equality</w:t>
            </w:r>
          </w:p>
          <w:p>
            <w:pPr>
              <w:pStyle w:val="Normal"/>
              <w:numPr>
                <w:ilvl w:val="0"/>
                <w:numId w:val="4"/>
              </w:numPr>
              <w:rPr/>
            </w:pPr>
            <w:r>
              <w:rPr>
                <w:rFonts w:cs="Century Gothic" w:ascii="Century Gothic" w:hAnsi="Century Gothic"/>
                <w:sz w:val="20"/>
              </w:rPr>
              <w:t>Keen to contribute to whole school development</w:t>
            </w:r>
          </w:p>
          <w:p>
            <w:pPr>
              <w:pStyle w:val="Normal"/>
              <w:numPr>
                <w:ilvl w:val="0"/>
                <w:numId w:val="4"/>
              </w:numPr>
              <w:rPr>
                <w:rFonts w:ascii="Century Gothic" w:hAnsi="Century Gothic" w:cs="Century Gothic"/>
                <w:sz w:val="20"/>
              </w:rPr>
            </w:pPr>
            <w:r>
              <w:rPr>
                <w:rFonts w:cs="Century Gothic" w:ascii="Century Gothic" w:hAnsi="Century Gothic"/>
                <w:sz w:val="20"/>
              </w:rPr>
              <w:t>Positivity and resilience</w:t>
            </w:r>
          </w:p>
        </w:tc>
        <w:tc>
          <w:tcPr>
            <w:tcW w:w="22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c>
          <w:tcPr>
            <w:tcW w:w="84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0"/>
              </w:rPr>
            </w:pPr>
            <w:r>
              <w:rPr>
                <w:rFonts w:cs="Century Gothic" w:ascii="Century Gothic" w:hAnsi="Century Gothic"/>
                <w:sz w:val="20"/>
              </w:rPr>
            </w:r>
          </w:p>
        </w:tc>
      </w:tr>
    </w:tbl>
    <w:p>
      <w:pPr>
        <w:pStyle w:val="Normal"/>
        <w:ind w:hanging="2880" w:left="2880" w:right="0"/>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Heading2"/>
        <w:ind w:hanging="0" w:left="0"/>
        <w:jc w:val="left"/>
        <w:rPr>
          <w:rFonts w:ascii="Century Gothic" w:hAnsi="Century Gothic" w:cs="Century Gothic"/>
          <w:sz w:val="22"/>
          <w:szCs w:val="22"/>
        </w:rPr>
      </w:pPr>
      <w:r>
        <w:rPr>
          <w:rFonts w:cs="Century Gothic" w:ascii="Century Gothic" w:hAnsi="Century Gothic"/>
          <w:sz w:val="22"/>
          <w:szCs w:val="22"/>
        </w:rPr>
      </w:r>
    </w:p>
    <w:sectPr>
      <w:headerReference w:type="default" r:id="rId2"/>
      <w:type w:val="nextPage"/>
      <w:pgSz w:w="11906" w:h="16838"/>
      <w:pgMar w:left="567" w:right="849" w:gutter="0" w:header="708" w:top="993"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ucida Sans Unicode">
    <w:charset w:val="00"/>
    <w:family w:val="swiss"/>
    <w:pitch w:val="variable"/>
  </w:font>
  <w:font w:name="Century Gothic">
    <w:charset w:val="01"/>
    <w:family w:val="swiss"/>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entury Gothic">
    <w:charset w:val="00"/>
    <w:family w:val="roman"/>
    <w:pitch w:val="variable"/>
  </w:font>
  <w:font w:name="Comic Sans MS">
    <w:charset w:val="00"/>
    <w:family w:val="roman"/>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tle"/>
      <w:rPr/>
    </w:pPr>
    <w:r>
      <w:rPr/>
      <mc:AlternateContent>
        <mc:Choice Requires="wps">
          <w:drawing>
            <wp:anchor behindDoc="1" distT="0" distB="0" distL="114935" distR="114935" simplePos="0" locked="0" layoutInCell="1" allowOverlap="1" relativeHeight="4">
              <wp:simplePos x="0" y="0"/>
              <wp:positionH relativeFrom="column">
                <wp:posOffset>196215</wp:posOffset>
              </wp:positionH>
              <wp:positionV relativeFrom="paragraph">
                <wp:posOffset>-175895</wp:posOffset>
              </wp:positionV>
              <wp:extent cx="878205" cy="1172210"/>
              <wp:effectExtent l="0" t="0" r="0" b="0"/>
              <wp:wrapNone/>
              <wp:docPr id="1" name=""/>
              <a:graphic xmlns:a="http://schemas.openxmlformats.org/drawingml/2006/main">
                <a:graphicData uri="http://schemas.microsoft.com/office/word/2010/wordprocessingShape">
                  <wps:wsp>
                    <wps:cNvSpPr txBox="1"/>
                    <wps:spPr>
                      <a:xfrm>
                        <a:off x="0" y="0"/>
                        <a:ext cx="878040" cy="117216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5.45pt;margin-top:-13.85pt;width:69.1pt;height:92.25pt;mso-wrap-style:none;v-text-anchor:middle" type="_x0000_t202">
              <v:textbox>
                <w:txbxContent>
                  <w:p>
                    <w:pPr>
                      <w:overflowPunct w:val="false"/>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drawing>
        <wp:anchor behindDoc="0" distT="0" distB="0" distL="114300" distR="114300" simplePos="0" locked="0" layoutInCell="0" allowOverlap="1" relativeHeight="7">
          <wp:simplePos x="0" y="0"/>
          <wp:positionH relativeFrom="column">
            <wp:posOffset>90805</wp:posOffset>
          </wp:positionH>
          <wp:positionV relativeFrom="paragraph">
            <wp:posOffset>-27940</wp:posOffset>
          </wp:positionV>
          <wp:extent cx="982980" cy="739775"/>
          <wp:effectExtent l="0" t="0" r="0" b="0"/>
          <wp:wrapTight wrapText="bothSides">
            <wp:wrapPolygon edited="0">
              <wp:start x="-5160" y="-2421"/>
              <wp:lineTo x="-5160" y="91460"/>
              <wp:lineTo x="42184" y="91460"/>
              <wp:lineTo x="42184" y="-2421"/>
              <wp:lineTo x="-5160" y="-2421"/>
            </wp:wrapPolygon>
          </wp:wrapTigh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10751" t="2521" r="44159" b="74992"/>
                  <a:stretch>
                    <a:fillRect/>
                  </a:stretch>
                </pic:blipFill>
                <pic:spPr bwMode="auto">
                  <a:xfrm>
                    <a:off x="0" y="0"/>
                    <a:ext cx="982980" cy="739775"/>
                  </a:xfrm>
                  <a:prstGeom prst="rect">
                    <a:avLst/>
                  </a:prstGeom>
                </pic:spPr>
              </pic:pic>
            </a:graphicData>
          </a:graphic>
        </wp:anchor>
      </w:drawing>
    </w:r>
    <w:r>
      <mc:AlternateContent>
        <mc:Choice Requires="wps">
          <w:drawing>
            <wp:anchor behindDoc="1" distT="72390" distB="72390" distL="62865" distR="78105" simplePos="0" locked="0" layoutInCell="1" allowOverlap="1" relativeHeight="10">
              <wp:simplePos x="0" y="0"/>
              <wp:positionH relativeFrom="column">
                <wp:posOffset>196215</wp:posOffset>
              </wp:positionH>
              <wp:positionV relativeFrom="paragraph">
                <wp:posOffset>-175895</wp:posOffset>
              </wp:positionV>
              <wp:extent cx="878205" cy="1081405"/>
              <wp:effectExtent l="0" t="0" r="0" b="0"/>
              <wp:wrapNone/>
              <wp:docPr id="3" name="Frame1"/>
              <a:graphic xmlns:a="http://schemas.openxmlformats.org/drawingml/2006/main">
                <a:graphicData uri="http://schemas.microsoft.com/office/word/2010/wordprocessingShape">
                  <wps:wsp>
                    <wps:cNvSpPr txBox="1"/>
                    <wps:spPr>
                      <a:xfrm>
                        <a:off x="0" y="0"/>
                        <a:ext cx="878205" cy="1081405"/>
                      </a:xfrm>
                      <a:prstGeom prst="rect"/>
                      <a:solidFill>
                        <a:srgbClr val="FFFFFF">
                          <a:alpha val="0"/>
                        </a:srgbClr>
                      </a:solidFill>
                    </wps:spPr>
                    <wps:txbx>
                      <w:txbxContent>
                        <w:p>
                          <w:pPr>
                            <w:pStyle w:val="FrameContents"/>
                            <w:jc w:val="center"/>
                            <w:rPr>
                              <w:rFonts w:ascii="Comic Sans MS" w:hAnsi="Comic Sans MS" w:cs="Comic Sans MS"/>
                              <w:color w:val="008000"/>
                              <w:sz w:val="28"/>
                              <w:szCs w:val="28"/>
                            </w:rPr>
                          </w:pPr>
                          <w:r>
                            <w:rPr>
                              <w:rFonts w:cs="Comic Sans MS" w:ascii="Comic Sans MS" w:hAnsi="Comic Sans MS"/>
                              <w:color w:val="008000"/>
                              <w:sz w:val="28"/>
                              <w:szCs w:val="28"/>
                            </w:rPr>
                            <w:t>St Mary’s C.E. (A) School</w:t>
                          </w:r>
                        </w:p>
                      </w:txbxContent>
                    </wps:txbx>
                    <wps:bodyPr anchor="t" lIns="92075" tIns="46355" rIns="92075" bIns="46355">
                      <a:noAutofit/>
                    </wps:bodyPr>
                  </wps:wsp>
                </a:graphicData>
              </a:graphic>
            </wp:anchor>
          </w:drawing>
        </mc:Choice>
        <mc:Fallback>
          <w:pict>
            <v:rect fillcolor="#FFFFFF" style="position:absolute;rotation:-0;width:69.15pt;height:85.15pt;mso-wrap-distance-left:4.95pt;mso-wrap-distance-right:6.15pt;mso-wrap-distance-top:5.7pt;mso-wrap-distance-bottom:5.7pt;margin-top:-13.85pt;mso-position-vertical-relative:text;margin-left:15.45pt;mso-position-horizontal-relative:text">
              <v:fill opacity="0f"/>
              <v:textbox inset="0.100694444444444in,0.0506944444444444in,0.100694444444444in,0.0506944444444444in">
                <w:txbxContent>
                  <w:p>
                    <w:pPr>
                      <w:pStyle w:val="FrameContents"/>
                      <w:jc w:val="center"/>
                      <w:rPr>
                        <w:rFonts w:ascii="Comic Sans MS" w:hAnsi="Comic Sans MS" w:cs="Comic Sans MS"/>
                        <w:color w:val="008000"/>
                        <w:sz w:val="28"/>
                        <w:szCs w:val="28"/>
                      </w:rPr>
                    </w:pPr>
                    <w:r>
                      <w:rPr>
                        <w:rFonts w:cs="Comic Sans MS" w:ascii="Comic Sans MS" w:hAnsi="Comic Sans MS"/>
                        <w:color w:val="008000"/>
                        <w:sz w:val="28"/>
                        <w:szCs w:val="28"/>
                      </w:rPr>
                      <w:t>St Mary’s C.E. (A) School</w:t>
                    </w:r>
                  </w:p>
                </w:txbxContent>
              </v:textbox>
              <w10:wrap type="none"/>
            </v:rect>
          </w:pict>
        </mc:Fallback>
      </mc:AlternateContent>
    </w:r>
  </w:p>
  <w:p>
    <w:pPr>
      <w:pStyle w:val="Title"/>
      <w:rPr/>
    </w:pPr>
    <w:r>
      <w:rPr>
        <w:rFonts w:cs="Calibri" w:ascii="Calibri" w:hAnsi="Calibri"/>
        <w:b/>
        <w:sz w:val="28"/>
      </w:rPr>
      <w:t>Class Teacher and SENCOJOB DESCRIPTION AND PERSON SPECIFICATION</w:t>
    </w:r>
    <w:r>
      <w:rPr>
        <w:rFonts w:cs="Calibri" w:ascii="Calibri" w:hAnsi="Calibri"/>
        <w:b/>
      </w:rPr>
      <w:t xml:space="preserve">  </w:t>
    </w:r>
  </w:p>
  <w:p>
    <w:pPr>
      <w:pStyle w:val="Header"/>
      <w:jc w:val="center"/>
      <w:rPr>
        <w:rFonts w:ascii="Comic Sans MS" w:hAnsi="Comic Sans MS" w:cs="Comic Sans MS"/>
      </w:rPr>
    </w:pPr>
    <w:r>
      <w:rPr>
        <w:rFonts w:cs="Comic Sans MS" w:ascii="Comic Sans MS" w:hAnsi="Comic Sans M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Century Gothic" w:hAnsi="Century Gothic" w:cs="Century Gothic" w:hint="default"/>
        <w:sz w:val="22"/>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Century Gothic" w:hAnsi="Century Gothic" w:cs="Century Gothic" w:hint="default"/>
        <w:sz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Century Gothic" w:hAnsi="Century Gothic" w:cs="Century Gothic" w:hint="default"/>
        <w:sz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jc w:val="center"/>
      <w:outlineLvl w:val="0"/>
    </w:pPr>
    <w:rPr>
      <w:rFonts w:ascii="Lucida Sans Unicode" w:hAnsi="Lucida Sans Unicode" w:cs="Lucida Sans Unicode"/>
      <w:sz w:val="32"/>
      <w:u w:val="single"/>
    </w:rPr>
  </w:style>
  <w:style w:type="paragraph" w:styleId="Heading2">
    <w:name w:val="Heading 2"/>
    <w:basedOn w:val="Normal"/>
    <w:next w:val="Normal"/>
    <w:qFormat/>
    <w:pPr>
      <w:keepNext w:val="true"/>
      <w:numPr>
        <w:ilvl w:val="1"/>
        <w:numId w:val="1"/>
      </w:numPr>
      <w:jc w:val="center"/>
      <w:outlineLvl w:val="1"/>
    </w:pPr>
    <w:rPr>
      <w:b/>
      <w:sz w:val="32"/>
    </w:rPr>
  </w:style>
  <w:style w:type="character" w:styleId="WW8Num1z0">
    <w:name w:val="WW8Num1z0"/>
    <w:qFormat/>
    <w:rPr>
      <w:rFonts w:ascii="Century Gothic" w:hAnsi="Century Gothic" w:cs="Times New Roman"/>
      <w:b/>
      <w:sz w:val="22"/>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Century Gothic" w:hAnsi="Century Gothic" w:cs="Times New Roman"/>
      <w:sz w:val="2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Century Gothic" w:hAnsi="Century Gothic" w:cs="Times New Roman"/>
      <w:sz w:val="20"/>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BalloonTextChar">
    <w:name w:val="Balloon Text Char"/>
    <w:qFormat/>
    <w:rPr>
      <w:rFonts w:ascii="Tahoma" w:hAnsi="Tahoma" w:cs="Tahoma"/>
      <w:sz w:val="16"/>
      <w:szCs w:val="16"/>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jc w:val="center"/>
    </w:pPr>
    <w:rPr>
      <w:rFonts w:ascii="Lucida Sans Unicode" w:hAnsi="Lucida Sans Unicode" w:cs="Lucida Sans Unicode"/>
      <w:sz w:val="40"/>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Subtitle">
    <w:name w:val="Subtitle"/>
    <w:basedOn w:val="Normal"/>
    <w:next w:val="BodyText"/>
    <w:qFormat/>
    <w:pPr/>
    <w:rPr>
      <w:rFonts w:ascii="Arial" w:hAnsi="Arial" w:cs="Arial"/>
      <w:b/>
    </w:rPr>
  </w:style>
  <w:style w:type="paragraph" w:styleId="BodyTextIndent">
    <w:name w:val="Body Text Indent"/>
    <w:basedOn w:val="Normal"/>
    <w:pPr>
      <w:ind w:hanging="0" w:left="2880" w:right="0"/>
    </w:pPr>
    <w:rPr>
      <w:rFonts w:ascii="Arial" w:hAnsi="Arial" w:cs="Arial"/>
      <w:sz w:val="22"/>
    </w:rPr>
  </w:style>
  <w:style w:type="paragraph" w:styleId="ListParagraph">
    <w:name w:val="List Paragraph"/>
    <w:basedOn w:val="Normal"/>
    <w:qFormat/>
    <w:pPr>
      <w:ind w:hanging="0" w:left="720" w:right="0"/>
    </w:pPr>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