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cs="Arial"/>
          <w:sz w:val="22"/>
          <w:szCs w:val="22"/>
        </w:rPr>
      </w:pPr>
      <w:r>
        <w:rPr>
          <w:rFonts w:cs="Arial"/>
          <w:sz w:val="22"/>
          <w:szCs w:val="22"/>
        </w:rPr>
      </w:r>
    </w:p>
    <w:p>
      <w:pPr>
        <w:pStyle w:val="Heading1"/>
        <w:spacing w:lineRule="auto" w:line="240"/>
        <w:ind w:hanging="0" w:left="0"/>
        <w:rPr>
          <w:rFonts w:cs="Arial"/>
          <w:sz w:val="22"/>
          <w:szCs w:val="22"/>
        </w:rPr>
      </w:pPr>
      <w:r>
        <w:rPr>
          <w:rFonts w:cs="Arial"/>
          <w:sz w:val="22"/>
          <w:szCs w:val="22"/>
        </w:rPr>
      </w:r>
    </w:p>
    <w:p>
      <w:pPr>
        <w:pStyle w:val="Normal"/>
        <w:jc w:val="center"/>
        <w:rPr>
          <w:rFonts w:cs="Arial"/>
          <w:b/>
          <w:bCs/>
          <w:sz w:val="22"/>
          <w:szCs w:val="22"/>
          <w:u w:val="single"/>
        </w:rPr>
      </w:pP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t>JOB DESCRIPTION</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r>
    </w:p>
    <w:tbl>
      <w:tblPr>
        <w:tblW w:w="10439" w:type="dxa"/>
        <w:jc w:val="left"/>
        <w:tblInd w:w="-504" w:type="dxa"/>
        <w:tblLayout w:type="fixed"/>
        <w:tblCellMar>
          <w:top w:w="0" w:type="dxa"/>
          <w:left w:w="108" w:type="dxa"/>
          <w:bottom w:w="0" w:type="dxa"/>
          <w:right w:w="108" w:type="dxa"/>
        </w:tblCellMar>
      </w:tblPr>
      <w:tblGrid>
        <w:gridCol w:w="1451"/>
        <w:gridCol w:w="2869"/>
        <w:gridCol w:w="2179"/>
        <w:gridCol w:w="3940"/>
      </w:tblGrid>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 xml:space="preserve">Job Title: </w:t>
            </w:r>
          </w:p>
          <w:p>
            <w:pPr>
              <w:pStyle w:val="Normal"/>
              <w:rPr>
                <w:rFonts w:cs="Arial"/>
                <w:sz w:val="22"/>
                <w:szCs w:val="22"/>
              </w:rPr>
            </w:pPr>
            <w:r>
              <w:rPr>
                <w:rFonts w:cs="Arial"/>
                <w:sz w:val="22"/>
                <w:szCs w:val="22"/>
              </w:rPr>
            </w:r>
          </w:p>
        </w:tc>
        <w:tc>
          <w:tcPr>
            <w:tcW w:w="8988" w:type="dxa"/>
            <w:gridSpan w:val="3"/>
            <w:tcBorders>
              <w:top w:val="single" w:sz="4" w:space="0" w:color="000000"/>
              <w:left w:val="single" w:sz="4" w:space="0" w:color="000000"/>
              <w:bottom w:val="single" w:sz="4" w:space="0" w:color="000000"/>
              <w:right w:val="single" w:sz="4" w:space="0" w:color="000000"/>
            </w:tcBorders>
          </w:tcPr>
          <w:p>
            <w:pPr>
              <w:pStyle w:val="EndnoteText"/>
              <w:rPr>
                <w:rFonts w:ascii="Arial" w:hAnsi="Arial" w:cs="Arial"/>
                <w:sz w:val="22"/>
                <w:szCs w:val="22"/>
              </w:rPr>
            </w:pPr>
            <w:r>
              <w:rPr>
                <w:rFonts w:cs="Arial" w:ascii="Arial" w:hAnsi="Arial"/>
                <w:sz w:val="22"/>
                <w:szCs w:val="22"/>
              </w:rPr>
              <w:t>Licensing Technical Support Officer</w:t>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pPr>
            <w:r>
              <w:rPr>
                <w:rFonts w:cs="Arial"/>
                <w:b/>
                <w:sz w:val="22"/>
                <w:szCs w:val="22"/>
              </w:rPr>
              <w:t>Directorate:</w:t>
            </w:r>
            <w:r>
              <w:rPr>
                <w:rFonts w:cs="Arial"/>
                <w:sz w:val="22"/>
                <w:szCs w:val="22"/>
              </w:rPr>
              <w:t xml:space="preserve">  </w:t>
            </w:r>
          </w:p>
        </w:tc>
        <w:tc>
          <w:tcPr>
            <w:tcW w:w="2869"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Place &amp; Economic Growth</w:t>
            </w:r>
          </w:p>
        </w:tc>
        <w:tc>
          <w:tcPr>
            <w:tcW w:w="2179" w:type="dxa"/>
            <w:tcBorders>
              <w:top w:val="single" w:sz="4" w:space="0" w:color="000000"/>
              <w:bottom w:val="single" w:sz="4" w:space="0" w:color="000000"/>
              <w:right w:val="single" w:sz="4" w:space="0" w:color="000000"/>
            </w:tcBorders>
            <w:shd w:fill="00B3BE" w:val="clear"/>
          </w:tcPr>
          <w:p>
            <w:pPr>
              <w:pStyle w:val="Normal"/>
              <w:rPr/>
            </w:pPr>
            <w:r>
              <w:rPr>
                <w:rFonts w:cs="Arial"/>
                <w:b/>
                <w:sz w:val="22"/>
                <w:szCs w:val="22"/>
              </w:rPr>
              <w:t>Division/Section:</w:t>
            </w:r>
            <w:r>
              <w:rPr>
                <w:rFonts w:cs="Arial"/>
                <w:sz w:val="22"/>
                <w:szCs w:val="22"/>
              </w:rPr>
              <w:t xml:space="preserve"> </w:t>
            </w:r>
          </w:p>
          <w:p>
            <w:pPr>
              <w:pStyle w:val="Normal"/>
              <w:rPr>
                <w:rFonts w:cs="Arial"/>
                <w:sz w:val="22"/>
                <w:szCs w:val="22"/>
              </w:rPr>
            </w:pPr>
            <w:r>
              <w:rPr>
                <w:rFonts w:cs="Arial"/>
                <w:sz w:val="22"/>
                <w:szCs w:val="22"/>
              </w:rPr>
            </w:r>
          </w:p>
        </w:tc>
        <w:tc>
          <w:tcPr>
            <w:tcW w:w="394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Public Protection / Licensing</w:t>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 xml:space="preserve">Grade:  </w:t>
            </w:r>
          </w:p>
          <w:p>
            <w:pPr>
              <w:pStyle w:val="Normal"/>
              <w:rPr>
                <w:rFonts w:cs="Arial"/>
                <w:sz w:val="22"/>
                <w:szCs w:val="22"/>
              </w:rPr>
            </w:pPr>
            <w:r>
              <w:rPr>
                <w:rFonts w:cs="Arial"/>
                <w:sz w:val="22"/>
                <w:szCs w:val="22"/>
              </w:rPr>
            </w:r>
          </w:p>
        </w:tc>
        <w:tc>
          <w:tcPr>
            <w:tcW w:w="2869"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2/3</w:t>
            </w:r>
          </w:p>
        </w:tc>
        <w:tc>
          <w:tcPr>
            <w:tcW w:w="2179" w:type="dxa"/>
            <w:tcBorders>
              <w:top w:val="single" w:sz="4" w:space="0" w:color="000000"/>
              <w:bottom w:val="single" w:sz="4" w:space="0" w:color="000000"/>
              <w:right w:val="single" w:sz="4" w:space="0" w:color="000000"/>
            </w:tcBorders>
            <w:shd w:fill="00B3BE" w:val="clear"/>
          </w:tcPr>
          <w:p>
            <w:pPr>
              <w:pStyle w:val="Header"/>
              <w:tabs>
                <w:tab w:val="clear" w:pos="4153"/>
                <w:tab w:val="clear" w:pos="8306"/>
              </w:tabs>
              <w:rPr>
                <w:rFonts w:cs="Arial"/>
                <w:b/>
                <w:szCs w:val="22"/>
              </w:rPr>
            </w:pPr>
            <w:r>
              <w:rPr>
                <w:rFonts w:cs="Arial"/>
                <w:b/>
                <w:szCs w:val="22"/>
              </w:rPr>
              <w:t>JE Reference:</w:t>
            </w:r>
          </w:p>
        </w:tc>
        <w:tc>
          <w:tcPr>
            <w:tcW w:w="394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10035</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348" w:type="dxa"/>
        <w:jc w:val="left"/>
        <w:tblInd w:w="-493" w:type="dxa"/>
        <w:tblLayout w:type="fixed"/>
        <w:tblCellMar>
          <w:top w:w="0" w:type="dxa"/>
          <w:left w:w="108" w:type="dxa"/>
          <w:bottom w:w="0" w:type="dxa"/>
          <w:right w:w="108" w:type="dxa"/>
        </w:tblCellMar>
      </w:tblPr>
      <w:tblGrid>
        <w:gridCol w:w="10348"/>
      </w:tblGrid>
      <w:tr>
        <w:trPr/>
        <w:tc>
          <w:tcPr>
            <w:tcW w:w="1034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Cs/>
                <w:sz w:val="22"/>
                <w:szCs w:val="22"/>
              </w:rPr>
            </w:pPr>
            <w:r>
              <w:rPr>
                <w:rFonts w:cs="Arial"/>
                <w:b/>
                <w:bCs/>
                <w:sz w:val="22"/>
                <w:szCs w:val="22"/>
              </w:rPr>
              <w:t>Job Purpose</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Normal"/>
              <w:rPr>
                <w:rFonts w:cs="Arial"/>
                <w:bCs/>
                <w:sz w:val="22"/>
                <w:szCs w:val="22"/>
              </w:rPr>
            </w:pPr>
            <w:r>
              <w:rPr>
                <w:rFonts w:cs="Arial"/>
                <w:bCs/>
                <w:sz w:val="22"/>
                <w:szCs w:val="22"/>
              </w:rPr>
              <w:t>To provide technical support to the licensing team, covering some of the broad range of licensing functions, providing advice and guidance to applicants utilising knowledge of the licensing regime and various policies.</w:t>
            </w:r>
          </w:p>
          <w:p>
            <w:pPr>
              <w:pStyle w:val="Normal"/>
              <w:rPr>
                <w:rFonts w:cs="Arial"/>
                <w:bCs/>
                <w:sz w:val="22"/>
                <w:szCs w:val="22"/>
              </w:rPr>
            </w:pPr>
            <w:r>
              <w:rPr>
                <w:rFonts w:cs="Arial"/>
                <w:bCs/>
                <w:sz w:val="22"/>
                <w:szCs w:val="22"/>
              </w:rPr>
            </w:r>
          </w:p>
          <w:p>
            <w:pPr>
              <w:pStyle w:val="Normal"/>
              <w:spacing w:lineRule="auto" w:line="252" w:before="0" w:after="160"/>
              <w:jc w:val="both"/>
              <w:rPr/>
            </w:pPr>
            <w:r>
              <w:rPr>
                <w:rFonts w:eastAsia="Calibri" w:cs="Arial"/>
                <w:sz w:val="22"/>
                <w:szCs w:val="22"/>
              </w:rPr>
              <w:t xml:space="preserve">To undertake and successfully complete training against an appropriate Apprenticeship Standard and any other training as part of the role, which will be delivered by approved training providers. </w:t>
            </w:r>
            <w:r>
              <w:rPr>
                <w:rFonts w:cs="Arial"/>
                <w:bCs/>
                <w:sz w:val="22"/>
                <w:szCs w:val="22"/>
              </w:rPr>
              <w:t>Upon completion of the qualification the postholder will be awarded the Grade 3 post.</w:t>
            </w:r>
          </w:p>
          <w:p>
            <w:pPr>
              <w:pStyle w:val="Normal"/>
              <w:rPr>
                <w:rFonts w:cs="Arial"/>
                <w:bCs/>
                <w:sz w:val="22"/>
                <w:szCs w:val="22"/>
              </w:rPr>
            </w:pPr>
            <w:r>
              <w:rPr>
                <w:rFonts w:cs="Arial"/>
                <w:bCs/>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Cs/>
                <w:sz w:val="22"/>
                <w:szCs w:val="22"/>
              </w:rPr>
            </w:pPr>
            <w:r>
              <w:rPr>
                <w:rFonts w:cs="Arial"/>
                <w:b/>
                <w:bCs/>
                <w:sz w:val="22"/>
                <w:szCs w:val="22"/>
              </w:rPr>
              <w:t>Key Tasks</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paragraph"/>
              <w:spacing w:before="0" w:after="280"/>
              <w:textAlignment w:val="baseline"/>
              <w:rPr>
                <w:rFonts w:ascii="Arial" w:hAnsi="Arial" w:cs="Arial"/>
                <w:sz w:val="22"/>
                <w:szCs w:val="22"/>
              </w:rPr>
            </w:pPr>
            <w:r>
              <w:rPr>
                <w:rFonts w:cs="Arial" w:ascii="Arial" w:hAnsi="Arial"/>
                <w:sz w:val="22"/>
                <w:szCs w:val="22"/>
              </w:rPr>
              <w:t>To undertake and successfully complete all required training, including the Level 3 Business Administration apprenticeship standard. Further Licensing specific training would be required including the Award for Personal Licence Holders and the Professional Licensing Practitioners Qualification.</w:t>
            </w:r>
          </w:p>
          <w:p>
            <w:pPr>
              <w:pStyle w:val="paragraph"/>
              <w:spacing w:before="0" w:after="0"/>
              <w:textAlignment w:val="baseline"/>
              <w:rPr>
                <w:rFonts w:ascii="Arial" w:hAnsi="Arial" w:cs="Arial"/>
                <w:sz w:val="22"/>
                <w:szCs w:val="22"/>
              </w:rPr>
            </w:pPr>
            <w:r>
              <w:rPr>
                <w:rFonts w:cs="Arial" w:ascii="Arial" w:hAnsi="Arial"/>
                <w:sz w:val="22"/>
                <w:szCs w:val="22"/>
              </w:rPr>
              <w:t>To assist the team in carrying out the duties and responsibilities of a Technical Support Officer and, for that purpose, work within the Council’s approved policies and statutory duties in relation to aspects of Licensing as required.</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Assist in the receipt and scrutiny of applications made under the broad scope of various licensing legislation.</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To assist in ensuring payments are made in respect of applications where required and that payment records are linked with the application received.</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To assist in reading and understanding supporting documents relating to applications which may include, but not limited to, driving licences, passports, motor insurance, logbooks and more. And refer documents to higher level Officers for further scrutiny where required.</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To assist in answering queries and providing specific, tailored guidance and support to applicants, in line with adopted policies and range of legislation. Provide this information via email, letter, telephone and in person.</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To assist in processing applications using the licensing database and to assist with the production of accurate licences to applicants where specific criteria has been met and all checks and balances are in place.</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Liaise with members of the public for the purpose of the role.</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Handle sensitive information pertaining to an individual’s right to work, criminality checks and more.</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Learn how to manage own workload and prioritise work in line with the requirements of service delivery as part of the apprenticeship programme. This will include statutory timeframes laid out in some licensing legislation and the post-holder must be able to change direction quickly from one area of licensing to another in line with service demands and legal time restraints.</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 xml:space="preserve">To learn key policies in respect of licensing functions relevant to the post-holder’s role in order to complete duties in line with these. </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Be able to input data efficiently and accurately on a range of systems and databases.</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To learn how to carry out basic investigations (lateral thinking) into queries around applications relating to the broad scope of licensing functions.</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To maintain the Service’s Registers both statutory and non-statutory, in computerised format.</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 xml:space="preserve">To maintain records relating to licence holders under various licensing functions relevant to the role. </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b/>
                <w:bCs/>
                <w:sz w:val="22"/>
                <w:szCs w:val="22"/>
              </w:rPr>
            </w:pPr>
            <w:r>
              <w:rPr>
                <w:rFonts w:cs="Arial" w:ascii="Arial" w:hAnsi="Arial"/>
                <w:b/>
                <w:bCs/>
                <w:sz w:val="22"/>
                <w:szCs w:val="22"/>
              </w:rPr>
              <w:t>Upon completion of the Level 3 Business Administration apprenticeship, you will competently carry out all the duties above without assistance in addition to.</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To carry out the duties and responsibilities of a Technical Support Officer and, for that purpose, implement the Council’s approved policies and statutory duties in relation to all aspects of Licensing as required.</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Liaise with members of the public for the purpose of the role. Where the post-holder progresses to Grade 3 this will include other key stakeholders such as Elected Members, Greater Manchester Police, Greater Manchester Fire &amp; Rescue Services, and others.</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Carry out investigations into queries around applications. The post holder must carry out investigations into queries for all licensing applications where required. Involving in depth knowledge on processes and policies and problem solving, using own initiative to establish problems and produce solutions.</w:t>
            </w:r>
          </w:p>
          <w:p>
            <w:pPr>
              <w:pStyle w:val="paragraph"/>
              <w:spacing w:before="0" w:after="0"/>
              <w:textAlignment w:val="baseline"/>
              <w:rPr>
                <w:rFonts w:ascii="Arial" w:hAnsi="Arial" w:cs="Arial"/>
                <w:sz w:val="22"/>
                <w:szCs w:val="22"/>
              </w:rPr>
            </w:pPr>
            <w:r>
              <w:rPr>
                <w:rFonts w:cs="Arial" w:ascii="Arial" w:hAnsi="Arial"/>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522"/>
        <w:gridCol w:w="9917"/>
      </w:tblGrid>
      <w:tr>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sz w:val="22"/>
                <w:szCs w:val="22"/>
              </w:rPr>
            </w:pPr>
            <w:r>
              <w:rPr>
                <w:rFonts w:cs="Arial"/>
                <w:b/>
                <w:sz w:val="22"/>
                <w:szCs w:val="22"/>
              </w:rPr>
              <w:t>Standard Duties:</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tcBorders>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1.</w:t>
            </w:r>
          </w:p>
        </w:tc>
        <w:tc>
          <w:tcPr>
            <w:tcW w:w="9917" w:type="dxa"/>
            <w:tcBorders>
              <w:top w:val="single" w:sz="4" w:space="0" w:color="000000"/>
              <w:right w:val="single" w:sz="4" w:space="0" w:color="000000"/>
            </w:tcBorders>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To actively promote the equalities and diversity agenda in the workplace and in service delivery.</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2.</w:t>
            </w:r>
          </w:p>
        </w:tc>
        <w:tc>
          <w:tcPr>
            <w:tcW w:w="9917" w:type="dxa"/>
            <w:tcBorders>
              <w:right w:val="single" w:sz="4" w:space="0" w:color="000000"/>
            </w:tcBorders>
          </w:tcPr>
          <w:p>
            <w:pPr>
              <w:pStyle w:val="Normal"/>
              <w:jc w:val="both"/>
              <w:rPr>
                <w:rFonts w:cs="Arial"/>
                <w:sz w:val="22"/>
                <w:szCs w:val="22"/>
              </w:rPr>
            </w:pPr>
            <w:r>
              <w:rPr>
                <w:rFonts w:cs="Arial"/>
                <w:sz w:val="22"/>
                <w:szCs w:val="22"/>
              </w:rPr>
              <w:t>To 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3.</w:t>
            </w:r>
          </w:p>
        </w:tc>
        <w:tc>
          <w:tcPr>
            <w:tcW w:w="9917" w:type="dxa"/>
            <w:tcBorders>
              <w:right w:val="single" w:sz="4" w:space="0" w:color="000000"/>
            </w:tcBorders>
          </w:tcPr>
          <w:p>
            <w:pPr>
              <w:pStyle w:val="Normal"/>
              <w:jc w:val="both"/>
              <w:rPr>
                <w:rFonts w:cs="Arial"/>
                <w:sz w:val="22"/>
                <w:szCs w:val="22"/>
              </w:rPr>
            </w:pPr>
            <w:r>
              <w:rPr>
                <w:rFonts w:cs="Arial"/>
                <w:sz w:val="22"/>
                <w:szCs w:val="22"/>
              </w:rPr>
              <w:t>To actively engage with the behaviours and values of the Council to promote and support our Co-operative Agenda.</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4.</w:t>
            </w:r>
          </w:p>
        </w:tc>
        <w:tc>
          <w:tcPr>
            <w:tcW w:w="9917" w:type="dxa"/>
            <w:tcBorders>
              <w:right w:val="single" w:sz="4" w:space="0" w:color="000000"/>
            </w:tcBorders>
          </w:tcPr>
          <w:p>
            <w:pPr>
              <w:pStyle w:val="Normal"/>
              <w:jc w:val="both"/>
              <w:rPr>
                <w:rFonts w:cs="Arial"/>
                <w:sz w:val="22"/>
                <w:szCs w:val="22"/>
              </w:rPr>
            </w:pPr>
            <w:r>
              <w:rPr>
                <w:rFonts w:cs="Arial"/>
                <w:sz w:val="22"/>
                <w:szCs w:val="22"/>
              </w:rPr>
              <w:t xml:space="preserve">To undertake continuous professional development and to be aware of new developments, legislation, initiatives, guidelines, policies and procedures as appropriate to the role. </w:t>
            </w:r>
          </w:p>
          <w:p>
            <w:pPr>
              <w:pStyle w:val="Normal"/>
              <w:jc w:val="both"/>
              <w:rPr>
                <w:rFonts w:cs="Arial"/>
                <w:b/>
                <w:sz w:val="22"/>
                <w:szCs w:val="22"/>
              </w:rPr>
            </w:pPr>
            <w:r>
              <w:rPr>
                <w:rFonts w:cs="Arial"/>
                <w:b/>
                <w:sz w:val="22"/>
                <w:szCs w:val="22"/>
              </w:rPr>
            </w:r>
          </w:p>
        </w:tc>
      </w:tr>
      <w:tr>
        <w:trPr>
          <w:trHeight w:val="255" w:hRule="atLeast"/>
        </w:trPr>
        <w:tc>
          <w:tcPr>
            <w:tcW w:w="522" w:type="dxa"/>
            <w:tcBorders>
              <w:left w:val="single" w:sz="4" w:space="0" w:color="000000"/>
              <w:bottom w:val="single" w:sz="4" w:space="0" w:color="000000"/>
            </w:tcBorders>
          </w:tcPr>
          <w:p>
            <w:pPr>
              <w:pStyle w:val="Normal"/>
              <w:jc w:val="both"/>
              <w:rPr>
                <w:rFonts w:cs="Arial"/>
                <w:sz w:val="22"/>
                <w:szCs w:val="22"/>
              </w:rPr>
            </w:pPr>
            <w:r>
              <w:rPr>
                <w:rFonts w:cs="Arial"/>
                <w:sz w:val="22"/>
                <w:szCs w:val="22"/>
              </w:rPr>
              <w:t>5.</w:t>
            </w:r>
          </w:p>
        </w:tc>
        <w:tc>
          <w:tcPr>
            <w:tcW w:w="9917" w:type="dxa"/>
            <w:tcBorders>
              <w:bottom w:val="single" w:sz="4" w:space="0" w:color="000000"/>
              <w:right w:val="single" w:sz="4" w:space="0" w:color="000000"/>
            </w:tcBorders>
          </w:tcPr>
          <w:p>
            <w:pPr>
              <w:pStyle w:val="Normal"/>
              <w:jc w:val="both"/>
              <w:rPr>
                <w:rFonts w:cs="Arial"/>
                <w:sz w:val="22"/>
                <w:szCs w:val="22"/>
              </w:rPr>
            </w:pPr>
            <w:r>
              <w:rPr>
                <w:rFonts w:cs="Arial"/>
                <w:sz w:val="22"/>
                <w:szCs w:val="22"/>
              </w:rPr>
              <w:t>Undertake any additional duties commensurate with the level of the post.</w:t>
            </w:r>
          </w:p>
          <w:p>
            <w:pPr>
              <w:pStyle w:val="Normal"/>
              <w:jc w:val="both"/>
              <w:rPr>
                <w:rFonts w:cs="Arial"/>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jc w:val="both"/>
              <w:rPr/>
            </w:pPr>
            <w:r>
              <w:rPr>
                <w:rFonts w:cs="Arial"/>
                <w:b/>
                <w:sz w:val="22"/>
                <w:szCs w:val="22"/>
              </w:rPr>
              <w:t>Contacts:</w:t>
            </w:r>
            <w:r>
              <w:rPr>
                <w:rFonts w:cs="Arial"/>
                <w:sz w:val="22"/>
                <w:szCs w:val="22"/>
              </w:rPr>
              <w:t xml:space="preserve"> </w:t>
            </w:r>
          </w:p>
          <w:p>
            <w:pPr>
              <w:pStyle w:val="Normal"/>
              <w:rPr>
                <w:rFonts w:cs="Arial"/>
                <w:sz w:val="22"/>
                <w:szCs w:val="22"/>
              </w:rPr>
            </w:pPr>
            <w:r>
              <w:rPr>
                <w:rFonts w:cs="Arial"/>
                <w:sz w:val="22"/>
                <w:szCs w:val="22"/>
              </w:rPr>
              <w:t>Colleagues within own team and the rest of the council, internal and external customers including the public, partner organisations, responsible authorities, elected members.</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bookmarkStart w:id="0" w:name="_Hlk95121094"/>
      <w:bookmarkStart w:id="1" w:name="_Hlk95121094"/>
      <w:bookmarkEnd w:id="1"/>
    </w:p>
    <w:tbl>
      <w:tblPr>
        <w:tblW w:w="10439" w:type="dxa"/>
        <w:jc w:val="left"/>
        <w:tblInd w:w="-504" w:type="dxa"/>
        <w:tblLayout w:type="fixed"/>
        <w:tblCellMar>
          <w:top w:w="0" w:type="dxa"/>
          <w:left w:w="108" w:type="dxa"/>
          <w:bottom w:w="0" w:type="dxa"/>
          <w:right w:w="108" w:type="dxa"/>
        </w:tblCellMar>
      </w:tblPr>
      <w:tblGrid>
        <w:gridCol w:w="2106"/>
        <w:gridCol w:w="8333"/>
      </w:tblGrid>
      <w:tr>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BodyText"/>
              <w:rPr>
                <w:rFonts w:cs="Arial"/>
                <w:szCs w:val="22"/>
              </w:rPr>
            </w:pPr>
            <w:r>
              <w:rPr>
                <w:rFonts w:cs="Arial"/>
                <w:szCs w:val="22"/>
              </w:rPr>
              <w:t>Relationship To Other Posts In The Department:</w:t>
            </w:r>
          </w:p>
          <w:p>
            <w:pPr>
              <w:pStyle w:val="Normal"/>
              <w:rPr>
                <w:rFonts w:cs="Arial"/>
                <w:sz w:val="22"/>
                <w:szCs w:val="22"/>
              </w:rPr>
            </w:pPr>
            <w:r>
              <w:rPr>
                <w:rFonts w:cs="Arial"/>
                <w:sz w:val="22"/>
                <w:szCs w:val="22"/>
              </w:rPr>
            </w:r>
          </w:p>
        </w:tc>
      </w:tr>
      <w:tr>
        <w:trPr>
          <w:trHeight w:val="518" w:hRule="atLeast"/>
        </w:trPr>
        <w:tc>
          <w:tcPr>
            <w:tcW w:w="2106" w:type="dxa"/>
            <w:tcBorders>
              <w:top w:val="single" w:sz="4" w:space="0" w:color="000000"/>
              <w:left w:val="single" w:sz="4" w:space="0" w:color="000000"/>
            </w:tcBorders>
          </w:tcPr>
          <w:p>
            <w:pPr>
              <w:pStyle w:val="Normal"/>
              <w:rPr>
                <w:rFonts w:cs="Arial"/>
                <w:b/>
                <w:sz w:val="22"/>
                <w:szCs w:val="22"/>
              </w:rPr>
            </w:pPr>
            <w:r>
              <w:rPr>
                <w:rFonts w:cs="Arial"/>
                <w:b/>
                <w:sz w:val="22"/>
                <w:szCs w:val="22"/>
              </w:rPr>
              <w:t xml:space="preserve">Responsible to: </w:t>
            </w:r>
          </w:p>
          <w:p>
            <w:pPr>
              <w:pStyle w:val="Normal"/>
              <w:rPr>
                <w:rFonts w:cs="Arial"/>
                <w:sz w:val="22"/>
                <w:szCs w:val="22"/>
              </w:rPr>
            </w:pPr>
            <w:r>
              <w:rPr>
                <w:rFonts w:cs="Arial"/>
                <w:sz w:val="22"/>
                <w:szCs w:val="22"/>
              </w:rPr>
            </w:r>
          </w:p>
        </w:tc>
        <w:tc>
          <w:tcPr>
            <w:tcW w:w="8333" w:type="dxa"/>
            <w:tcBorders>
              <w:top w:val="single" w:sz="4" w:space="0" w:color="000000"/>
              <w:right w:val="single" w:sz="4" w:space="0" w:color="000000"/>
            </w:tcBorders>
          </w:tcPr>
          <w:p>
            <w:pPr>
              <w:pStyle w:val="BodyText"/>
              <w:rPr>
                <w:rFonts w:cs="Arial"/>
                <w:b w:val="false"/>
                <w:bCs/>
                <w:szCs w:val="22"/>
              </w:rPr>
            </w:pPr>
            <w:r>
              <w:rPr>
                <w:rFonts w:cs="Arial"/>
                <w:b w:val="false"/>
                <w:bCs/>
                <w:szCs w:val="22"/>
              </w:rPr>
              <w:t>Licensing Technical Support Lead &amp; Licensing Manager</w:t>
            </w:r>
          </w:p>
        </w:tc>
      </w:tr>
      <w:tr>
        <w:trPr>
          <w:trHeight w:val="517" w:hRule="atLeast"/>
        </w:trPr>
        <w:tc>
          <w:tcPr>
            <w:tcW w:w="2106" w:type="dxa"/>
            <w:tcBorders>
              <w:left w:val="single" w:sz="4" w:space="0" w:color="000000"/>
              <w:bottom w:val="single" w:sz="4" w:space="0" w:color="000000"/>
            </w:tcBorders>
          </w:tcPr>
          <w:p>
            <w:pPr>
              <w:pStyle w:val="Normal"/>
              <w:rPr>
                <w:rFonts w:cs="Arial"/>
                <w:b/>
                <w:sz w:val="22"/>
                <w:szCs w:val="22"/>
              </w:rPr>
            </w:pPr>
            <w:r>
              <w:rPr>
                <w:rFonts w:cs="Arial"/>
                <w:b/>
                <w:sz w:val="22"/>
                <w:szCs w:val="22"/>
              </w:rPr>
              <w:t>Responsible for:</w:t>
            </w:r>
          </w:p>
        </w:tc>
        <w:tc>
          <w:tcPr>
            <w:tcW w:w="8333" w:type="dxa"/>
            <w:tcBorders>
              <w:bottom w:val="single" w:sz="4" w:space="0" w:color="000000"/>
              <w:right w:val="single" w:sz="4" w:space="0" w:color="000000"/>
            </w:tcBorders>
          </w:tcPr>
          <w:p>
            <w:pPr>
              <w:pStyle w:val="Normal"/>
              <w:rPr>
                <w:rFonts w:cs="Arial"/>
                <w:sz w:val="22"/>
                <w:szCs w:val="22"/>
              </w:rPr>
            </w:pPr>
            <w:r>
              <w:rPr>
                <w:rFonts w:cs="Arial"/>
                <w:sz w:val="22"/>
                <w:szCs w:val="22"/>
              </w:rPr>
              <w:t>N/A</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rPr>
                <w:rFonts w:cs="Arial"/>
                <w:b/>
                <w:sz w:val="22"/>
                <w:szCs w:val="22"/>
              </w:rPr>
            </w:pPr>
            <w:r>
              <w:rPr>
                <w:rFonts w:cs="Arial"/>
                <w:b/>
                <w:sz w:val="22"/>
                <w:szCs w:val="22"/>
              </w:rPr>
              <w:t xml:space="preserve">Special Conditions: </w:t>
            </w:r>
          </w:p>
          <w:p>
            <w:pPr>
              <w:pStyle w:val="Normal"/>
              <w:rPr>
                <w:rFonts w:cs="Arial"/>
                <w:sz w:val="22"/>
                <w:szCs w:val="22"/>
              </w:rPr>
            </w:pPr>
            <w:r>
              <w:rPr>
                <w:rFonts w:cs="Arial"/>
                <w:sz w:val="22"/>
                <w:szCs w:val="22"/>
              </w:rPr>
              <w:t xml:space="preserve">The service operates a customer-facing reception service which the postholder will be expected to cover as directed in line with service needs. This includes both the main office reception and in addition the taxi testing reception at Moorhey Street. These will be covered on a rotational basis. (The cover of the taxi testing reception will only take place on completion of the Level 3 Business Admin apprenticeship.)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In accordance with Section 77 of the Immigration Act 2016, this post requires the ability to converse with ease with members of the public and provide advice in accurate spoken English.</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Values and Behaviours:</w:t>
            </w:r>
          </w:p>
          <w:p>
            <w:pPr>
              <w:pStyle w:val="Normal"/>
              <w:rPr>
                <w:rFonts w:cs="Arial"/>
                <w:b/>
                <w:sz w:val="22"/>
                <w:szCs w:val="22"/>
              </w:rPr>
            </w:pPr>
            <w:r>
              <w:rPr>
                <w:rFonts w:cs="Arial"/>
                <w:b/>
                <w:sz w:val="22"/>
                <w:szCs w:val="22"/>
              </w:rPr>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hd w:fill="FFFFFF" w:val="clear"/>
              <w:spacing w:lineRule="auto" w:line="256" w:before="0" w:after="379"/>
              <w:jc w:val="both"/>
              <w:rPr/>
            </w:pPr>
            <w:r>
              <w:rPr>
                <w:rFonts w:eastAsia="Helvetica;Arial" w:cs="Helvetica;Arial" w:ascii="Helvetica;Arial" w:hAnsi="Helvetica;Arial"/>
                <w:lang w:val="en-US"/>
              </w:rPr>
              <w:t>B</w:t>
            </w:r>
            <w:r>
              <w:rPr>
                <w:rFonts w:eastAsia="Arial" w:cs="Arial"/>
                <w:sz w:val="22"/>
                <w:szCs w:val="22"/>
                <w:lang w:val="en-US"/>
              </w:rPr>
              <w:t>y living our Values and Behaviours we will deliver the change we need to meet our Corporate ambitions for Oldham.</w:t>
            </w:r>
          </w:p>
          <w:p>
            <w:pPr>
              <w:pStyle w:val="Normal"/>
              <w:spacing w:lineRule="auto" w:line="256" w:before="280" w:after="280"/>
              <w:jc w:val="both"/>
              <w:rPr>
                <w:rFonts w:eastAsia="Arial" w:cs="Arial"/>
                <w:b/>
                <w:bCs/>
                <w:sz w:val="22"/>
                <w:szCs w:val="22"/>
                <w:lang w:val="en-US" w:eastAsia="en-GB"/>
              </w:rPr>
            </w:pPr>
            <w:r>
              <w:rPr>
                <w:rFonts w:eastAsia="Arial" w:cs="Arial"/>
                <w:b/>
                <w:bCs/>
                <w:sz w:val="22"/>
                <w:szCs w:val="22"/>
                <w:lang w:val="en-US" w:eastAsia="en-GB"/>
              </w:rPr>
              <w:t>Our Values: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Proud</w:t>
            </w:r>
          </w:p>
          <w:p>
            <w:pPr>
              <w:pStyle w:val="Normal"/>
              <w:shd w:fill="FFFFFF" w:val="clear"/>
              <w:spacing w:before="0" w:after="379"/>
              <w:jc w:val="both"/>
              <w:rPr>
                <w:rFonts w:eastAsia="Arial" w:cs="Arial"/>
                <w:sz w:val="22"/>
                <w:szCs w:val="22"/>
                <w:lang w:val="en-US"/>
              </w:rPr>
            </w:pPr>
            <w:r>
              <w:rPr>
                <w:rFonts w:eastAsia="Arial" w:cs="Arial"/>
                <w:sz w:val="22"/>
                <w:szCs w:val="22"/>
                <w:lang w:val="en-US"/>
              </w:rPr>
              <w:t>We take pride not only in what we deliver for the residents of Oldham but also in how we deliver it.</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Ambitious</w:t>
            </w:r>
          </w:p>
          <w:p>
            <w:pPr>
              <w:pStyle w:val="Normal"/>
              <w:shd w:fill="FFFFFF" w:val="clear"/>
              <w:spacing w:before="0" w:after="379"/>
              <w:jc w:val="both"/>
              <w:rPr>
                <w:rFonts w:eastAsia="Arial" w:cs="Arial"/>
                <w:sz w:val="22"/>
                <w:szCs w:val="22"/>
                <w:lang w:val="en-US"/>
              </w:rPr>
            </w:pPr>
            <w:r>
              <w:rPr>
                <w:rFonts w:eastAsia="Arial" w:cs="Arial"/>
                <w:sz w:val="22"/>
                <w:szCs w:val="22"/>
                <w:lang w:val="en-US"/>
              </w:rPr>
              <w:t>We recognise the challenges we face and are committed to setting high aspirations to overcome them, with determination and focus.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Together</w:t>
            </w:r>
          </w:p>
          <w:p>
            <w:pPr>
              <w:pStyle w:val="Normal"/>
              <w:spacing w:before="280" w:after="0"/>
              <w:jc w:val="both"/>
              <w:rPr>
                <w:rFonts w:eastAsia="Arial" w:cs="Arial"/>
                <w:sz w:val="22"/>
                <w:szCs w:val="22"/>
                <w:lang w:val="en-US"/>
              </w:rPr>
            </w:pPr>
            <w:r>
              <w:rPr>
                <w:rFonts w:eastAsia="Arial" w:cs="Arial"/>
                <w:sz w:val="22"/>
                <w:szCs w:val="22"/>
                <w:lang w:val="en-US"/>
              </w:rPr>
              <w:t>We believe in shared solutions, working across sectors and with our communities to achieve common goals and deliver the quality services Oldham deserves.</w:t>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rPr/>
            </w:pPr>
            <w:r>
              <w:rPr>
                <w:rFonts w:eastAsia="Arial" w:cs="Arial"/>
                <w:sz w:val="22"/>
                <w:szCs w:val="22"/>
                <w:lang w:val="en"/>
              </w:rPr>
              <w:t xml:space="preserve">We have </w:t>
            </w:r>
            <w:r>
              <w:rPr>
                <w:rFonts w:eastAsia="Arial" w:cs="Arial"/>
                <w:b/>
                <w:bCs/>
                <w:sz w:val="22"/>
                <w:szCs w:val="22"/>
                <w:lang w:val="en"/>
              </w:rPr>
              <w:t xml:space="preserve">five Behaviours </w:t>
            </w:r>
            <w:r>
              <w:rPr>
                <w:rFonts w:eastAsia="Arial" w:cs="Arial"/>
                <w:sz w:val="22"/>
                <w:szCs w:val="22"/>
                <w:lang w:val="en"/>
              </w:rPr>
              <w:t>which outline the priority areas of focus for staff at all levels:</w:t>
            </w:r>
          </w:p>
          <w:p>
            <w:pPr>
              <w:pStyle w:val="Normal"/>
              <w:rPr>
                <w:rFonts w:eastAsia="Arial" w:cs="Arial"/>
                <w:sz w:val="22"/>
                <w:szCs w:val="22"/>
              </w:rPr>
            </w:pPr>
            <w:r>
              <w:rPr>
                <w:rFonts w:eastAsia="Arial" w:cs="Arial"/>
                <w:sz w:val="22"/>
                <w:szCs w:val="22"/>
              </w:rPr>
            </w:r>
          </w:p>
          <w:p>
            <w:pPr>
              <w:pStyle w:val="ListParagraph"/>
              <w:numPr>
                <w:ilvl w:val="0"/>
                <w:numId w:val="2"/>
              </w:numPr>
              <w:rPr/>
            </w:pPr>
            <w:r>
              <w:rPr>
                <w:rFonts w:eastAsia="Arial" w:cs="Arial" w:ascii="Arial" w:hAnsi="Arial"/>
              </w:rPr>
              <w:t>Work with a Resident Focus</w:t>
            </w:r>
          </w:p>
          <w:p>
            <w:pPr>
              <w:pStyle w:val="ListParagraph"/>
              <w:numPr>
                <w:ilvl w:val="0"/>
                <w:numId w:val="2"/>
              </w:numPr>
              <w:rPr/>
            </w:pPr>
            <w:r>
              <w:rPr>
                <w:rFonts w:eastAsia="Arial" w:cs="Arial" w:ascii="Arial" w:hAnsi="Arial"/>
              </w:rPr>
              <w:t>Support Local Leaders</w:t>
            </w:r>
          </w:p>
          <w:p>
            <w:pPr>
              <w:pStyle w:val="ListParagraph"/>
              <w:numPr>
                <w:ilvl w:val="0"/>
                <w:numId w:val="2"/>
              </w:numPr>
              <w:rPr/>
            </w:pPr>
            <w:r>
              <w:rPr>
                <w:rFonts w:eastAsia="Arial" w:cs="Arial" w:ascii="Arial" w:hAnsi="Arial"/>
              </w:rPr>
              <w:t>Committed to the Borough</w:t>
            </w:r>
          </w:p>
          <w:p>
            <w:pPr>
              <w:pStyle w:val="ListParagraph"/>
              <w:numPr>
                <w:ilvl w:val="0"/>
                <w:numId w:val="2"/>
              </w:numPr>
              <w:rPr/>
            </w:pPr>
            <w:r>
              <w:rPr>
                <w:rFonts w:eastAsia="Arial" w:cs="Arial" w:ascii="Arial" w:hAnsi="Arial"/>
              </w:rPr>
              <w:t>Take Ownership and Drive Change</w:t>
            </w:r>
          </w:p>
          <w:p>
            <w:pPr>
              <w:pStyle w:val="ListParagraph"/>
              <w:numPr>
                <w:ilvl w:val="0"/>
                <w:numId w:val="2"/>
              </w:numPr>
              <w:rPr/>
            </w:pPr>
            <w:r>
              <w:rPr>
                <w:rFonts w:eastAsia="Arial" w:cs="Arial" w:ascii="Arial" w:hAnsi="Arial"/>
              </w:rPr>
              <w:t xml:space="preserve">Deliver High Performance </w:t>
            </w:r>
          </w:p>
          <w:p>
            <w:pPr>
              <w:pStyle w:val="Normal"/>
              <w:rPr>
                <w:rFonts w:eastAsia="Arial" w:cs="Arial"/>
                <w:sz w:val="22"/>
                <w:szCs w:val="22"/>
              </w:rPr>
            </w:pPr>
            <w:r>
              <w:rPr>
                <w:rFonts w:eastAsia="Arial" w:cs="Arial"/>
                <w:sz w:val="22"/>
                <w:szCs w:val="22"/>
              </w:rPr>
            </w:r>
          </w:p>
          <w:p>
            <w:pPr>
              <w:pStyle w:val="Normal"/>
              <w:rPr/>
            </w:pPr>
            <w:r>
              <w:rPr>
                <w:rFonts w:eastAsia="Arial" w:cs="Arial"/>
                <w:sz w:val="22"/>
                <w:szCs w:val="22"/>
              </w:rPr>
              <w:t xml:space="preserve">More information about our Corporate Plan and our Values and Behaviours can be found on our </w:t>
            </w:r>
            <w:r>
              <w:rPr>
                <w:rStyle w:val="Hyperlink"/>
                <w:rFonts w:eastAsia="Arial" w:cs="Arial"/>
                <w:sz w:val="22"/>
                <w:szCs w:val="22"/>
              </w:rPr>
              <w:t>Greater. Jobs pages</w:t>
            </w:r>
            <w:r>
              <w:rPr>
                <w:rFonts w:eastAsia="Arial" w:cs="Arial"/>
                <w:sz w:val="22"/>
                <w:szCs w:val="22"/>
              </w:rPr>
              <w:t xml:space="preserve"> together with information about the staff benefits we offer.</w:t>
            </w:r>
          </w:p>
          <w:p>
            <w:pPr>
              <w:pStyle w:val="Normal"/>
              <w:rPr>
                <w:rFonts w:cs="Arial"/>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1620"/>
        <w:gridCol w:w="1800"/>
        <w:gridCol w:w="2160"/>
        <w:gridCol w:w="4859"/>
      </w:tblGrid>
      <w:tr>
        <w:trPr/>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Header"/>
              <w:tabs>
                <w:tab w:val="clear" w:pos="4153"/>
                <w:tab w:val="clear" w:pos="8306"/>
              </w:tabs>
              <w:snapToGrid w:val="false"/>
              <w:spacing w:before="60" w:after="60"/>
              <w:rPr>
                <w:rFonts w:cs="Arial"/>
                <w:szCs w:val="22"/>
              </w:rPr>
            </w:pPr>
            <w:r>
              <w:rPr>
                <w:rFonts w:cs="Arial"/>
                <w:szCs w:val="22"/>
              </w:rPr>
            </w:r>
          </w:p>
        </w:tc>
        <w:tc>
          <w:tcPr>
            <w:tcW w:w="180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DATE</w:t>
            </w:r>
          </w:p>
        </w:tc>
        <w:tc>
          <w:tcPr>
            <w:tcW w:w="216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NAME</w:t>
            </w:r>
          </w:p>
        </w:tc>
        <w:tc>
          <w:tcPr>
            <w:tcW w:w="485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POST TITLE</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Prepared</w:t>
            </w:r>
          </w:p>
        </w:tc>
        <w:tc>
          <w:tcPr>
            <w:tcW w:w="180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03.01.2023</w:t>
            </w:r>
          </w:p>
        </w:tc>
        <w:tc>
          <w:tcPr>
            <w:tcW w:w="216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N. Lord</w:t>
            </w:r>
          </w:p>
        </w:tc>
        <w:tc>
          <w:tcPr>
            <w:tcW w:w="4859"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Principal Licensing Officer</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J. Garforth</w:t>
            </w:r>
          </w:p>
        </w:tc>
        <w:tc>
          <w:tcPr>
            <w:tcW w:w="4859"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TS &amp; Licensing Manager</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16/02/2026</w:t>
            </w:r>
          </w:p>
        </w:tc>
        <w:tc>
          <w:tcPr>
            <w:tcW w:w="216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N Lord</w:t>
            </w:r>
          </w:p>
        </w:tc>
        <w:tc>
          <w:tcPr>
            <w:tcW w:w="4859"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Principal Licensing Officer</w:t>
            </w:r>
          </w:p>
        </w:tc>
      </w:tr>
    </w:tbl>
    <w:p>
      <w:pPr>
        <w:pStyle w:val="Normal"/>
        <w:jc w:val="center"/>
        <w:rPr>
          <w:rFonts w:cs="Arial"/>
          <w:b/>
          <w:bCs/>
          <w:sz w:val="22"/>
          <w:szCs w:val="22"/>
          <w:u w:val="single"/>
        </w:rPr>
      </w:pPr>
      <w:r>
        <w:br w:type="page"/>
      </w: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EndnoteText"/>
        <w:rPr/>
      </w:pPr>
      <w:r>
        <w:rPr>
          <w:rFonts w:cs="Arial" w:ascii="Arial" w:hAnsi="Arial"/>
          <w:b/>
          <w:bCs/>
          <w:sz w:val="22"/>
          <w:szCs w:val="22"/>
        </w:rPr>
        <w:t xml:space="preserve">Job Title:      </w:t>
      </w:r>
      <w:r>
        <w:rPr>
          <w:rFonts w:cs="Arial" w:ascii="Arial" w:hAnsi="Arial"/>
          <w:sz w:val="22"/>
          <w:szCs w:val="22"/>
        </w:rPr>
        <w:t>Licensing Technical Support Officer (L3 Business Admin Apprenticeship)</w:t>
      </w:r>
    </w:p>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1799"/>
        <w:gridCol w:w="3960"/>
        <w:gridCol w:w="3060"/>
        <w:gridCol w:w="1620"/>
      </w:tblGrid>
      <w:tr>
        <w:trPr>
          <w:trHeight w:val="1000" w:hRule="atLeast"/>
          <w:cantSplit w:val="true"/>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 xml:space="preserve">Selection criteria </w:t>
            </w:r>
          </w:p>
          <w:p>
            <w:pPr>
              <w:pStyle w:val="Normal"/>
              <w:jc w:val="center"/>
              <w:rPr>
                <w:rFonts w:cs="Arial"/>
                <w:b/>
                <w:bCs/>
                <w:sz w:val="22"/>
                <w:szCs w:val="22"/>
              </w:rPr>
            </w:pPr>
            <w:r>
              <w:rPr>
                <w:rFonts w:cs="Arial"/>
                <w:b/>
                <w:bCs/>
                <w:sz w:val="22"/>
                <w:szCs w:val="22"/>
              </w:rPr>
              <w:t>(Essential)</w:t>
            </w:r>
          </w:p>
        </w:tc>
        <w:tc>
          <w:tcPr>
            <w:tcW w:w="30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 xml:space="preserve">Selection criteria </w:t>
            </w:r>
          </w:p>
          <w:p>
            <w:pPr>
              <w:pStyle w:val="Normal"/>
              <w:jc w:val="center"/>
              <w:rPr>
                <w:rFonts w:cs="Arial"/>
                <w:b/>
                <w:bCs/>
                <w:sz w:val="22"/>
                <w:szCs w:val="22"/>
              </w:rPr>
            </w:pPr>
            <w:r>
              <w:rPr>
                <w:rFonts w:cs="Arial"/>
                <w:b/>
                <w:bCs/>
                <w:sz w:val="22"/>
                <w:szCs w:val="22"/>
              </w:rPr>
              <w:t>(Desirable)</w:t>
            </w:r>
          </w:p>
          <w:p>
            <w:pPr>
              <w:pStyle w:val="Normal"/>
              <w:jc w:val="center"/>
              <w:rPr>
                <w:rFonts w:cs="Arial"/>
                <w:b/>
                <w:bCs/>
                <w:sz w:val="22"/>
                <w:szCs w:val="22"/>
              </w:rPr>
            </w:pPr>
            <w:r>
              <w:rPr>
                <w:rFonts w:cs="Arial"/>
                <w:b/>
                <w:bCs/>
                <w:sz w:val="22"/>
                <w:szCs w:val="22"/>
              </w:rPr>
            </w:r>
          </w:p>
        </w:tc>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How Assessed</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BodyText"/>
              <w:rPr>
                <w:rFonts w:cs="Arial"/>
                <w:bCs/>
                <w:szCs w:val="22"/>
              </w:rPr>
            </w:pPr>
            <w:r>
              <w:rPr>
                <w:rFonts w:cs="Arial"/>
                <w:bCs/>
                <w:szCs w:val="22"/>
              </w:rPr>
              <w:t>Education &amp; Qualifications</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Sufficient literacy and numeracy to undertake the tasks and duties of the role</w:t>
            </w:r>
          </w:p>
          <w:p>
            <w:pPr>
              <w:pStyle w:val="Header"/>
              <w:tabs>
                <w:tab w:val="clear" w:pos="4153"/>
                <w:tab w:val="clear" w:pos="8306"/>
              </w:tabs>
              <w:rPr>
                <w:rFonts w:cs="Arial"/>
                <w:szCs w:val="22"/>
              </w:rPr>
            </w:pPr>
            <w:r>
              <w:rPr>
                <w:rFonts w:cs="Arial"/>
                <w:szCs w:val="22"/>
              </w:rPr>
            </w:r>
          </w:p>
          <w:p>
            <w:pPr>
              <w:pStyle w:val="Header"/>
              <w:tabs>
                <w:tab w:val="clear" w:pos="4153"/>
                <w:tab w:val="clear" w:pos="8306"/>
              </w:tabs>
              <w:rPr>
                <w:rFonts w:cs="Arial"/>
                <w:szCs w:val="22"/>
              </w:rPr>
            </w:pPr>
            <w:r>
              <w:rPr>
                <w:rFonts w:cs="Arial"/>
                <w:szCs w:val="22"/>
              </w:rPr>
              <w:t>Willingness to work toward and undertake the Award for Personal Licensing Holders Qualification</w:t>
            </w:r>
          </w:p>
          <w:p>
            <w:pPr>
              <w:pStyle w:val="Header"/>
              <w:tabs>
                <w:tab w:val="clear" w:pos="4153"/>
                <w:tab w:val="clear" w:pos="8306"/>
              </w:tabs>
              <w:rPr>
                <w:rFonts w:cs="Arial"/>
                <w:szCs w:val="22"/>
              </w:rPr>
            </w:pPr>
            <w:r>
              <w:rPr>
                <w:rFonts w:cs="Arial"/>
                <w:szCs w:val="22"/>
              </w:rPr>
            </w:r>
          </w:p>
          <w:p>
            <w:pPr>
              <w:pStyle w:val="Header"/>
              <w:tabs>
                <w:tab w:val="clear" w:pos="4153"/>
                <w:tab w:val="clear" w:pos="8306"/>
              </w:tabs>
              <w:rPr>
                <w:rFonts w:cs="Arial"/>
                <w:szCs w:val="22"/>
              </w:rPr>
            </w:pPr>
            <w:r>
              <w:rPr>
                <w:rFonts w:cs="Arial"/>
                <w:szCs w:val="22"/>
              </w:rPr>
              <w:t>Willingness to work toward and undertake the Professional Licensing Practitioners Qualification</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snapToGrid w:val="false"/>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EndnoteText"/>
              <w:snapToGrid w:val="false"/>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Experience</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bCs/>
                <w:sz w:val="22"/>
                <w:szCs w:val="22"/>
              </w:rPr>
            </w:pPr>
            <w:r>
              <w:rPr>
                <w:rFonts w:cs="Arial"/>
                <w:b/>
                <w:bCs/>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Experience of working within a regulatory role and specifically within the area of Licensing</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Experience of using databases for the purpose of licensing functions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Experience of dealing with other authorities such as GMP, GMFRS as well as Elected Members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Experience of working in a busy administrative role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Experience of a range of general office systems and procedures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Experience of working with members of the public, and with other agencies, including a demonstratable understanding of the concept of customer care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Experience of working in accordance with policies and implementing those in day-to-day role</w:t>
            </w:r>
          </w:p>
          <w:p>
            <w:pPr>
              <w:pStyle w:val="Normal"/>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ind w:left="-102" w:right="0"/>
              <w:jc w:val="center"/>
              <w:rPr>
                <w:rFonts w:cs="Arial"/>
                <w:sz w:val="22"/>
                <w:szCs w:val="22"/>
              </w:rPr>
            </w:pPr>
            <w:r>
              <w:rPr>
                <w:rFonts w:cs="Arial"/>
                <w:sz w:val="22"/>
                <w:szCs w:val="22"/>
              </w:rPr>
              <w:t>AF / I</w:t>
            </w:r>
          </w:p>
          <w:p>
            <w:pPr>
              <w:pStyle w:val="Normal"/>
              <w:ind w:left="-102" w:right="0"/>
              <w:jc w:val="center"/>
              <w:rPr>
                <w:rFonts w:cs="Arial"/>
                <w:sz w:val="22"/>
                <w:szCs w:val="22"/>
              </w:rPr>
            </w:pPr>
            <w:r>
              <w:rPr>
                <w:rFonts w:cs="Arial"/>
                <w:sz w:val="22"/>
                <w:szCs w:val="22"/>
              </w:rPr>
            </w:r>
          </w:p>
          <w:p>
            <w:pPr>
              <w:pStyle w:val="Normal"/>
              <w:ind w:left="-102" w:right="0"/>
              <w:jc w:val="center"/>
              <w:rPr>
                <w:rFonts w:cs="Arial"/>
                <w:sz w:val="22"/>
                <w:szCs w:val="22"/>
              </w:rPr>
            </w:pPr>
            <w:r>
              <w:rPr>
                <w:rFonts w:cs="Arial"/>
                <w:sz w:val="22"/>
                <w:szCs w:val="22"/>
              </w:rPr>
            </w:r>
          </w:p>
          <w:p>
            <w:pPr>
              <w:pStyle w:val="Normal"/>
              <w:ind w:left="-102" w:right="0"/>
              <w:jc w:val="center"/>
              <w:rPr>
                <w:rFonts w:cs="Arial"/>
                <w:sz w:val="22"/>
                <w:szCs w:val="22"/>
              </w:rPr>
            </w:pPr>
            <w:r>
              <w:rPr>
                <w:rFonts w:cs="Arial"/>
                <w:sz w:val="22"/>
                <w:szCs w:val="22"/>
              </w:rPr>
              <w:t>AF / I</w:t>
            </w:r>
          </w:p>
          <w:p>
            <w:pPr>
              <w:pStyle w:val="Normal"/>
              <w:ind w:left="-102" w:right="0"/>
              <w:jc w:val="center"/>
              <w:rPr>
                <w:rFonts w:cs="Arial"/>
                <w:sz w:val="22"/>
                <w:szCs w:val="22"/>
              </w:rPr>
            </w:pPr>
            <w:r>
              <w:rPr>
                <w:rFonts w:cs="Arial"/>
                <w:sz w:val="22"/>
                <w:szCs w:val="22"/>
              </w:rPr>
            </w:r>
          </w:p>
          <w:p>
            <w:pPr>
              <w:pStyle w:val="Normal"/>
              <w:ind w:left="-102" w:right="0"/>
              <w:jc w:val="center"/>
              <w:rPr>
                <w:rFonts w:cs="Arial"/>
                <w:sz w:val="22"/>
                <w:szCs w:val="22"/>
              </w:rPr>
            </w:pPr>
            <w:r>
              <w:rPr>
                <w:rFonts w:cs="Arial"/>
                <w:sz w:val="22"/>
                <w:szCs w:val="22"/>
              </w:rPr>
            </w:r>
          </w:p>
          <w:p>
            <w:pPr>
              <w:pStyle w:val="Normal"/>
              <w:ind w:left="-102" w:right="0"/>
              <w:jc w:val="center"/>
              <w:rPr>
                <w:rFonts w:cs="Arial"/>
                <w:sz w:val="22"/>
                <w:szCs w:val="22"/>
              </w:rPr>
            </w:pPr>
            <w:r>
              <w:rPr>
                <w:rFonts w:cs="Arial"/>
                <w:sz w:val="22"/>
                <w:szCs w:val="22"/>
              </w:rPr>
              <w:t>AF/ I</w:t>
            </w:r>
          </w:p>
          <w:p>
            <w:pPr>
              <w:pStyle w:val="Normal"/>
              <w:ind w:left="-102" w:right="0"/>
              <w:jc w:val="center"/>
              <w:rPr>
                <w:rFonts w:cs="Arial"/>
                <w:sz w:val="22"/>
                <w:szCs w:val="22"/>
              </w:rPr>
            </w:pPr>
            <w:r>
              <w:rPr>
                <w:rFonts w:cs="Arial"/>
                <w:sz w:val="22"/>
                <w:szCs w:val="22"/>
              </w:rPr>
            </w:r>
          </w:p>
          <w:p>
            <w:pPr>
              <w:pStyle w:val="Normal"/>
              <w:ind w:left="-102" w:right="0"/>
              <w:jc w:val="center"/>
              <w:rPr>
                <w:rFonts w:cs="Arial"/>
                <w:sz w:val="22"/>
                <w:szCs w:val="22"/>
              </w:rPr>
            </w:pPr>
            <w:r>
              <w:rPr>
                <w:rFonts w:cs="Arial"/>
                <w:sz w:val="22"/>
                <w:szCs w:val="22"/>
              </w:rPr>
            </w:r>
          </w:p>
          <w:p>
            <w:pPr>
              <w:pStyle w:val="Normal"/>
              <w:ind w:left="-102" w:right="0"/>
              <w:jc w:val="center"/>
              <w:rPr>
                <w:rFonts w:cs="Arial"/>
                <w:sz w:val="22"/>
                <w:szCs w:val="22"/>
              </w:rPr>
            </w:pPr>
            <w:r>
              <w:rPr>
                <w:rFonts w:cs="Arial"/>
                <w:sz w:val="22"/>
                <w:szCs w:val="22"/>
              </w:rPr>
            </w:r>
          </w:p>
          <w:p>
            <w:pPr>
              <w:pStyle w:val="Normal"/>
              <w:ind w:left="-102" w:right="0"/>
              <w:jc w:val="center"/>
              <w:rPr>
                <w:rFonts w:cs="Arial"/>
                <w:sz w:val="22"/>
                <w:szCs w:val="22"/>
              </w:rPr>
            </w:pPr>
            <w:r>
              <w:rPr>
                <w:rFonts w:cs="Arial"/>
                <w:sz w:val="22"/>
                <w:szCs w:val="22"/>
              </w:rPr>
            </w:r>
          </w:p>
          <w:p>
            <w:pPr>
              <w:pStyle w:val="Normal"/>
              <w:ind w:left="-102" w:right="0"/>
              <w:jc w:val="center"/>
              <w:rPr>
                <w:rFonts w:cs="Arial"/>
                <w:sz w:val="22"/>
                <w:szCs w:val="22"/>
              </w:rPr>
            </w:pPr>
            <w:r>
              <w:rPr>
                <w:rFonts w:cs="Arial"/>
                <w:sz w:val="22"/>
                <w:szCs w:val="22"/>
              </w:rPr>
            </w:r>
          </w:p>
          <w:p>
            <w:pPr>
              <w:pStyle w:val="Normal"/>
              <w:ind w:left="-102" w:right="0"/>
              <w:jc w:val="center"/>
              <w:rPr>
                <w:rFonts w:cs="Arial"/>
                <w:sz w:val="22"/>
                <w:szCs w:val="22"/>
              </w:rPr>
            </w:pPr>
            <w:r>
              <w:rPr>
                <w:rFonts w:cs="Arial"/>
                <w:sz w:val="22"/>
                <w:szCs w:val="22"/>
              </w:rPr>
              <w:t>AF / I</w:t>
            </w:r>
          </w:p>
          <w:p>
            <w:pPr>
              <w:pStyle w:val="Normal"/>
              <w:ind w:left="-102" w:right="0"/>
              <w:jc w:val="center"/>
              <w:rPr>
                <w:rFonts w:cs="Arial"/>
                <w:sz w:val="22"/>
                <w:szCs w:val="22"/>
              </w:rPr>
            </w:pPr>
            <w:r>
              <w:rPr>
                <w:rFonts w:cs="Arial"/>
                <w:sz w:val="22"/>
                <w:szCs w:val="22"/>
              </w:rPr>
            </w:r>
          </w:p>
          <w:p>
            <w:pPr>
              <w:pStyle w:val="Normal"/>
              <w:ind w:left="-102" w:right="0"/>
              <w:jc w:val="center"/>
              <w:rPr>
                <w:rFonts w:cs="Arial"/>
                <w:sz w:val="22"/>
                <w:szCs w:val="22"/>
              </w:rPr>
            </w:pPr>
            <w:r>
              <w:rPr>
                <w:rFonts w:cs="Arial"/>
                <w:sz w:val="22"/>
                <w:szCs w:val="22"/>
              </w:rPr>
              <w:t>AF / I</w:t>
            </w:r>
          </w:p>
          <w:p>
            <w:pPr>
              <w:pStyle w:val="Normal"/>
              <w:ind w:left="-102" w:right="0"/>
              <w:jc w:val="center"/>
              <w:rPr>
                <w:rFonts w:cs="Arial"/>
                <w:sz w:val="22"/>
                <w:szCs w:val="22"/>
              </w:rPr>
            </w:pPr>
            <w:r>
              <w:rPr>
                <w:rFonts w:cs="Arial"/>
                <w:sz w:val="22"/>
                <w:szCs w:val="22"/>
              </w:rPr>
            </w:r>
          </w:p>
          <w:p>
            <w:pPr>
              <w:pStyle w:val="Normal"/>
              <w:ind w:left="-102" w:right="0"/>
              <w:jc w:val="center"/>
              <w:rPr>
                <w:rFonts w:cs="Arial"/>
                <w:sz w:val="22"/>
                <w:szCs w:val="22"/>
              </w:rPr>
            </w:pPr>
            <w:r>
              <w:rPr>
                <w:rFonts w:cs="Arial"/>
                <w:sz w:val="22"/>
                <w:szCs w:val="22"/>
              </w:rPr>
            </w:r>
          </w:p>
          <w:p>
            <w:pPr>
              <w:pStyle w:val="Normal"/>
              <w:ind w:left="-102" w:right="0"/>
              <w:jc w:val="center"/>
              <w:rPr>
                <w:rFonts w:cs="Arial"/>
                <w:sz w:val="22"/>
                <w:szCs w:val="22"/>
              </w:rPr>
            </w:pPr>
            <w:r>
              <w:rPr>
                <w:rFonts w:cs="Arial"/>
                <w:sz w:val="22"/>
                <w:szCs w:val="22"/>
              </w:rPr>
              <w:t>AF / I</w:t>
            </w:r>
          </w:p>
          <w:p>
            <w:pPr>
              <w:pStyle w:val="Normal"/>
              <w:ind w:left="-102" w:right="0"/>
              <w:jc w:val="center"/>
              <w:rPr>
                <w:rFonts w:cs="Arial"/>
                <w:sz w:val="22"/>
                <w:szCs w:val="22"/>
              </w:rPr>
            </w:pPr>
            <w:r>
              <w:rPr>
                <w:rFonts w:cs="Arial"/>
                <w:sz w:val="22"/>
                <w:szCs w:val="22"/>
              </w:rPr>
            </w:r>
          </w:p>
          <w:p>
            <w:pPr>
              <w:pStyle w:val="Normal"/>
              <w:ind w:left="-102" w:right="0"/>
              <w:jc w:val="center"/>
              <w:rPr>
                <w:rFonts w:cs="Arial"/>
                <w:sz w:val="22"/>
                <w:szCs w:val="22"/>
              </w:rPr>
            </w:pPr>
            <w:r>
              <w:rPr>
                <w:rFonts w:cs="Arial"/>
                <w:sz w:val="22"/>
                <w:szCs w:val="22"/>
              </w:rPr>
            </w:r>
          </w:p>
          <w:p>
            <w:pPr>
              <w:pStyle w:val="Normal"/>
              <w:ind w:left="-102" w:right="0"/>
              <w:jc w:val="center"/>
              <w:rPr>
                <w:rFonts w:cs="Arial"/>
                <w:sz w:val="22"/>
                <w:szCs w:val="22"/>
              </w:rPr>
            </w:pPr>
            <w:r>
              <w:rPr>
                <w:rFonts w:cs="Arial"/>
                <w:sz w:val="22"/>
                <w:szCs w:val="22"/>
              </w:rPr>
            </w:r>
          </w:p>
          <w:p>
            <w:pPr>
              <w:pStyle w:val="Normal"/>
              <w:ind w:left="-102" w:right="0"/>
              <w:jc w:val="center"/>
              <w:rPr>
                <w:rFonts w:cs="Arial"/>
                <w:sz w:val="22"/>
                <w:szCs w:val="22"/>
              </w:rPr>
            </w:pPr>
            <w:r>
              <w:rPr>
                <w:rFonts w:cs="Arial"/>
                <w:sz w:val="22"/>
                <w:szCs w:val="22"/>
              </w:rPr>
              <w:t>AF / I</w:t>
            </w:r>
          </w:p>
          <w:p>
            <w:pPr>
              <w:pStyle w:val="Normal"/>
              <w:ind w:left="-102" w:right="0"/>
              <w:jc w:val="center"/>
              <w:rPr>
                <w:rFonts w:cs="Arial"/>
                <w:sz w:val="22"/>
                <w:szCs w:val="22"/>
              </w:rPr>
            </w:pPr>
            <w:r>
              <w:rPr>
                <w:rFonts w:cs="Arial"/>
                <w:sz w:val="22"/>
                <w:szCs w:val="22"/>
              </w:rPr>
            </w:r>
          </w:p>
          <w:p>
            <w:pPr>
              <w:pStyle w:val="Normal"/>
              <w:ind w:left="-102" w:right="0"/>
              <w:jc w:val="center"/>
              <w:rPr>
                <w:rFonts w:cs="Arial"/>
                <w:sz w:val="22"/>
                <w:szCs w:val="22"/>
              </w:rPr>
            </w:pPr>
            <w:r>
              <w:rPr>
                <w:rFonts w:cs="Arial"/>
                <w:sz w:val="22"/>
                <w:szCs w:val="22"/>
              </w:rPr>
            </w:r>
          </w:p>
          <w:p>
            <w:pPr>
              <w:pStyle w:val="Normal"/>
              <w:ind w:left="-102" w:right="0"/>
              <w:jc w:val="center"/>
              <w:rPr>
                <w:rFonts w:cs="Arial"/>
                <w:sz w:val="22"/>
                <w:szCs w:val="22"/>
              </w:rPr>
            </w:pPr>
            <w:r>
              <w:rPr>
                <w:rFonts w:cs="Arial"/>
                <w:sz w:val="22"/>
                <w:szCs w:val="22"/>
              </w:rPr>
            </w:r>
          </w:p>
          <w:p>
            <w:pPr>
              <w:pStyle w:val="Normal"/>
              <w:ind w:left="-102" w:right="0"/>
              <w:jc w:val="center"/>
              <w:rPr>
                <w:rFonts w:cs="Arial"/>
                <w:sz w:val="22"/>
                <w:szCs w:val="22"/>
              </w:rPr>
            </w:pPr>
            <w:r>
              <w:rPr>
                <w:rFonts w:cs="Arial"/>
                <w:sz w:val="22"/>
                <w:szCs w:val="22"/>
              </w:rPr>
            </w:r>
          </w:p>
          <w:p>
            <w:pPr>
              <w:pStyle w:val="Normal"/>
              <w:ind w:left="-102" w:right="0"/>
              <w:jc w:val="center"/>
              <w:rPr>
                <w:rFonts w:cs="Arial"/>
                <w:sz w:val="22"/>
                <w:szCs w:val="22"/>
              </w:rPr>
            </w:pPr>
            <w:r>
              <w:rPr>
                <w:rFonts w:cs="Arial"/>
                <w:sz w:val="22"/>
                <w:szCs w:val="22"/>
              </w:rPr>
            </w:r>
          </w:p>
          <w:p>
            <w:pPr>
              <w:pStyle w:val="Normal"/>
              <w:ind w:left="-102" w:right="0"/>
              <w:jc w:val="center"/>
              <w:rPr>
                <w:rFonts w:cs="Arial"/>
                <w:sz w:val="22"/>
                <w:szCs w:val="22"/>
              </w:rPr>
            </w:pPr>
            <w:r>
              <w:rPr>
                <w:rFonts w:cs="Arial"/>
                <w:sz w:val="22"/>
                <w:szCs w:val="22"/>
              </w:rPr>
            </w:r>
          </w:p>
          <w:p>
            <w:pPr>
              <w:pStyle w:val="Normal"/>
              <w:ind w:left="-102" w:right="0"/>
              <w:jc w:val="center"/>
              <w:rPr>
                <w:rFonts w:cs="Arial"/>
                <w:sz w:val="22"/>
                <w:szCs w:val="22"/>
              </w:rPr>
            </w:pPr>
            <w:r>
              <w:rPr>
                <w:rFonts w:cs="Arial"/>
                <w:sz w:val="22"/>
                <w:szCs w:val="22"/>
              </w:rPr>
              <w:t>AF / I</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Skills &amp; Abilities</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Ability to work under extreme pressure and meet deadlines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remain calm and confident when dealing with confrontational situations face to face and over the telephone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determine priorities and manage workloads in order to achieve sectional targets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communicate effectively verbally, both face to face and over the telephone, and in writing with persons at various levels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adapt quickly to change of direction and pace in line with different demands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converse with ease with members of the public and provide advice in accurate spoken English.</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ind w:left="360" w:right="0"/>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EndnoteText"/>
              <w:jc w:val="center"/>
              <w:rPr>
                <w:rFonts w:ascii="Arial" w:hAnsi="Arial" w:cs="Arial"/>
                <w:sz w:val="22"/>
                <w:szCs w:val="22"/>
              </w:rPr>
            </w:pPr>
            <w:r>
              <w:rPr>
                <w:rFonts w:cs="Arial" w:ascii="Arial" w:hAnsi="Arial"/>
                <w:sz w:val="22"/>
                <w:szCs w:val="22"/>
              </w:rPr>
              <w:t>AF / 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Knowledge</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lang w:val="en-US"/>
              </w:rPr>
            </w:pPr>
            <w:r>
              <w:rPr>
                <w:rFonts w:cs="Arial"/>
                <w:sz w:val="22"/>
                <w:szCs w:val="22"/>
                <w:lang w:val="en-US"/>
              </w:rPr>
              <w:t>Understanding of Data Protection and the need to keep personal data secure and confidential</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r>
          </w:p>
        </w:tc>
        <w:tc>
          <w:tcPr>
            <w:tcW w:w="30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Knowledge of basic licensing applications and processes</w:t>
            </w:r>
          </w:p>
          <w:p>
            <w:pPr>
              <w:pStyle w:val="Normal"/>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AF / I</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BodyText"/>
              <w:rPr>
                <w:rFonts w:cs="Arial"/>
                <w:bCs/>
                <w:szCs w:val="22"/>
              </w:rPr>
            </w:pPr>
            <w:r>
              <w:rPr>
                <w:rFonts w:cs="Arial"/>
                <w:bCs/>
                <w:szCs w:val="22"/>
              </w:rPr>
              <w:t>Work Circumstances</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Available to work between the hours of 9am to 5pm Monday to Friday, in line with service delivery</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Able to cover customer service counter as directed</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Able to work, on occasion, outside normal office hours</w:t>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ind w:left="360" w:right="0"/>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tc>
      </w:tr>
    </w:tbl>
    <w:p>
      <w:pPr>
        <w:pStyle w:val="Normal"/>
        <w:rPr>
          <w:rFonts w:cs="Arial"/>
          <w:sz w:val="22"/>
          <w:szCs w:val="22"/>
        </w:rPr>
      </w:pPr>
      <w:r>
        <w:rPr>
          <w:rFonts w:cs="Arial"/>
          <w:sz w:val="22"/>
          <w:szCs w:val="22"/>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rFonts w:cs="Arial"/>
          <w:sz w:val="22"/>
          <w:szCs w:val="22"/>
        </w:rPr>
      </w:pPr>
      <w:r>
        <w:rPr>
          <w:rFonts w:cs="Arial"/>
          <w:sz w:val="22"/>
          <w:szCs w:val="22"/>
        </w:rPr>
      </w:r>
    </w:p>
    <w:p>
      <w:pPr>
        <w:pStyle w:val="Normal"/>
        <w:jc w:val="both"/>
        <w:rPr/>
      </w:pPr>
      <w:r>
        <w:rPr>
          <w:rFonts w:cs="Arial"/>
          <w:b/>
          <w:bCs/>
          <w:sz w:val="22"/>
          <w:szCs w:val="22"/>
        </w:rPr>
        <w:t xml:space="preserve">NB. - Any candidate that meets the criteria of our </w:t>
      </w:r>
      <w:r>
        <w:rPr>
          <w:rFonts w:cs="Arial"/>
          <w:b/>
          <w:bCs/>
          <w:color w:val="0563C1"/>
          <w:sz w:val="22"/>
          <w:szCs w:val="22"/>
          <w:u w:val="single"/>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Cs/>
          <w:sz w:val="22"/>
          <w:szCs w:val="22"/>
        </w:rPr>
      </w:pPr>
      <w:r>
        <w:rPr>
          <w:rFonts w:cs="Arial"/>
          <w:b/>
          <w:bCs/>
          <w:sz w:val="22"/>
          <w:szCs w:val="22"/>
        </w:rPr>
      </w:r>
    </w:p>
    <w:p>
      <w:pPr>
        <w:pStyle w:val="Normal"/>
        <w:jc w:val="both"/>
        <w:rPr>
          <w:rFonts w:cs="Arial"/>
          <w:b/>
          <w:bCs/>
          <w:sz w:val="22"/>
          <w:szCs w:val="22"/>
        </w:rPr>
      </w:pPr>
      <w:r>
        <w:rPr>
          <w:rFonts w:cs="Arial"/>
          <w:b/>
          <w:bCs/>
          <w:sz w:val="22"/>
          <w:szCs w:val="22"/>
        </w:rPr>
        <w:t>Our Guaranteed Assessment Scheme supports candidates with disabilities, have previously been in or currently in care, those that are carers, and those who have served in the Armed Forces as a regular, reserve or cadet.</w:t>
      </w:r>
      <w:bookmarkStart w:id="2" w:name="_Hlk190765446"/>
      <w:bookmarkEnd w:id="2"/>
    </w:p>
    <w:p>
      <w:pPr>
        <w:pStyle w:val="Normal"/>
        <w:rPr/>
      </w:pPr>
      <w:r>
        <w:rPr/>
      </w:r>
    </w:p>
    <w:sectPr>
      <w:headerReference w:type="default" r:id="rId2"/>
      <w:headerReference w:type="first" r:id="rId3"/>
      <w:type w:val="nextPage"/>
      <w:pgSz w:w="11906" w:h="16838"/>
      <w:pgMar w:left="1440" w:right="1440" w:gutter="0" w:header="567" w:top="624" w:footer="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Palatino">
    <w:charset w:val="00"/>
    <w:family w:val="roman"/>
    <w:pitch w:val="variable"/>
  </w:font>
  <w:font w:name="Liberation Sans">
    <w:altName w:val="Arial"/>
    <w:charset w:val="00"/>
    <w:family w:val="swiss"/>
    <w:pitch w:val="variable"/>
  </w:font>
  <w:font w:name="Calibri">
    <w:charset w:val="00"/>
    <w:family w:val="roman"/>
    <w:pitch w:val="variable"/>
  </w:font>
  <w:font w:name="Helvetica">
    <w:altName w:val="Arial"/>
    <w:charset w:val="00"/>
    <w:family w:val="swiss"/>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DefaultParagraphFont">
    <w:name w:val="Default Paragraph Font"/>
    <w:qFormat/>
    <w:rPr/>
  </w:style>
  <w:style w:type="character" w:styleId="EndnoteTextChar">
    <w:name w:val="Endnote Text Char"/>
    <w:qFormat/>
    <w:rPr>
      <w:rFonts w:ascii="Palatino" w:hAnsi="Palatino" w:cs="Palatino"/>
      <w:sz w:val="24"/>
      <w:lang w:eastAsia="en-US"/>
    </w:rPr>
  </w:style>
  <w:style w:type="character" w:styleId="HeaderChar">
    <w:name w:val="Header Char"/>
    <w:qFormat/>
    <w:rPr>
      <w:rFonts w:ascii="Arial" w:hAnsi="Arial" w:cs="Arial"/>
      <w:sz w:val="22"/>
      <w:lang w:eastAsia="en-US"/>
    </w:rPr>
  </w:style>
  <w:style w:type="character" w:styleId="normaltextrun">
    <w:name w:val="normaltextrun"/>
    <w:basedOn w:val="DefaultParagraphFont"/>
    <w:qFormat/>
    <w:rPr/>
  </w:style>
  <w:style w:type="character" w:styleId="eop">
    <w:name w:val="eop"/>
    <w:basedOn w:val="DefaultParagraphFont"/>
    <w:qFormat/>
    <w:rPr/>
  </w:style>
  <w:style w:type="character" w:styleId="CommentTextChar">
    <w:name w:val="Comment Text Char"/>
    <w:qFormat/>
    <w:rPr>
      <w:lang w:eastAsia="en-US"/>
    </w:rPr>
  </w:style>
  <w:style w:type="character" w:styleId="annotationreference">
    <w:name w:val="annotation reference"/>
    <w:basedOn w:val="DefaultParagraphFont"/>
    <w:qFormat/>
    <w:rPr>
      <w:sz w:val="16"/>
      <w:szCs w:val="16"/>
    </w:rPr>
  </w:style>
  <w:style w:type="character" w:styleId="CommentSubjectChar">
    <w:name w:val="Comment Subject Char"/>
    <w:basedOn w:val="CommentTextChar"/>
    <w:qFormat/>
    <w:rPr>
      <w:rFonts w:ascii="Arial" w:hAnsi="Arial" w:cs="Arial"/>
      <w:b/>
      <w:bCs/>
      <w:lang w:eastAsia="en-US"/>
    </w:rPr>
  </w:style>
  <w:style w:type="character" w:styleId="Hyperlink">
    <w:name w:val="Hyperlink"/>
    <w:basedOn w:val="DefaultParagraphFont"/>
    <w:rPr>
      <w:color w:val="0563C1"/>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sz w:val="22"/>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Text">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BodyTextIndent">
    <w:name w:val="Body Text Indent"/>
    <w:basedOn w:val="Normal"/>
    <w:pPr>
      <w:spacing w:before="0" w:after="120"/>
      <w:ind w:hanging="0" w:left="283" w:right="0"/>
    </w:pPr>
    <w:rPr/>
  </w:style>
  <w:style w:type="paragraph" w:styleId="ListParagraph">
    <w:name w:val="List Paragraph"/>
    <w:basedOn w:val="Normal"/>
    <w:qFormat/>
    <w:pPr>
      <w:spacing w:lineRule="auto" w:line="276" w:before="0" w:after="200"/>
      <w:ind w:hanging="0" w:left="720" w:right="0"/>
      <w:contextualSpacing/>
    </w:pPr>
    <w:rPr>
      <w:rFonts w:ascii="Calibri" w:hAnsi="Calibri" w:eastAsia="Calibri" w:cs="Calibri"/>
      <w:sz w:val="22"/>
      <w:szCs w:val="22"/>
    </w:rPr>
  </w:style>
  <w:style w:type="paragraph" w:styleId="paragraph">
    <w:name w:val="paragraph"/>
    <w:basedOn w:val="Normal"/>
    <w:qFormat/>
    <w:pPr>
      <w:spacing w:before="280" w:after="280"/>
    </w:pPr>
    <w:rPr>
      <w:rFonts w:ascii="Times New Roman" w:hAnsi="Times New Roman" w:cs="Times New Roman"/>
      <w:lang w:eastAsia="en-GB"/>
    </w:rPr>
  </w:style>
  <w:style w:type="paragraph" w:styleId="annotationtext">
    <w:name w:val="annotation text"/>
    <w:basedOn w:val="Normal"/>
    <w:qFormat/>
    <w:pPr/>
    <w:rPr>
      <w:rFonts w:ascii="Times New Roman" w:hAnsi="Times New Roman" w:cs="Times New Roman"/>
      <w:sz w:val="20"/>
      <w:szCs w:val="20"/>
    </w:rPr>
  </w:style>
  <w:style w:type="paragraph" w:styleId="annotationsubject">
    <w:name w:val="annotation subject"/>
    <w:basedOn w:val="annotationtext"/>
    <w:next w:val="annotationtext"/>
    <w:qFormat/>
    <w:pPr/>
    <w:rPr>
      <w:rFonts w:ascii="Arial" w:hAnsi="Arial" w:cs="Arial"/>
      <w:b/>
      <w:bC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