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2"/>
        </w:rPr>
      </w:pPr>
      <w:r>
        <w:rPr>
          <w:sz w:val="22"/>
        </w:rPr>
      </w:r>
    </w:p>
    <w:p>
      <w:pPr>
        <w:pStyle w:val="Heading1"/>
        <w:spacing w:lineRule="auto" w:line="240"/>
        <w:rPr>
          <w:sz w:val="22"/>
          <w:szCs w:val="22"/>
        </w:rPr>
      </w:pPr>
      <w:r>
        <w:rPr>
          <w:sz w:val="22"/>
          <w:szCs w:val="22"/>
        </w:rPr>
      </w:r>
    </w:p>
    <w:p>
      <w:pPr>
        <w:pStyle w:val="Normal"/>
        <w:jc w:val="center"/>
        <w:rPr>
          <w:b/>
          <w:b/>
          <w:bCs/>
          <w:sz w:val="22"/>
          <w:u w:val="single"/>
        </w:rPr>
      </w:pPr>
      <w:r>
        <w:rPr>
          <w:b/>
          <w:bCs/>
          <w:sz w:val="22"/>
          <w:u w:val="single"/>
        </w:rPr>
        <w:t>OLDHAM COUNCIL</w:t>
      </w:r>
    </w:p>
    <w:p>
      <w:pPr>
        <w:pStyle w:val="Normal"/>
        <w:jc w:val="center"/>
        <w:rPr>
          <w:b/>
          <w:b/>
          <w:bCs/>
          <w:sz w:val="22"/>
          <w:u w:val="single"/>
        </w:rPr>
      </w:pPr>
      <w:r>
        <w:rPr>
          <w:b/>
          <w:bCs/>
          <w:sz w:val="22"/>
          <w:u w:val="single"/>
        </w:rPr>
      </w:r>
    </w:p>
    <w:p>
      <w:pPr>
        <w:pStyle w:val="Normal"/>
        <w:jc w:val="center"/>
        <w:rPr>
          <w:b/>
          <w:b/>
          <w:bCs/>
          <w:sz w:val="22"/>
          <w:u w:val="single"/>
        </w:rPr>
      </w:pPr>
      <w:r>
        <w:rPr>
          <w:b/>
          <w:bCs/>
          <w:sz w:val="22"/>
          <w:u w:val="single"/>
        </w:rPr>
        <w:t>JOB DESCRIPTION</w:t>
      </w:r>
    </w:p>
    <w:p>
      <w:pPr>
        <w:pStyle w:val="Normal"/>
        <w:jc w:val="center"/>
        <w:rPr>
          <w:b/>
          <w:b/>
          <w:bCs/>
          <w:sz w:val="22"/>
          <w:u w:val="single"/>
        </w:rPr>
      </w:pPr>
      <w:r>
        <w:rPr>
          <w:b/>
          <w:bCs/>
          <w:sz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b/>
                <w:b/>
                <w:sz w:val="22"/>
              </w:rPr>
            </w:pPr>
            <w:r>
              <w:rPr>
                <w:b/>
                <w:sz w:val="22"/>
              </w:rPr>
              <w:t xml:space="preserve">Job Title: </w:t>
            </w:r>
          </w:p>
          <w:p>
            <w:pPr>
              <w:pStyle w:val="Normal"/>
              <w:rPr>
                <w:sz w:val="22"/>
              </w:rPr>
            </w:pPr>
            <w:r>
              <w:rPr>
                <w:sz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Senior Estates Surveyor</w:t>
            </w:r>
          </w:p>
        </w:tc>
      </w:tr>
    </w:tbl>
    <w:p>
      <w:pPr>
        <w:pStyle w:val="Normal"/>
        <w:rPr>
          <w:b/>
          <w:b/>
          <w:bCs/>
          <w:sz w:val="22"/>
          <w:u w:val="single"/>
        </w:rPr>
      </w:pPr>
      <w:r>
        <w:rPr>
          <w:b/>
          <w:bCs/>
          <w:sz w:val="22"/>
          <w:u w:val="single"/>
        </w:rPr>
      </w:r>
    </w:p>
    <w:tbl>
      <w:tblPr>
        <w:tblW w:w="10449" w:type="dxa"/>
        <w:jc w:val="left"/>
        <w:tblInd w:w="-717" w:type="dxa"/>
        <w:tblCellMar>
          <w:top w:w="0" w:type="dxa"/>
          <w:left w:w="108" w:type="dxa"/>
          <w:bottom w:w="0" w:type="dxa"/>
          <w:right w:w="108" w:type="dxa"/>
        </w:tblCellMar>
      </w:tblPr>
      <w:tblGrid>
        <w:gridCol w:w="1451"/>
        <w:gridCol w:w="2869"/>
        <w:gridCol w:w="2179"/>
        <w:gridCol w:w="3950"/>
      </w:tblGrid>
      <w:tr>
        <w:trPr/>
        <w:tc>
          <w:tcPr>
            <w:tcW w:w="1451" w:type="dxa"/>
            <w:tcBorders>
              <w:top w:val="single" w:sz="4" w:space="0" w:color="000000"/>
              <w:left w:val="single" w:sz="4" w:space="0" w:color="000000"/>
              <w:bottom w:val="single" w:sz="4" w:space="0" w:color="000000"/>
            </w:tcBorders>
            <w:shd w:fill="00B3BE" w:val="clear"/>
          </w:tcPr>
          <w:p>
            <w:pPr>
              <w:pStyle w:val="Normal"/>
              <w:rPr/>
            </w:pPr>
            <w:r>
              <w:rPr>
                <w:b/>
                <w:sz w:val="22"/>
              </w:rPr>
              <w:t>Directorate:</w:t>
            </w:r>
            <w:r>
              <w:rPr>
                <w:sz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sz w:val="22"/>
              </w:rPr>
            </w:pPr>
            <w:r>
              <w:rPr>
                <w:sz w:val="22"/>
              </w:rPr>
              <w:t>Place &amp; Economic Growth</w:t>
            </w:r>
          </w:p>
        </w:tc>
        <w:tc>
          <w:tcPr>
            <w:tcW w:w="2179" w:type="dxa"/>
            <w:tcBorders>
              <w:top w:val="single" w:sz="4" w:space="0" w:color="000000"/>
              <w:left w:val="single" w:sz="4" w:space="0" w:color="000000"/>
              <w:bottom w:val="single" w:sz="4" w:space="0" w:color="000000"/>
            </w:tcBorders>
            <w:shd w:fill="00B3BE" w:val="clear"/>
          </w:tcPr>
          <w:p>
            <w:pPr>
              <w:pStyle w:val="Normal"/>
              <w:rPr/>
            </w:pPr>
            <w:r>
              <w:rPr>
                <w:b/>
                <w:sz w:val="22"/>
              </w:rPr>
              <w:t>Division/Section:</w:t>
            </w:r>
            <w:r>
              <w:rPr>
                <w:sz w:val="22"/>
              </w:rPr>
              <w:t xml:space="preserve"> </w:t>
            </w:r>
          </w:p>
          <w:p>
            <w:pPr>
              <w:pStyle w:val="Normal"/>
              <w:rPr>
                <w:sz w:val="22"/>
              </w:rPr>
            </w:pPr>
            <w:r>
              <w:rPr>
                <w:sz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rPr>
            </w:pPr>
            <w:r>
              <w:rPr>
                <w:sz w:val="22"/>
              </w:rPr>
              <w:t>Property (Estates)</w:t>
            </w:r>
          </w:p>
        </w:tc>
      </w:tr>
      <w:tr>
        <w:trPr/>
        <w:tc>
          <w:tcPr>
            <w:tcW w:w="1451" w:type="dxa"/>
            <w:tcBorders>
              <w:top w:val="single" w:sz="4" w:space="0" w:color="000000"/>
              <w:left w:val="single" w:sz="4" w:space="0" w:color="000000"/>
              <w:bottom w:val="single" w:sz="4" w:space="0" w:color="000000"/>
            </w:tcBorders>
            <w:shd w:fill="00B3BE" w:val="clear"/>
          </w:tcPr>
          <w:p>
            <w:pPr>
              <w:pStyle w:val="Normal"/>
              <w:rPr>
                <w:b/>
                <w:b/>
                <w:sz w:val="22"/>
              </w:rPr>
            </w:pPr>
            <w:r>
              <w:rPr>
                <w:b/>
                <w:sz w:val="22"/>
              </w:rPr>
              <w:t xml:space="preserve">Grade:  </w:t>
            </w:r>
          </w:p>
          <w:p>
            <w:pPr>
              <w:pStyle w:val="Normal"/>
              <w:rPr>
                <w:sz w:val="22"/>
              </w:rPr>
            </w:pPr>
            <w:r>
              <w:rPr>
                <w:sz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9</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b/>
                <w:b/>
                <w:szCs w:val="22"/>
              </w:rPr>
            </w:pPr>
            <w:r>
              <w:rPr>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rPr>
                <w:szCs w:val="22"/>
              </w:rPr>
            </w:pPr>
            <w:r>
              <w:rPr>
                <w:szCs w:val="22"/>
              </w:rPr>
            </w:r>
          </w:p>
        </w:tc>
      </w:tr>
    </w:tbl>
    <w:p>
      <w:pPr>
        <w:pStyle w:val="Normal"/>
        <w:rPr>
          <w:sz w:val="22"/>
        </w:rPr>
      </w:pPr>
      <w:r>
        <w:rPr>
          <w:sz w:val="22"/>
        </w:rPr>
      </w:r>
    </w:p>
    <w:p>
      <w:pPr>
        <w:pStyle w:val="Normal"/>
        <w:rPr>
          <w:sz w:val="22"/>
        </w:rPr>
      </w:pPr>
      <w:r>
        <w:rPr>
          <w:sz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b/>
                <w:b/>
                <w:bCs/>
                <w:sz w:val="22"/>
              </w:rPr>
            </w:pPr>
            <w:r>
              <w:rPr>
                <w:b/>
                <w:bCs/>
                <w:sz w:val="22"/>
              </w:rPr>
              <w:t>Job Purpose</w:t>
            </w:r>
          </w:p>
          <w:p>
            <w:pPr>
              <w:pStyle w:val="Normal"/>
              <w:rPr>
                <w:sz w:val="22"/>
              </w:rPr>
            </w:pPr>
            <w:r>
              <w:rPr>
                <w:sz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rPr>
            </w:pPr>
            <w:r>
              <w:rPr>
                <w:sz w:val="22"/>
              </w:rPr>
              <w:t xml:space="preserve">To deliver a wide variety of estate management functions, as part of a busy estates team, to a mixed portfolio of property assets within a local authority setting. To offer sound technical advice on the management of land and buildings held for operational and investment purposes, acting in accordance with the council’s corporate behaviours, focused on delivering the council’s corporate objectives. </w:t>
            </w:r>
          </w:p>
          <w:p>
            <w:pPr>
              <w:pStyle w:val="Normal"/>
              <w:rPr>
                <w:sz w:val="22"/>
              </w:rPr>
            </w:pPr>
            <w:r>
              <w:rPr>
                <w:sz w:val="22"/>
              </w:rPr>
            </w:r>
          </w:p>
          <w:p>
            <w:pPr>
              <w:pStyle w:val="Normal"/>
              <w:rPr>
                <w:sz w:val="22"/>
              </w:rPr>
            </w:pPr>
            <w:r>
              <w:rPr>
                <w:sz w:val="22"/>
              </w:rPr>
              <w:t xml:space="preserve">Joining a team of property professionals delivering service excellence you will be able to operate on your own initiative, and demonstrate business acumen and management, as well as high quality customer care to the council’s residents, businesses, internal delivery parkers, other public sector authorities and stakeholders. </w:t>
            </w:r>
          </w:p>
          <w:p>
            <w:pPr>
              <w:pStyle w:val="Normal"/>
              <w:rPr>
                <w:bCs/>
                <w:sz w:val="22"/>
              </w:rPr>
            </w:pPr>
            <w:r>
              <w:rPr>
                <w:bCs/>
                <w:sz w:val="22"/>
              </w:rPr>
            </w:r>
          </w:p>
          <w:p>
            <w:pPr>
              <w:pStyle w:val="Normal"/>
              <w:rPr>
                <w:bCs/>
                <w:sz w:val="22"/>
              </w:rPr>
            </w:pPr>
            <w:r>
              <w:rPr>
                <w:bCs/>
                <w:sz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b/>
                <w:b/>
                <w:bCs/>
                <w:sz w:val="22"/>
              </w:rPr>
            </w:pPr>
            <w:r>
              <w:rPr>
                <w:b/>
                <w:bCs/>
                <w:sz w:val="22"/>
              </w:rPr>
              <w:t>Key Tasks</w:t>
            </w:r>
          </w:p>
          <w:p>
            <w:pPr>
              <w:pStyle w:val="Normal"/>
              <w:rPr>
                <w:sz w:val="22"/>
              </w:rPr>
            </w:pPr>
            <w:r>
              <w:rPr>
                <w:sz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ind w:left="720" w:right="137" w:hanging="360"/>
              <w:rPr>
                <w:sz w:val="22"/>
              </w:rPr>
            </w:pPr>
            <w:r>
              <w:rPr>
                <w:sz w:val="22"/>
              </w:rPr>
              <w:t xml:space="preserve">Working collaboratively within a team of property professionals to deliver high quality, client focussed estates and valuation services, protecting the Council’s interests and delivering its objectives. </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Carry out a wide-ranging surveying services on a varied portfolio of commercial, residential and specialised premises, schools, and other public buildings and land.</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Undertake landlord and tenant negotiations, including rent reviews and lease re-gears/renewals.</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Market vacant land and buildings, analyse offers and negotiate new lettings to grow rental income and enhance value. Draft heads of terms and formal authority reports for senior managers to consider.</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Carry out day-to-day estate management duties on both vacant and occupied properties including property inspections, rent collection/debt recovery, lease compliance, consents to assign/underlet/improve etc., tenant vacations, dilapidations, encroachments, service charge management and responding to general land and property enquiries and complaints.</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Undertake Strategic Asset Management Plans, Option Appraisals, Feasibility Studies and development appraisals for individual sites and larger portfolios.</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Carry out Red Book Valuations for financial reporting purposes and other property valuations for insurance, Right to Buy / Right to Acquire and Leasehold Enfranchisement purposes.</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Undertake negotiations on site acquisitions, rationalisation reviews and disposals, Community Asset Transfers, statutory transfers, regeneration and highway schemes, including compulsory purchase and compensation.</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Able to manage a multifaceted and challenging workload through good technical knowledge, good interpersonal and negotiation skills and being well organised.</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Ensure the Council’s Property Information and Management Information System (currently Concerto) is up-to-date and accurate for the properties you are responsible for managing.</w:t>
            </w:r>
          </w:p>
          <w:p>
            <w:pPr>
              <w:pStyle w:val="Normal"/>
              <w:numPr>
                <w:ilvl w:val="0"/>
                <w:numId w:val="2"/>
              </w:numPr>
              <w:ind w:left="720" w:right="137" w:hanging="360"/>
              <w:rPr>
                <w:sz w:val="22"/>
              </w:rPr>
            </w:pPr>
            <w:r>
              <w:rPr>
                <w:sz w:val="22"/>
              </w:rPr>
              <w:t xml:space="preserve">Ensure the case management systems are accurate and up to date so the team has visibility of the progress and current status of your casework. </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 xml:space="preserve">Formulate and to oversee the implementation of policies and procedures to continuously improve ways of working across the team. </w:t>
            </w:r>
          </w:p>
          <w:p>
            <w:pPr>
              <w:pStyle w:val="ListParagraph"/>
              <w:rPr/>
            </w:pPr>
            <w:r>
              <w:rPr/>
            </w:r>
          </w:p>
          <w:p>
            <w:pPr>
              <w:pStyle w:val="Normal"/>
              <w:numPr>
                <w:ilvl w:val="0"/>
                <w:numId w:val="2"/>
              </w:numPr>
              <w:ind w:left="720" w:right="137" w:hanging="360"/>
              <w:jc w:val="both"/>
              <w:rPr>
                <w:sz w:val="22"/>
              </w:rPr>
            </w:pPr>
            <w:r>
              <w:rPr>
                <w:sz w:val="22"/>
              </w:rPr>
              <w:t xml:space="preserve">Support graduates through the RICS Assessment of Professional Competence either as a supervisor or counsellor, offering advice and guidance to other members of the team. </w:t>
            </w:r>
          </w:p>
          <w:p>
            <w:pPr>
              <w:pStyle w:val="Normal"/>
              <w:ind w:left="720" w:right="137" w:hanging="0"/>
              <w:rPr>
                <w:sz w:val="22"/>
              </w:rPr>
            </w:pPr>
            <w:r>
              <w:rPr>
                <w:sz w:val="22"/>
              </w:rPr>
            </w:r>
          </w:p>
          <w:p>
            <w:pPr>
              <w:pStyle w:val="Normal"/>
              <w:numPr>
                <w:ilvl w:val="0"/>
                <w:numId w:val="2"/>
              </w:numPr>
              <w:ind w:left="720" w:right="137" w:hanging="360"/>
              <w:rPr>
                <w:sz w:val="22"/>
              </w:rPr>
            </w:pPr>
            <w:r>
              <w:rPr>
                <w:sz w:val="22"/>
              </w:rPr>
              <w:t xml:space="preserve">Carry out any other duties that are required from time to time. </w:t>
            </w:r>
          </w:p>
          <w:p>
            <w:pPr>
              <w:pStyle w:val="Normal"/>
              <w:rPr>
                <w:b/>
                <w:b/>
                <w:bCs/>
                <w:sz w:val="22"/>
              </w:rPr>
            </w:pPr>
            <w:r>
              <w:rPr>
                <w:b/>
                <w:bCs/>
                <w:sz w:val="22"/>
              </w:rPr>
            </w:r>
          </w:p>
          <w:p>
            <w:pPr>
              <w:pStyle w:val="Normal"/>
              <w:rPr>
                <w:b/>
                <w:b/>
                <w:bCs/>
                <w:sz w:val="22"/>
              </w:rPr>
            </w:pPr>
            <w:r>
              <w:rPr>
                <w:b/>
                <w:bCs/>
                <w:sz w:val="22"/>
              </w:rPr>
            </w:r>
          </w:p>
          <w:p>
            <w:pPr>
              <w:pStyle w:val="Normal"/>
              <w:rPr>
                <w:b/>
                <w:b/>
                <w:bCs/>
                <w:sz w:val="22"/>
              </w:rPr>
            </w:pPr>
            <w:r>
              <w:rPr>
                <w:b/>
                <w:bCs/>
                <w:sz w:val="22"/>
              </w:rPr>
            </w:r>
          </w:p>
          <w:p>
            <w:pPr>
              <w:pStyle w:val="Normal"/>
              <w:rPr>
                <w:b/>
                <w:b/>
                <w:bCs/>
                <w:sz w:val="22"/>
              </w:rPr>
            </w:pPr>
            <w:r>
              <w:rPr>
                <w:b/>
                <w:bCs/>
                <w:sz w:val="22"/>
              </w:rPr>
            </w:r>
          </w:p>
        </w:tc>
      </w:tr>
    </w:tbl>
    <w:p>
      <w:pPr>
        <w:pStyle w:val="Normal"/>
        <w:rPr>
          <w:sz w:val="22"/>
        </w:rPr>
      </w:pPr>
      <w:r>
        <w:rPr>
          <w:sz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b/>
                <w:b/>
                <w:sz w:val="22"/>
              </w:rPr>
            </w:pPr>
            <w:r>
              <w:rPr>
                <w:b/>
                <w:sz w:val="22"/>
              </w:rPr>
              <w:t>Standard Duties:</w:t>
            </w:r>
          </w:p>
          <w:p>
            <w:pPr>
              <w:pStyle w:val="Normal"/>
              <w:jc w:val="both"/>
              <w:rPr>
                <w:sz w:val="22"/>
              </w:rPr>
            </w:pPr>
            <w:r>
              <w:rPr>
                <w:sz w:val="22"/>
              </w:rPr>
            </w:r>
          </w:p>
        </w:tc>
      </w:tr>
    </w:tbl>
    <w:p>
      <w:pPr>
        <w:pStyle w:val="Normal"/>
        <w:rPr>
          <w:sz w:val="22"/>
        </w:rPr>
      </w:pPr>
      <w:r>
        <w:rPr>
          <w:sz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snapToGrid w:val="false"/>
              <w:jc w:val="both"/>
              <w:rPr>
                <w:sz w:val="22"/>
              </w:rPr>
            </w:pPr>
            <w:r>
              <w:rPr>
                <w:sz w:val="22"/>
              </w:rPr>
            </w:r>
          </w:p>
          <w:p>
            <w:pPr>
              <w:pStyle w:val="Normal"/>
              <w:jc w:val="both"/>
              <w:rPr>
                <w:sz w:val="22"/>
              </w:rPr>
            </w:pPr>
            <w:r>
              <w:rPr>
                <w:sz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sz w:val="22"/>
              </w:rPr>
            </w:pPr>
            <w:r>
              <w:rPr>
                <w:sz w:val="22"/>
              </w:rPr>
            </w:r>
          </w:p>
          <w:p>
            <w:pPr>
              <w:pStyle w:val="Normal"/>
              <w:jc w:val="both"/>
              <w:rPr>
                <w:sz w:val="22"/>
              </w:rPr>
            </w:pPr>
            <w:r>
              <w:rPr>
                <w:sz w:val="22"/>
              </w:rPr>
              <w:t>To actively promote the equalities and diversity agenda in the workplace and in service delivery.</w:t>
            </w:r>
          </w:p>
          <w:p>
            <w:pPr>
              <w:pStyle w:val="Normal"/>
              <w:jc w:val="both"/>
              <w:rPr>
                <w:sz w:val="22"/>
              </w:rPr>
            </w:pPr>
            <w:r>
              <w:rPr>
                <w:sz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sz w:val="22"/>
              </w:rPr>
            </w:pPr>
            <w:r>
              <w:rPr>
                <w:sz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2"/>
              </w:rPr>
            </w:pPr>
            <w:r>
              <w:rPr>
                <w:sz w:val="22"/>
              </w:rPr>
              <w:t>To uphold and implement policies and procedures of the Council, including customer care, data protection, finance, ICT, safeguarding and health &amp; safety policies.</w:t>
            </w:r>
          </w:p>
          <w:p>
            <w:pPr>
              <w:pStyle w:val="Normal"/>
              <w:jc w:val="both"/>
              <w:rPr>
                <w:sz w:val="22"/>
              </w:rPr>
            </w:pPr>
            <w:r>
              <w:rPr>
                <w:sz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sz w:val="22"/>
              </w:rPr>
            </w:pPr>
            <w:r>
              <w:rPr>
                <w:sz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2"/>
              </w:rPr>
            </w:pPr>
            <w:r>
              <w:rPr>
                <w:sz w:val="22"/>
              </w:rPr>
              <w:t>To actively engage with the behaviours and values of the Council to promote and support our Co-operative Agenda.</w:t>
            </w:r>
          </w:p>
          <w:p>
            <w:pPr>
              <w:pStyle w:val="Normal"/>
              <w:jc w:val="both"/>
              <w:rPr>
                <w:sz w:val="22"/>
              </w:rPr>
            </w:pPr>
            <w:r>
              <w:rPr>
                <w:sz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sz w:val="22"/>
              </w:rPr>
            </w:pPr>
            <w:r>
              <w:rPr>
                <w:sz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2"/>
              </w:rPr>
            </w:pPr>
            <w:r>
              <w:rPr>
                <w:sz w:val="22"/>
              </w:rPr>
              <w:t xml:space="preserve">To undertake continuous professional development and to be aware of new developments, legislation, initiatives, guidelines, policies and procedures as appropriate to the role. </w:t>
            </w:r>
          </w:p>
          <w:p>
            <w:pPr>
              <w:pStyle w:val="Normal"/>
              <w:jc w:val="both"/>
              <w:rPr>
                <w:b/>
                <w:b/>
                <w:sz w:val="22"/>
              </w:rPr>
            </w:pPr>
            <w:r>
              <w:rPr>
                <w:b/>
                <w:sz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sz w:val="22"/>
              </w:rPr>
            </w:pPr>
            <w:r>
              <w:rPr>
                <w:sz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sz w:val="22"/>
              </w:rPr>
            </w:pPr>
            <w:r>
              <w:rPr>
                <w:sz w:val="22"/>
              </w:rPr>
              <w:t>Undertake any additional duties commensurate with the level of the post.</w:t>
            </w:r>
          </w:p>
          <w:p>
            <w:pPr>
              <w:pStyle w:val="Normal"/>
              <w:jc w:val="both"/>
              <w:rPr>
                <w:b/>
                <w:b/>
                <w:sz w:val="22"/>
              </w:rPr>
            </w:pPr>
            <w:r>
              <w:rPr>
                <w:b/>
                <w:sz w:val="22"/>
              </w:rPr>
            </w:r>
          </w:p>
        </w:tc>
      </w:tr>
    </w:tbl>
    <w:p>
      <w:pPr>
        <w:pStyle w:val="Normal"/>
        <w:rPr>
          <w:sz w:val="22"/>
        </w:rPr>
      </w:pPr>
      <w:r>
        <w:rPr>
          <w:sz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560"/>
              <w:jc w:val="both"/>
              <w:rPr/>
            </w:pPr>
            <w:r>
              <w:rPr>
                <w:b/>
                <w:sz w:val="22"/>
              </w:rPr>
              <w:t>Contacts:</w:t>
            </w:r>
            <w:r>
              <w:rPr>
                <w:sz w:val="22"/>
              </w:rPr>
              <w:t xml:space="preserve"> </w:t>
            </w:r>
          </w:p>
          <w:p>
            <w:pPr>
              <w:pStyle w:val="Normal"/>
              <w:ind w:left="1560" w:right="0" w:hanging="1560"/>
              <w:jc w:val="both"/>
              <w:rPr>
                <w:sz w:val="22"/>
              </w:rPr>
            </w:pPr>
            <w:r>
              <w:rPr>
                <w:sz w:val="22"/>
              </w:rPr>
            </w:r>
          </w:p>
          <w:p>
            <w:pPr>
              <w:pStyle w:val="Normal"/>
              <w:jc w:val="both"/>
              <w:rPr>
                <w:sz w:val="22"/>
              </w:rPr>
            </w:pPr>
            <w:r>
              <w:rPr>
                <w:sz w:val="22"/>
              </w:rPr>
              <w:t xml:space="preserve">Contacts are Directors of the Council, Senior Managers, partners, consultants, service providers, trade union representatives, elected members and external organisations as appropriate. </w:t>
            </w:r>
          </w:p>
          <w:p>
            <w:pPr>
              <w:pStyle w:val="Normal"/>
              <w:rPr>
                <w:sz w:val="22"/>
              </w:rPr>
            </w:pPr>
            <w:r>
              <w:rPr>
                <w:sz w:val="22"/>
              </w:rPr>
            </w:r>
          </w:p>
        </w:tc>
      </w:tr>
    </w:tbl>
    <w:p>
      <w:pPr>
        <w:pStyle w:val="Normal"/>
        <w:rPr>
          <w:sz w:val="22"/>
        </w:rPr>
      </w:pPr>
      <w:r>
        <w:rPr>
          <w:sz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szCs w:val="22"/>
              </w:rPr>
            </w:pPr>
            <w:r>
              <w:rPr>
                <w:szCs w:val="22"/>
              </w:rPr>
              <w:t>Relationship To Other Posts in the Department:</w:t>
            </w:r>
          </w:p>
          <w:p>
            <w:pPr>
              <w:pStyle w:val="Normal"/>
              <w:rPr>
                <w:sz w:val="22"/>
              </w:rPr>
            </w:pPr>
            <w:r>
              <w:rPr>
                <w:sz w:val="22"/>
              </w:rPr>
            </w:r>
          </w:p>
        </w:tc>
      </w:tr>
    </w:tbl>
    <w:p>
      <w:pPr>
        <w:pStyle w:val="Normal"/>
        <w:rPr>
          <w:sz w:val="22"/>
        </w:rPr>
      </w:pPr>
      <w:r>
        <w:rPr>
          <w:sz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b/>
                <w:b/>
                <w:sz w:val="22"/>
              </w:rPr>
            </w:pPr>
            <w:r>
              <w:rPr>
                <w:b/>
                <w:sz w:val="22"/>
              </w:rPr>
              <w:t xml:space="preserve">Responsible to:  </w:t>
            </w:r>
          </w:p>
          <w:p>
            <w:pPr>
              <w:pStyle w:val="Normal"/>
              <w:rPr>
                <w:sz w:val="22"/>
              </w:rPr>
            </w:pPr>
            <w:r>
              <w:rPr>
                <w:sz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b w:val="false"/>
                <w:b w:val="false"/>
                <w:bCs/>
                <w:szCs w:val="22"/>
              </w:rPr>
            </w:pPr>
            <w:r>
              <w:rPr>
                <w:b w:val="false"/>
                <w:bCs/>
                <w:szCs w:val="22"/>
              </w:rPr>
              <w:t>Lead / Principal Estates Surveyor</w:t>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b/>
                <w:b/>
                <w:sz w:val="22"/>
              </w:rPr>
            </w:pPr>
            <w:r>
              <w:rPr>
                <w:b/>
                <w:sz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rPr>
            </w:pPr>
            <w:r>
              <w:rPr>
                <w:sz w:val="22"/>
              </w:rPr>
              <w:t>None</w:t>
            </w:r>
            <w:bookmarkStart w:id="0" w:name="_Hlk95121094"/>
            <w:bookmarkEnd w:id="0"/>
          </w:p>
        </w:tc>
      </w:tr>
    </w:tbl>
    <w:p>
      <w:pPr>
        <w:pStyle w:val="Normal"/>
        <w:rPr>
          <w:sz w:val="22"/>
        </w:rPr>
      </w:pPr>
      <w:r>
        <w:rPr>
          <w:sz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22"/>
              </w:rPr>
            </w:pPr>
            <w:r>
              <w:rPr>
                <w:b/>
                <w:sz w:val="22"/>
              </w:rPr>
              <w:t xml:space="preserve">Special Conditions:  </w:t>
            </w:r>
          </w:p>
          <w:p>
            <w:pPr>
              <w:pStyle w:val="Normal"/>
              <w:rPr>
                <w:b/>
                <w:b/>
                <w:sz w:val="22"/>
              </w:rPr>
            </w:pPr>
            <w:r>
              <w:rPr>
                <w:b/>
                <w:sz w:val="22"/>
              </w:rPr>
            </w:r>
          </w:p>
          <w:p>
            <w:pPr>
              <w:pStyle w:val="Normal"/>
              <w:rPr>
                <w:bCs/>
                <w:sz w:val="22"/>
              </w:rPr>
            </w:pPr>
            <w:r>
              <w:rPr>
                <w:bCs/>
                <w:sz w:val="22"/>
              </w:rPr>
              <w:t>None</w:t>
            </w:r>
          </w:p>
          <w:p>
            <w:pPr>
              <w:pStyle w:val="Normal"/>
              <w:rPr>
                <w:b/>
                <w:b/>
              </w:rPr>
            </w:pPr>
            <w:r>
              <w:rPr>
                <w:b/>
              </w:rPr>
            </w:r>
          </w:p>
        </w:tc>
      </w:tr>
    </w:tbl>
    <w:p>
      <w:pPr>
        <w:pStyle w:val="Normal"/>
        <w:rPr>
          <w:sz w:val="22"/>
        </w:rPr>
      </w:pPr>
      <w:r>
        <w:rPr>
          <w:sz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b/>
                <w:b/>
                <w:sz w:val="22"/>
              </w:rPr>
            </w:pPr>
            <w:r>
              <w:rPr>
                <w:b/>
                <w:sz w:val="22"/>
              </w:rPr>
              <w:t>Values and Behaviours:</w:t>
            </w:r>
          </w:p>
          <w:p>
            <w:pPr>
              <w:pStyle w:val="Normal"/>
              <w:rPr>
                <w:b/>
                <w:b/>
                <w:sz w:val="22"/>
              </w:rPr>
            </w:pPr>
            <w:r>
              <w:rPr>
                <w:b/>
                <w:sz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sz w:val="22"/>
                <w:lang w:val="en-US"/>
              </w:rPr>
              <w:t>y living our Values and Behaviours we will deliver the change we need to meet our Corporate ambitions for Oldham.</w:t>
            </w:r>
          </w:p>
          <w:p>
            <w:pPr>
              <w:pStyle w:val="Normal"/>
              <w:spacing w:lineRule="auto" w:line="256" w:before="280" w:after="280"/>
              <w:jc w:val="both"/>
              <w:rPr>
                <w:rFonts w:eastAsia="Arial"/>
                <w:b/>
                <w:b/>
                <w:bCs/>
                <w:sz w:val="22"/>
                <w:lang w:val="en-US"/>
              </w:rPr>
            </w:pPr>
            <w:r>
              <w:rPr>
                <w:rFonts w:eastAsia="Arial"/>
                <w:b/>
                <w:bCs/>
                <w:sz w:val="22"/>
                <w:lang w:val="en-US"/>
              </w:rPr>
              <w:t>Our Values:</w:t>
            </w:r>
          </w:p>
          <w:p>
            <w:pPr>
              <w:pStyle w:val="Normal"/>
              <w:spacing w:lineRule="auto" w:line="256" w:before="280" w:after="280"/>
              <w:jc w:val="both"/>
              <w:rPr>
                <w:rFonts w:eastAsia="Arial"/>
                <w:b/>
                <w:b/>
                <w:bCs/>
                <w:sz w:val="22"/>
                <w:lang w:val="en-US"/>
              </w:rPr>
            </w:pPr>
            <w:r>
              <w:rPr>
                <w:rFonts w:eastAsia="Arial"/>
                <w:b/>
                <w:bCs/>
                <w:sz w:val="22"/>
                <w:lang w:val="en-US"/>
              </w:rPr>
              <w:t>Proud</w:t>
            </w:r>
          </w:p>
          <w:p>
            <w:pPr>
              <w:pStyle w:val="Normal"/>
              <w:shd w:fill="FFFFFF" w:val="clear"/>
              <w:spacing w:before="0" w:after="379"/>
              <w:jc w:val="both"/>
              <w:rPr>
                <w:rFonts w:eastAsia="Arial"/>
                <w:sz w:val="22"/>
                <w:lang w:val="en-US"/>
              </w:rPr>
            </w:pPr>
            <w:r>
              <w:rPr>
                <w:rFonts w:eastAsia="Arial"/>
                <w:sz w:val="22"/>
                <w:lang w:val="en-US"/>
              </w:rPr>
              <w:t>We take pride not only in what we deliver for the residents of Oldham but also in how we deliver it.</w:t>
            </w:r>
          </w:p>
          <w:p>
            <w:pPr>
              <w:pStyle w:val="Normal"/>
              <w:spacing w:lineRule="auto" w:line="256" w:before="280" w:after="280"/>
              <w:jc w:val="both"/>
              <w:rPr>
                <w:rFonts w:eastAsia="Arial"/>
                <w:b/>
                <w:b/>
                <w:bCs/>
                <w:sz w:val="22"/>
                <w:lang w:val="en-US"/>
              </w:rPr>
            </w:pPr>
            <w:r>
              <w:rPr>
                <w:rFonts w:eastAsia="Arial"/>
                <w:b/>
                <w:bCs/>
                <w:sz w:val="22"/>
                <w:lang w:val="en-US"/>
              </w:rPr>
              <w:t>Ambitious</w:t>
            </w:r>
          </w:p>
          <w:p>
            <w:pPr>
              <w:pStyle w:val="Normal"/>
              <w:shd w:fill="FFFFFF" w:val="clear"/>
              <w:spacing w:before="0" w:after="379"/>
              <w:jc w:val="both"/>
              <w:rPr>
                <w:rFonts w:eastAsia="Arial"/>
                <w:sz w:val="22"/>
                <w:lang w:val="en-US"/>
              </w:rPr>
            </w:pPr>
            <w:r>
              <w:rPr>
                <w:rFonts w:eastAsia="Arial"/>
                <w:sz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b/>
                <w:b/>
                <w:bCs/>
                <w:sz w:val="22"/>
                <w:lang w:val="en-US"/>
              </w:rPr>
            </w:pPr>
            <w:r>
              <w:rPr>
                <w:rFonts w:eastAsia="Arial"/>
                <w:b/>
                <w:bCs/>
                <w:sz w:val="22"/>
                <w:lang w:val="en-US"/>
              </w:rPr>
              <w:t>Together</w:t>
            </w:r>
          </w:p>
          <w:p>
            <w:pPr>
              <w:pStyle w:val="Normal"/>
              <w:spacing w:before="280" w:after="0"/>
              <w:jc w:val="both"/>
              <w:rPr>
                <w:rFonts w:eastAsia="Arial"/>
                <w:sz w:val="22"/>
                <w:lang w:val="en-US"/>
              </w:rPr>
            </w:pPr>
            <w:r>
              <w:rPr>
                <w:rFonts w:eastAsia="Arial"/>
                <w:sz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sz w:val="22"/>
                <w:lang w:val="en"/>
              </w:rPr>
              <w:t xml:space="preserve">We have </w:t>
            </w:r>
            <w:r>
              <w:rPr>
                <w:rFonts w:eastAsia="Arial"/>
                <w:b/>
                <w:bCs/>
                <w:sz w:val="22"/>
                <w:lang w:val="en"/>
              </w:rPr>
              <w:t xml:space="preserve">five Behaviours </w:t>
            </w:r>
            <w:r>
              <w:rPr>
                <w:rFonts w:eastAsia="Arial"/>
                <w:sz w:val="22"/>
                <w:lang w:val="en"/>
              </w:rPr>
              <w:t>which outline the priority areas of focus for staff at all levels:</w:t>
            </w:r>
          </w:p>
          <w:p>
            <w:pPr>
              <w:pStyle w:val="Normal"/>
              <w:rPr>
                <w:rFonts w:eastAsia="Arial"/>
                <w:sz w:val="22"/>
              </w:rPr>
            </w:pPr>
            <w:r>
              <w:rPr>
                <w:rFonts w:eastAsia="Arial"/>
                <w:sz w:val="22"/>
              </w:rPr>
            </w:r>
          </w:p>
          <w:p>
            <w:pPr>
              <w:pStyle w:val="ListParagraph"/>
              <w:numPr>
                <w:ilvl w:val="0"/>
                <w:numId w:val="5"/>
              </w:numPr>
              <w:rPr>
                <w:rFonts w:ascii="Arial" w:hAnsi="Arial" w:eastAsia="Arial" w:cs="Arial"/>
              </w:rPr>
            </w:pPr>
            <w:r>
              <w:rPr>
                <w:rFonts w:eastAsia="Arial" w:cs="Arial" w:ascii="Arial" w:hAnsi="Arial"/>
              </w:rPr>
              <w:t>Work with a Resident Focus</w:t>
            </w:r>
          </w:p>
          <w:p>
            <w:pPr>
              <w:pStyle w:val="ListParagraph"/>
              <w:numPr>
                <w:ilvl w:val="0"/>
                <w:numId w:val="5"/>
              </w:numPr>
              <w:rPr>
                <w:rFonts w:ascii="Arial" w:hAnsi="Arial" w:eastAsia="Arial" w:cs="Arial"/>
              </w:rPr>
            </w:pPr>
            <w:r>
              <w:rPr>
                <w:rFonts w:eastAsia="Arial" w:cs="Arial" w:ascii="Arial" w:hAnsi="Arial"/>
              </w:rPr>
              <w:t>Support Local Leaders</w:t>
            </w:r>
          </w:p>
          <w:p>
            <w:pPr>
              <w:pStyle w:val="ListParagraph"/>
              <w:numPr>
                <w:ilvl w:val="0"/>
                <w:numId w:val="5"/>
              </w:numPr>
              <w:rPr>
                <w:rFonts w:ascii="Arial" w:hAnsi="Arial" w:eastAsia="Arial" w:cs="Arial"/>
              </w:rPr>
            </w:pPr>
            <w:r>
              <w:rPr>
                <w:rFonts w:eastAsia="Arial" w:cs="Arial" w:ascii="Arial" w:hAnsi="Arial"/>
              </w:rPr>
              <w:t>Committed to the Borough</w:t>
            </w:r>
          </w:p>
          <w:p>
            <w:pPr>
              <w:pStyle w:val="ListParagraph"/>
              <w:numPr>
                <w:ilvl w:val="0"/>
                <w:numId w:val="5"/>
              </w:numPr>
              <w:rPr>
                <w:rFonts w:ascii="Arial" w:hAnsi="Arial" w:eastAsia="Arial" w:cs="Arial"/>
              </w:rPr>
            </w:pPr>
            <w:r>
              <w:rPr>
                <w:rFonts w:eastAsia="Arial" w:cs="Arial" w:ascii="Arial" w:hAnsi="Arial"/>
              </w:rPr>
              <w:t>Take Ownership and Drive Change</w:t>
            </w:r>
          </w:p>
          <w:p>
            <w:pPr>
              <w:pStyle w:val="ListParagraph"/>
              <w:numPr>
                <w:ilvl w:val="0"/>
                <w:numId w:val="5"/>
              </w:numPr>
              <w:rPr>
                <w:rFonts w:ascii="Arial" w:hAnsi="Arial" w:eastAsia="Arial" w:cs="Arial"/>
              </w:rPr>
            </w:pPr>
            <w:r>
              <w:rPr>
                <w:rFonts w:eastAsia="Arial" w:cs="Arial" w:ascii="Arial" w:hAnsi="Arial"/>
              </w:rPr>
              <w:t xml:space="preserve">Deliver High Performance </w:t>
            </w:r>
          </w:p>
          <w:p>
            <w:pPr>
              <w:pStyle w:val="Normal"/>
              <w:rPr>
                <w:rFonts w:eastAsia="Arial"/>
                <w:sz w:val="22"/>
              </w:rPr>
            </w:pPr>
            <w:r>
              <w:rPr>
                <w:rFonts w:eastAsia="Arial"/>
                <w:sz w:val="22"/>
              </w:rPr>
            </w:r>
          </w:p>
          <w:p>
            <w:pPr>
              <w:pStyle w:val="Normal"/>
              <w:rPr/>
            </w:pPr>
            <w:r>
              <w:rPr>
                <w:rFonts w:eastAsia="Arial"/>
                <w:sz w:val="22"/>
              </w:rPr>
              <w:t xml:space="preserve">More information about our Corporate Plan and our Values and Behaviours can be found on our </w:t>
            </w:r>
            <w:r>
              <w:rPr>
                <w:rStyle w:val="InternetLink"/>
                <w:rFonts w:eastAsia="Arial"/>
                <w:sz w:val="22"/>
              </w:rPr>
              <w:t>Greater. Jobs pages</w:t>
            </w:r>
            <w:r>
              <w:rPr>
                <w:rFonts w:eastAsia="Arial"/>
                <w:sz w:val="22"/>
              </w:rPr>
              <w:t xml:space="preserve"> together with information about the staff benefits we offer.</w:t>
            </w:r>
          </w:p>
          <w:p>
            <w:pPr>
              <w:pStyle w:val="Normal"/>
              <w:rPr>
                <w:b/>
                <w:b/>
                <w:sz w:val="22"/>
              </w:rPr>
            </w:pPr>
            <w:r>
              <w:rPr>
                <w:b/>
                <w:sz w:val="22"/>
              </w:rPr>
            </w:r>
          </w:p>
        </w:tc>
      </w:tr>
    </w:tbl>
    <w:p>
      <w:pPr>
        <w:pStyle w:val="Normal"/>
        <w:rPr>
          <w:sz w:val="22"/>
        </w:rPr>
      </w:pPr>
      <w:r>
        <w:rPr>
          <w:sz w:val="22"/>
        </w:rPr>
      </w:r>
    </w:p>
    <w:p>
      <w:pPr>
        <w:pStyle w:val="Normal"/>
        <w:rPr>
          <w:sz w:val="22"/>
        </w:rPr>
      </w:pPr>
      <w:r>
        <w:rPr>
          <w:sz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szCs w:val="22"/>
              </w:rPr>
            </w:pPr>
            <w:r>
              <w:rPr>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b/>
                <w:b/>
                <w:sz w:val="22"/>
              </w:rPr>
            </w:pPr>
            <w:r>
              <w:rPr>
                <w:b/>
                <w:sz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b/>
                <w:b/>
                <w:sz w:val="22"/>
              </w:rPr>
            </w:pPr>
            <w:r>
              <w:rPr>
                <w:b/>
                <w:sz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b/>
                <w:b/>
                <w:sz w:val="22"/>
              </w:rPr>
            </w:pPr>
            <w:r>
              <w:rPr>
                <w:b/>
                <w:sz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rPr>
            </w:pPr>
            <w:r>
              <w:rPr>
                <w:b/>
                <w:sz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rPr>
            </w:pPr>
            <w:r>
              <w:rPr>
                <w:sz w:val="22"/>
              </w:rPr>
              <w:t>11.07.23</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rPr>
            </w:pPr>
            <w:r>
              <w:rPr>
                <w:sz w:val="22"/>
              </w:rPr>
              <w:t>K Webster</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rPr>
            </w:pPr>
            <w:r>
              <w:rPr>
                <w:sz w:val="22"/>
              </w:rPr>
              <w:t>AD – Property &amp; Projects</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rPr>
            </w:pPr>
            <w:r>
              <w:rPr>
                <w:b/>
                <w:sz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rPr>
            </w:pPr>
            <w:r>
              <w:rPr>
                <w:sz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rPr>
            </w:pPr>
            <w:r>
              <w:rPr>
                <w:sz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rPr>
            </w:pPr>
            <w:r>
              <w:rPr>
                <w:sz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rPr>
            </w:pPr>
            <w:r>
              <w:rPr>
                <w:b/>
                <w:sz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rPr>
            </w:pPr>
            <w:r>
              <w:rPr>
                <w:sz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rPr>
            </w:pPr>
            <w:r>
              <w:rPr>
                <w:sz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rPr>
            </w:pPr>
            <w:r>
              <w:rPr>
                <w:sz w:val="22"/>
              </w:rPr>
            </w:r>
          </w:p>
        </w:tc>
      </w:tr>
    </w:tbl>
    <w:p>
      <w:pPr>
        <w:pStyle w:val="Normal"/>
        <w:jc w:val="center"/>
        <w:rPr>
          <w:b/>
          <w:b/>
          <w:bCs/>
          <w:sz w:val="22"/>
          <w:u w:val="single"/>
        </w:rPr>
      </w:pPr>
      <w:r>
        <w:br w:type="page"/>
      </w:r>
      <w:r>
        <w:rPr>
          <w:b/>
          <w:bCs/>
          <w:sz w:val="22"/>
          <w:u w:val="single"/>
        </w:rPr>
        <w:t>OLDHAM COUNCIL</w:t>
      </w:r>
    </w:p>
    <w:p>
      <w:pPr>
        <w:pStyle w:val="Normal"/>
        <w:jc w:val="center"/>
        <w:rPr>
          <w:b/>
          <w:b/>
          <w:bCs/>
          <w:sz w:val="22"/>
          <w:u w:val="single"/>
        </w:rPr>
      </w:pPr>
      <w:r>
        <w:rPr>
          <w:b/>
          <w:bCs/>
          <w:sz w:val="22"/>
          <w:u w:val="single"/>
        </w:rPr>
      </w:r>
    </w:p>
    <w:p>
      <w:pPr>
        <w:pStyle w:val="Normal"/>
        <w:jc w:val="center"/>
        <w:rPr>
          <w:b/>
          <w:b/>
          <w:bCs/>
          <w:sz w:val="22"/>
          <w:u w:val="single"/>
        </w:rPr>
      </w:pPr>
      <w:r>
        <w:rPr>
          <w:b/>
          <w:bCs/>
          <w:sz w:val="22"/>
          <w:u w:val="single"/>
        </w:rPr>
        <w:t>PERSON SPECIFICATION</w:t>
      </w:r>
    </w:p>
    <w:p>
      <w:pPr>
        <w:pStyle w:val="Normal"/>
        <w:rPr>
          <w:bCs/>
          <w:sz w:val="22"/>
        </w:rPr>
      </w:pPr>
      <w:r>
        <w:rPr>
          <w:bCs/>
          <w:sz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Senior Estates Surveyor</w:t>
      </w:r>
    </w:p>
    <w:p>
      <w:pPr>
        <w:pStyle w:val="Normal"/>
        <w:rPr>
          <w:sz w:val="22"/>
        </w:rPr>
      </w:pPr>
      <w:r>
        <w:rPr>
          <w:sz w:val="22"/>
        </w:rPr>
      </w:r>
    </w:p>
    <w:tbl>
      <w:tblPr>
        <w:tblW w:w="10449" w:type="dxa"/>
        <w:jc w:val="left"/>
        <w:tblInd w:w="-717" w:type="dxa"/>
        <w:tblCellMar>
          <w:top w:w="0" w:type="dxa"/>
          <w:left w:w="108" w:type="dxa"/>
          <w:bottom w:w="0" w:type="dxa"/>
          <w:right w:w="108" w:type="dxa"/>
        </w:tblCellMar>
      </w:tblPr>
      <w:tblGrid>
        <w:gridCol w:w="1799"/>
        <w:gridCol w:w="3960"/>
        <w:gridCol w:w="3060"/>
        <w:gridCol w:w="1630"/>
      </w:tblGrid>
      <w:tr>
        <w:trPr>
          <w:trHeight w:val="1000" w:hRule="atLeast"/>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sz w:val="22"/>
              </w:rPr>
            </w:pPr>
            <w:r>
              <w:rPr>
                <w:b/>
                <w:bCs/>
                <w:sz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b/>
                <w:b/>
                <w:bCs/>
                <w:sz w:val="22"/>
              </w:rPr>
            </w:pPr>
            <w:r>
              <w:rPr>
                <w:b/>
                <w:bCs/>
                <w:sz w:val="22"/>
              </w:rPr>
            </w:r>
          </w:p>
          <w:p>
            <w:pPr>
              <w:pStyle w:val="Normal"/>
              <w:jc w:val="center"/>
              <w:rPr>
                <w:b/>
                <w:b/>
                <w:bCs/>
                <w:sz w:val="22"/>
              </w:rPr>
            </w:pPr>
            <w:r>
              <w:rPr>
                <w:b/>
                <w:bCs/>
                <w:sz w:val="22"/>
              </w:rPr>
              <w:t xml:space="preserve">Selection criteria </w:t>
            </w:r>
          </w:p>
          <w:p>
            <w:pPr>
              <w:pStyle w:val="Normal"/>
              <w:jc w:val="center"/>
              <w:rPr>
                <w:b/>
                <w:b/>
                <w:bCs/>
                <w:sz w:val="22"/>
              </w:rPr>
            </w:pPr>
            <w:r>
              <w:rPr>
                <w:b/>
                <w:bCs/>
                <w:sz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b/>
                <w:b/>
                <w:bCs/>
                <w:sz w:val="22"/>
              </w:rPr>
            </w:pPr>
            <w:r>
              <w:rPr>
                <w:b/>
                <w:bCs/>
                <w:sz w:val="22"/>
              </w:rPr>
            </w:r>
          </w:p>
          <w:p>
            <w:pPr>
              <w:pStyle w:val="Normal"/>
              <w:jc w:val="center"/>
              <w:rPr>
                <w:b/>
                <w:b/>
                <w:bCs/>
                <w:sz w:val="22"/>
              </w:rPr>
            </w:pPr>
            <w:r>
              <w:rPr>
                <w:b/>
                <w:bCs/>
                <w:sz w:val="22"/>
              </w:rPr>
              <w:t xml:space="preserve">Selection criteria </w:t>
            </w:r>
          </w:p>
          <w:p>
            <w:pPr>
              <w:pStyle w:val="Normal"/>
              <w:jc w:val="center"/>
              <w:rPr>
                <w:b/>
                <w:b/>
                <w:bCs/>
                <w:sz w:val="22"/>
              </w:rPr>
            </w:pPr>
            <w:r>
              <w:rPr>
                <w:b/>
                <w:bCs/>
                <w:sz w:val="22"/>
              </w:rPr>
              <w:t>(Desirable)</w:t>
            </w:r>
          </w:p>
          <w:p>
            <w:pPr>
              <w:pStyle w:val="Normal"/>
              <w:jc w:val="center"/>
              <w:rPr>
                <w:b/>
                <w:b/>
                <w:bCs/>
                <w:sz w:val="22"/>
              </w:rPr>
            </w:pPr>
            <w:r>
              <w:rPr>
                <w:b/>
                <w:bCs/>
                <w:sz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b/>
                <w:b/>
                <w:bCs/>
                <w:sz w:val="22"/>
              </w:rPr>
            </w:pPr>
            <w:r>
              <w:rPr>
                <w:b/>
                <w:bCs/>
                <w:sz w:val="22"/>
              </w:rPr>
            </w:r>
          </w:p>
          <w:p>
            <w:pPr>
              <w:pStyle w:val="Normal"/>
              <w:jc w:val="center"/>
              <w:rPr>
                <w:b/>
                <w:b/>
                <w:bCs/>
                <w:sz w:val="22"/>
              </w:rPr>
            </w:pPr>
            <w:r>
              <w:rPr>
                <w:b/>
                <w:bCs/>
                <w:sz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sz w:val="22"/>
              </w:rPr>
            </w:pPr>
            <w:r>
              <w:rPr>
                <w:b/>
                <w:bCs/>
                <w:sz w:val="22"/>
              </w:rPr>
            </w:r>
          </w:p>
          <w:p>
            <w:pPr>
              <w:pStyle w:val="TextBody"/>
              <w:rPr>
                <w:bCs/>
                <w:szCs w:val="22"/>
              </w:rPr>
            </w:pPr>
            <w:r>
              <w:rPr>
                <w:bCs/>
                <w:szCs w:val="22"/>
              </w:rPr>
              <w:t>Education &amp; Qualifications</w:t>
            </w:r>
          </w:p>
          <w:p>
            <w:pPr>
              <w:pStyle w:val="Normal"/>
              <w:rPr>
                <w:b/>
                <w:b/>
                <w:bCs/>
                <w:sz w:val="22"/>
              </w:rPr>
            </w:pPr>
            <w:r>
              <w:rPr>
                <w:b/>
                <w:bCs/>
                <w:sz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ind w:left="361" w:right="0" w:hanging="361"/>
              <w:rPr>
                <w:b/>
                <w:b/>
                <w:bCs/>
                <w:sz w:val="22"/>
              </w:rPr>
            </w:pPr>
            <w:r>
              <w:rPr>
                <w:b/>
                <w:bCs/>
                <w:sz w:val="22"/>
              </w:rPr>
            </w:r>
          </w:p>
          <w:p>
            <w:pPr>
              <w:pStyle w:val="ListParagraph"/>
              <w:numPr>
                <w:ilvl w:val="0"/>
                <w:numId w:val="4"/>
              </w:numPr>
              <w:ind w:left="361" w:right="0" w:hanging="361"/>
              <w:rPr>
                <w:rFonts w:ascii="Arial" w:hAnsi="Arial" w:cs="Arial"/>
              </w:rPr>
            </w:pPr>
            <w:r>
              <w:rPr>
                <w:rFonts w:cs="Arial" w:ascii="Arial" w:hAnsi="Arial"/>
              </w:rPr>
              <w:t xml:space="preserve">Educated to degree level with significant experience working within the property sector.  </w:t>
            </w:r>
          </w:p>
          <w:p>
            <w:pPr>
              <w:pStyle w:val="ListParagraph"/>
              <w:ind w:left="361" w:right="0" w:hanging="0"/>
              <w:rPr>
                <w:rFonts w:ascii="Arial" w:hAnsi="Arial" w:cs="Arial"/>
              </w:rPr>
            </w:pPr>
            <w:r>
              <w:rPr>
                <w:rFonts w:cs="Arial" w:ascii="Arial" w:hAnsi="Arial"/>
              </w:rPr>
            </w:r>
          </w:p>
          <w:p>
            <w:pPr>
              <w:pStyle w:val="ListParagraph"/>
              <w:numPr>
                <w:ilvl w:val="0"/>
                <w:numId w:val="4"/>
              </w:numPr>
              <w:spacing w:before="0" w:after="200"/>
              <w:ind w:left="361" w:right="0" w:hanging="361"/>
              <w:contextualSpacing/>
              <w:rPr>
                <w:rFonts w:ascii="Arial" w:hAnsi="Arial" w:cs="Arial"/>
              </w:rPr>
            </w:pPr>
            <w:r>
              <w:rPr>
                <w:rFonts w:cs="Arial" w:ascii="Arial" w:hAnsi="Arial"/>
              </w:rPr>
              <w:t xml:space="preserve">Relevant CPD records related to working in property </w:t>
            </w:r>
          </w:p>
        </w:tc>
        <w:tc>
          <w:tcPr>
            <w:tcW w:w="3060" w:type="dxa"/>
            <w:tcBorders>
              <w:top w:val="single" w:sz="4" w:space="0" w:color="000000"/>
              <w:left w:val="single" w:sz="4" w:space="0" w:color="000000"/>
              <w:bottom w:val="single" w:sz="4" w:space="0" w:color="000000"/>
            </w:tcBorders>
            <w:shd w:fill="auto" w:val="clear"/>
          </w:tcPr>
          <w:p>
            <w:pPr>
              <w:pStyle w:val="ListParagraph"/>
              <w:numPr>
                <w:ilvl w:val="0"/>
                <w:numId w:val="4"/>
              </w:numPr>
              <w:ind w:left="361" w:right="0" w:hanging="361"/>
              <w:rPr>
                <w:rFonts w:ascii="Arial" w:hAnsi="Arial" w:cs="Arial"/>
              </w:rPr>
            </w:pPr>
            <w:r>
              <w:rPr>
                <w:rFonts w:cs="Arial" w:ascii="Arial" w:hAnsi="Arial"/>
              </w:rPr>
              <w:t>RICS qualified Chartered Surveyor (or an appropriate equivalent qualification).</w:t>
            </w:r>
          </w:p>
          <w:p>
            <w:pPr>
              <w:pStyle w:val="ListParagraph"/>
              <w:numPr>
                <w:ilvl w:val="0"/>
                <w:numId w:val="4"/>
              </w:numPr>
              <w:ind w:left="361" w:right="0" w:hanging="361"/>
              <w:rPr>
                <w:rFonts w:ascii="Arial" w:hAnsi="Arial" w:cs="Arial"/>
              </w:rPr>
            </w:pPr>
            <w:r>
              <w:rPr>
                <w:rFonts w:cs="Arial" w:ascii="Arial" w:hAnsi="Arial"/>
              </w:rPr>
              <w:t>Registered Valuer Status</w:t>
            </w:r>
          </w:p>
          <w:p>
            <w:pPr>
              <w:pStyle w:val="Header"/>
              <w:tabs>
                <w:tab w:val="clear" w:pos="4153"/>
                <w:tab w:val="clear" w:pos="8306"/>
              </w:tabs>
              <w:rPr>
                <w:szCs w:val="22"/>
              </w:rPr>
            </w:pPr>
            <w:r>
              <w:rPr>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jc w:val="center"/>
              <w:rPr>
                <w:rFonts w:ascii="Arial" w:hAnsi="Arial" w:cs="Arial"/>
                <w:sz w:val="22"/>
                <w:szCs w:val="22"/>
              </w:rPr>
            </w:pPr>
            <w:r>
              <w:rPr>
                <w:rFonts w:cs="Arial" w:ascii="Arial" w:hAnsi="Arial"/>
                <w:sz w:val="22"/>
                <w:szCs w:val="22"/>
              </w:rPr>
              <w:t>Certificate (bring to 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sz w:val="22"/>
              </w:rPr>
            </w:pPr>
            <w:r>
              <w:rPr>
                <w:b/>
                <w:bCs/>
                <w:sz w:val="22"/>
              </w:rPr>
            </w:r>
          </w:p>
          <w:p>
            <w:pPr>
              <w:pStyle w:val="Normal"/>
              <w:rPr>
                <w:b/>
                <w:b/>
                <w:bCs/>
                <w:sz w:val="22"/>
              </w:rPr>
            </w:pPr>
            <w:r>
              <w:rPr>
                <w:b/>
                <w:bCs/>
                <w:sz w:val="22"/>
              </w:rPr>
              <w:t>Experience</w:t>
            </w:r>
          </w:p>
          <w:p>
            <w:pPr>
              <w:pStyle w:val="Normal"/>
              <w:rPr>
                <w:b/>
                <w:b/>
                <w:bCs/>
                <w:sz w:val="22"/>
              </w:rPr>
            </w:pPr>
            <w:r>
              <w:rPr>
                <w:b/>
                <w:bCs/>
                <w:sz w:val="22"/>
              </w:rPr>
            </w:r>
          </w:p>
        </w:tc>
        <w:tc>
          <w:tcPr>
            <w:tcW w:w="3960" w:type="dxa"/>
            <w:tcBorders>
              <w:top w:val="single" w:sz="4" w:space="0" w:color="000000"/>
              <w:left w:val="single" w:sz="4" w:space="0" w:color="000000"/>
              <w:bottom w:val="single" w:sz="4" w:space="0" w:color="000000"/>
            </w:tcBorders>
            <w:shd w:fill="auto" w:val="clear"/>
          </w:tcPr>
          <w:p>
            <w:pPr>
              <w:pStyle w:val="Normal"/>
              <w:numPr>
                <w:ilvl w:val="0"/>
                <w:numId w:val="3"/>
              </w:numPr>
              <w:spacing w:before="0" w:after="0"/>
              <w:rPr>
                <w:sz w:val="22"/>
              </w:rPr>
            </w:pPr>
            <w:r>
              <w:rPr>
                <w:sz w:val="22"/>
              </w:rPr>
              <w:t xml:space="preserve">A minimum of 3 years PQE (post  qualification experience from RICS accreditation) AND/ OR able to evidence a wide variety of relevant experience for the role </w:t>
            </w:r>
          </w:p>
          <w:p>
            <w:pPr>
              <w:pStyle w:val="Normal"/>
              <w:numPr>
                <w:ilvl w:val="0"/>
                <w:numId w:val="3"/>
              </w:numPr>
              <w:spacing w:before="0" w:after="0"/>
              <w:rPr>
                <w:sz w:val="22"/>
              </w:rPr>
            </w:pPr>
            <w:r>
              <w:rPr>
                <w:sz w:val="22"/>
              </w:rPr>
              <w:t>Demonstratable experience of successful delivery of high-quality estates services in corporate or suitably challenging environments.</w:t>
            </w:r>
          </w:p>
          <w:p>
            <w:pPr>
              <w:pStyle w:val="Normal"/>
              <w:numPr>
                <w:ilvl w:val="0"/>
                <w:numId w:val="3"/>
              </w:numPr>
              <w:spacing w:before="0" w:after="280"/>
              <w:rPr>
                <w:sz w:val="22"/>
              </w:rPr>
            </w:pPr>
            <w:r>
              <w:rPr>
                <w:sz w:val="22"/>
              </w:rPr>
              <w:t>Track record of successful project and service delivery</w:t>
            </w:r>
          </w:p>
          <w:p>
            <w:pPr>
              <w:pStyle w:val="Normal"/>
              <w:rPr>
                <w:sz w:val="22"/>
              </w:rPr>
            </w:pPr>
            <w:r>
              <w:rPr>
                <w:sz w:val="22"/>
              </w:rPr>
            </w:r>
          </w:p>
        </w:tc>
        <w:tc>
          <w:tcPr>
            <w:tcW w:w="3060" w:type="dxa"/>
            <w:tcBorders>
              <w:top w:val="single" w:sz="4" w:space="0" w:color="000000"/>
              <w:left w:val="single" w:sz="4" w:space="0" w:color="000000"/>
              <w:bottom w:val="single" w:sz="4" w:space="0" w:color="000000"/>
            </w:tcBorders>
            <w:shd w:fill="auto" w:val="clear"/>
          </w:tcPr>
          <w:p>
            <w:pPr>
              <w:pStyle w:val="ListParagraph"/>
              <w:numPr>
                <w:ilvl w:val="0"/>
                <w:numId w:val="3"/>
              </w:numPr>
              <w:spacing w:before="0" w:after="200"/>
              <w:contextualSpacing/>
              <w:rPr>
                <w:rFonts w:ascii="Arial" w:hAnsi="Arial" w:cs="Arial"/>
              </w:rPr>
            </w:pPr>
            <w:r>
              <w:rPr>
                <w:rFonts w:cs="Arial" w:ascii="Arial" w:hAnsi="Arial"/>
              </w:rPr>
              <w:t xml:space="preserve">Experience of delivery estates functions with a local government setting. </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sz w:val="22"/>
              </w:rPr>
            </w:pPr>
            <w:r>
              <w:rPr>
                <w:b/>
                <w:bCs/>
                <w:sz w:val="22"/>
              </w:rPr>
            </w:r>
          </w:p>
          <w:p>
            <w:pPr>
              <w:pStyle w:val="Normal"/>
              <w:rPr>
                <w:b/>
                <w:b/>
                <w:bCs/>
                <w:sz w:val="22"/>
              </w:rPr>
            </w:pPr>
            <w:r>
              <w:rPr>
                <w:b/>
                <w:bCs/>
                <w:sz w:val="22"/>
              </w:rPr>
              <w:t>Skills &amp; Abilities</w:t>
            </w:r>
          </w:p>
          <w:p>
            <w:pPr>
              <w:pStyle w:val="Normal"/>
              <w:rPr>
                <w:b/>
                <w:b/>
                <w:bCs/>
                <w:sz w:val="22"/>
              </w:rPr>
            </w:pPr>
            <w:r>
              <w:rPr>
                <w:b/>
                <w:bCs/>
                <w:sz w:val="22"/>
              </w:rPr>
            </w:r>
          </w:p>
        </w:tc>
        <w:tc>
          <w:tcPr>
            <w:tcW w:w="3960" w:type="dxa"/>
            <w:tcBorders>
              <w:top w:val="single" w:sz="4" w:space="0" w:color="000000"/>
              <w:left w:val="single" w:sz="4" w:space="0" w:color="000000"/>
              <w:bottom w:val="single" w:sz="4" w:space="0" w:color="000000"/>
            </w:tcBorders>
            <w:shd w:fill="auto" w:val="clear"/>
          </w:tcPr>
          <w:p>
            <w:pPr>
              <w:pStyle w:val="Normal"/>
              <w:numPr>
                <w:ilvl w:val="0"/>
                <w:numId w:val="3"/>
              </w:numPr>
              <w:spacing w:before="0" w:after="0"/>
              <w:rPr>
                <w:sz w:val="22"/>
              </w:rPr>
            </w:pPr>
            <w:r>
              <w:rPr>
                <w:sz w:val="22"/>
              </w:rPr>
              <w:t>High level of self-motivation and ability to working on your own initiative</w:t>
            </w:r>
          </w:p>
          <w:p>
            <w:pPr>
              <w:pStyle w:val="Normal"/>
              <w:numPr>
                <w:ilvl w:val="0"/>
                <w:numId w:val="3"/>
              </w:numPr>
              <w:spacing w:before="0" w:after="0"/>
              <w:rPr>
                <w:sz w:val="22"/>
              </w:rPr>
            </w:pPr>
            <w:r>
              <w:rPr>
                <w:sz w:val="22"/>
              </w:rPr>
              <w:t>Ability to interpret and deliver on complex client requirements</w:t>
            </w:r>
          </w:p>
          <w:p>
            <w:pPr>
              <w:pStyle w:val="Normal"/>
              <w:numPr>
                <w:ilvl w:val="0"/>
                <w:numId w:val="3"/>
              </w:numPr>
              <w:spacing w:before="0" w:after="0"/>
              <w:rPr>
                <w:sz w:val="22"/>
              </w:rPr>
            </w:pPr>
            <w:r>
              <w:rPr>
                <w:sz w:val="22"/>
              </w:rPr>
              <w:t>Ability to challenge established ways of working for positive outcomes for the team, business and clients.</w:t>
            </w:r>
          </w:p>
          <w:p>
            <w:pPr>
              <w:pStyle w:val="Normal"/>
              <w:numPr>
                <w:ilvl w:val="0"/>
                <w:numId w:val="3"/>
              </w:numPr>
              <w:spacing w:before="0" w:after="0"/>
              <w:rPr>
                <w:sz w:val="22"/>
              </w:rPr>
            </w:pPr>
            <w:r>
              <w:rPr>
                <w:sz w:val="22"/>
              </w:rPr>
              <w:t xml:space="preserve">Ability to provide support, encouragement across other team members as an instrumental part of the team. </w:t>
            </w:r>
          </w:p>
          <w:p>
            <w:pPr>
              <w:pStyle w:val="Normal"/>
              <w:numPr>
                <w:ilvl w:val="0"/>
                <w:numId w:val="3"/>
              </w:numPr>
              <w:spacing w:lineRule="auto" w:line="276" w:before="0" w:after="0"/>
              <w:ind w:left="358" w:right="0" w:hanging="284"/>
              <w:rPr>
                <w:sz w:val="22"/>
              </w:rPr>
            </w:pPr>
            <w:r>
              <w:rPr>
                <w:sz w:val="22"/>
              </w:rPr>
              <w:t>Well organised and able to manage a complex and challenging workload</w:t>
            </w:r>
          </w:p>
          <w:p>
            <w:pPr>
              <w:pStyle w:val="ListParagraph"/>
              <w:numPr>
                <w:ilvl w:val="0"/>
                <w:numId w:val="3"/>
              </w:numPr>
              <w:spacing w:before="0" w:after="0"/>
              <w:ind w:left="358" w:right="0" w:hanging="284"/>
              <w:contextualSpacing/>
              <w:rPr>
                <w:rFonts w:ascii="Arial" w:hAnsi="Arial" w:cs="Arial"/>
              </w:rPr>
            </w:pPr>
            <w:r>
              <w:rPr>
                <w:rFonts w:cs="Arial" w:ascii="Arial" w:hAnsi="Arial"/>
              </w:rPr>
              <w:t xml:space="preserve">Excellent customer relationship management. </w:t>
            </w:r>
          </w:p>
          <w:p>
            <w:pPr>
              <w:pStyle w:val="Normal"/>
              <w:numPr>
                <w:ilvl w:val="0"/>
                <w:numId w:val="3"/>
              </w:numPr>
              <w:spacing w:lineRule="auto" w:line="276" w:before="0" w:after="0"/>
              <w:ind w:left="358" w:right="0" w:hanging="284"/>
              <w:rPr>
                <w:sz w:val="22"/>
              </w:rPr>
            </w:pPr>
            <w:r>
              <w:rPr>
                <w:sz w:val="22"/>
              </w:rPr>
              <w:t>Excellent written and verbal communication skills.</w:t>
            </w:r>
          </w:p>
          <w:p>
            <w:pPr>
              <w:pStyle w:val="Normal"/>
              <w:numPr>
                <w:ilvl w:val="0"/>
                <w:numId w:val="3"/>
              </w:numPr>
              <w:spacing w:lineRule="auto" w:line="276" w:before="0" w:after="0"/>
              <w:ind w:left="358" w:right="0" w:hanging="284"/>
              <w:rPr>
                <w:sz w:val="22"/>
              </w:rPr>
            </w:pPr>
            <w:r>
              <w:rPr>
                <w:sz w:val="22"/>
              </w:rPr>
              <w:t>Good IT/business skills</w:t>
            </w:r>
          </w:p>
          <w:p>
            <w:pPr>
              <w:pStyle w:val="Normal"/>
              <w:numPr>
                <w:ilvl w:val="0"/>
                <w:numId w:val="3"/>
              </w:numPr>
              <w:spacing w:lineRule="auto" w:line="276" w:before="0" w:after="0"/>
              <w:ind w:left="358" w:right="0" w:hanging="284"/>
              <w:rPr>
                <w:sz w:val="22"/>
              </w:rPr>
            </w:pPr>
            <w:r>
              <w:rPr>
                <w:sz w:val="22"/>
              </w:rPr>
              <w:t>Excellent interpersonal skills</w:t>
            </w:r>
          </w:p>
          <w:p>
            <w:pPr>
              <w:pStyle w:val="Normal"/>
              <w:numPr>
                <w:ilvl w:val="0"/>
                <w:numId w:val="3"/>
              </w:numPr>
              <w:spacing w:lineRule="auto" w:line="276" w:before="0" w:after="0"/>
              <w:ind w:left="358" w:right="0" w:hanging="284"/>
              <w:rPr>
                <w:sz w:val="22"/>
              </w:rPr>
            </w:pPr>
            <w:r>
              <w:rPr>
                <w:sz w:val="22"/>
              </w:rPr>
              <w:t>Demonstrable commitment to CPD (Continuing Professional Development and wider sharing of skills, knowledge and experience</w:t>
            </w:r>
          </w:p>
          <w:p>
            <w:pPr>
              <w:pStyle w:val="Normal"/>
              <w:numPr>
                <w:ilvl w:val="0"/>
                <w:numId w:val="3"/>
              </w:numPr>
              <w:spacing w:lineRule="auto" w:line="276" w:before="0" w:after="0"/>
              <w:ind w:left="358" w:right="0" w:hanging="284"/>
              <w:rPr>
                <w:sz w:val="22"/>
              </w:rPr>
            </w:pPr>
            <w:r>
              <w:rPr>
                <w:sz w:val="22"/>
              </w:rPr>
              <w:t>Solution focused and outcome orientated</w:t>
            </w:r>
          </w:p>
          <w:p>
            <w:pPr>
              <w:pStyle w:val="Normal"/>
              <w:numPr>
                <w:ilvl w:val="0"/>
                <w:numId w:val="3"/>
              </w:numPr>
              <w:spacing w:before="0" w:after="0"/>
              <w:rPr>
                <w:sz w:val="22"/>
              </w:rPr>
            </w:pPr>
            <w:r>
              <w:rPr>
                <w:sz w:val="22"/>
              </w:rPr>
              <w:t>Excellent  Commercial and Technical skills</w:t>
            </w:r>
          </w:p>
          <w:p>
            <w:pPr>
              <w:pStyle w:val="Normal"/>
              <w:numPr>
                <w:ilvl w:val="0"/>
                <w:numId w:val="3"/>
              </w:numPr>
              <w:spacing w:before="0" w:after="280"/>
              <w:rPr>
                <w:sz w:val="22"/>
              </w:rPr>
            </w:pPr>
            <w:r>
              <w:rPr>
                <w:sz w:val="22"/>
              </w:rPr>
              <w:t>Maintain an active personal caseload in line with utilisation expectations of the business</w:t>
            </w:r>
          </w:p>
          <w:p>
            <w:pPr>
              <w:pStyle w:val="Normal"/>
              <w:rPr>
                <w:sz w:val="22"/>
              </w:rPr>
            </w:pPr>
            <w:r>
              <w:rPr>
                <w:sz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sz w:val="22"/>
              </w:rPr>
            </w:pPr>
            <w:r>
              <w:rPr>
                <w:sz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sz w:val="22"/>
              </w:rPr>
            </w:pPr>
            <w:r>
              <w:rPr>
                <w:b/>
                <w:bCs/>
                <w:sz w:val="22"/>
              </w:rPr>
            </w:r>
          </w:p>
          <w:p>
            <w:pPr>
              <w:pStyle w:val="Normal"/>
              <w:rPr>
                <w:b/>
                <w:b/>
                <w:bCs/>
                <w:sz w:val="22"/>
              </w:rPr>
            </w:pPr>
            <w:r>
              <w:rPr>
                <w:b/>
                <w:bCs/>
                <w:sz w:val="22"/>
              </w:rPr>
              <w:t>Knowledge</w:t>
            </w:r>
          </w:p>
          <w:p>
            <w:pPr>
              <w:pStyle w:val="Normal"/>
              <w:rPr>
                <w:b/>
                <w:b/>
                <w:bCs/>
                <w:sz w:val="22"/>
              </w:rPr>
            </w:pPr>
            <w:r>
              <w:rPr>
                <w:b/>
                <w:bCs/>
                <w:sz w:val="22"/>
              </w:rPr>
            </w:r>
          </w:p>
        </w:tc>
        <w:tc>
          <w:tcPr>
            <w:tcW w:w="3960" w:type="dxa"/>
            <w:tcBorders>
              <w:top w:val="single" w:sz="4" w:space="0" w:color="000000"/>
              <w:left w:val="single" w:sz="4" w:space="0" w:color="000000"/>
              <w:bottom w:val="single" w:sz="4" w:space="0" w:color="000000"/>
            </w:tcBorders>
            <w:shd w:fill="auto" w:val="clear"/>
          </w:tcPr>
          <w:p>
            <w:pPr>
              <w:pStyle w:val="Normal"/>
              <w:numPr>
                <w:ilvl w:val="0"/>
                <w:numId w:val="3"/>
              </w:numPr>
              <w:spacing w:lineRule="auto" w:line="276" w:before="0" w:after="0"/>
              <w:ind w:left="358" w:right="0" w:hanging="284"/>
              <w:rPr>
                <w:sz w:val="22"/>
              </w:rPr>
            </w:pPr>
            <w:r>
              <w:rPr>
                <w:sz w:val="22"/>
              </w:rPr>
              <w:t>Excellent working knowledge of multi-disciplinary estates services</w:t>
            </w:r>
          </w:p>
          <w:p>
            <w:pPr>
              <w:pStyle w:val="Normal"/>
              <w:numPr>
                <w:ilvl w:val="0"/>
                <w:numId w:val="3"/>
              </w:numPr>
              <w:spacing w:before="0" w:after="0"/>
              <w:rPr>
                <w:sz w:val="22"/>
              </w:rPr>
            </w:pPr>
            <w:r>
              <w:rPr>
                <w:sz w:val="22"/>
              </w:rPr>
              <w:t>Excellent knowledge of property related legislation relevant to public sector clients.</w:t>
            </w:r>
          </w:p>
          <w:p>
            <w:pPr>
              <w:pStyle w:val="Normal"/>
              <w:numPr>
                <w:ilvl w:val="0"/>
                <w:numId w:val="3"/>
              </w:numPr>
              <w:rPr>
                <w:sz w:val="22"/>
              </w:rPr>
            </w:pPr>
            <w:r>
              <w:rPr>
                <w:sz w:val="22"/>
              </w:rPr>
              <w:t>Understanding of the complex stakeholder environment in which services are to be delivered</w:t>
            </w:r>
          </w:p>
          <w:p>
            <w:pPr>
              <w:pStyle w:val="Normal"/>
              <w:numPr>
                <w:ilvl w:val="0"/>
                <w:numId w:val="3"/>
              </w:numPr>
              <w:spacing w:lineRule="auto" w:line="276" w:before="0" w:after="0"/>
              <w:ind w:left="358" w:right="0" w:hanging="284"/>
              <w:rPr>
                <w:sz w:val="22"/>
              </w:rPr>
            </w:pPr>
            <w:r>
              <w:rPr>
                <w:sz w:val="22"/>
              </w:rPr>
              <w:t>Knowledge and understanding of best practice in commercial property /asset management and valuation.</w:t>
            </w:r>
          </w:p>
          <w:p>
            <w:pPr>
              <w:pStyle w:val="Normal"/>
              <w:numPr>
                <w:ilvl w:val="0"/>
                <w:numId w:val="3"/>
              </w:numPr>
              <w:rPr>
                <w:sz w:val="22"/>
                <w:lang w:val="en-US"/>
              </w:rPr>
            </w:pPr>
            <w:r>
              <w:rPr>
                <w:sz w:val="22"/>
                <w:lang w:val="en-US"/>
              </w:rPr>
              <w:t>Demonstrable understanding of the wider contextual challenges facing local govrenment</w:t>
            </w:r>
          </w:p>
          <w:p>
            <w:pPr>
              <w:pStyle w:val="Normal"/>
              <w:rPr>
                <w:sz w:val="22"/>
                <w:lang w:val="en-US"/>
              </w:rPr>
            </w:pPr>
            <w:r>
              <w:rPr>
                <w:sz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sz w:val="22"/>
                <w:lang w:val="en-US"/>
              </w:rPr>
            </w:pPr>
            <w:r>
              <w:rPr>
                <w:sz w:val="22"/>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AF / I</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sz w:val="22"/>
              </w:rPr>
            </w:pPr>
            <w:r>
              <w:rPr>
                <w:b/>
                <w:bCs/>
                <w:sz w:val="22"/>
              </w:rPr>
            </w:r>
          </w:p>
          <w:p>
            <w:pPr>
              <w:pStyle w:val="TextBody"/>
              <w:rPr>
                <w:bCs/>
                <w:szCs w:val="22"/>
              </w:rPr>
            </w:pPr>
            <w:r>
              <w:rPr>
                <w:bCs/>
                <w:szCs w:val="22"/>
              </w:rPr>
              <w:t>Work Circumstances</w:t>
            </w:r>
          </w:p>
          <w:p>
            <w:pPr>
              <w:pStyle w:val="Normal"/>
              <w:rPr>
                <w:b/>
                <w:b/>
                <w:bCs/>
                <w:sz w:val="22"/>
              </w:rPr>
            </w:pPr>
            <w:r>
              <w:rPr>
                <w:b/>
                <w:bCs/>
                <w:sz w:val="22"/>
              </w:rPr>
            </w:r>
          </w:p>
        </w:tc>
        <w:tc>
          <w:tcPr>
            <w:tcW w:w="3960" w:type="dxa"/>
            <w:tcBorders>
              <w:top w:val="single" w:sz="4" w:space="0" w:color="000000"/>
              <w:left w:val="single" w:sz="4" w:space="0" w:color="000000"/>
              <w:bottom w:val="single" w:sz="4" w:space="0" w:color="000000"/>
            </w:tcBorders>
            <w:shd w:fill="auto" w:val="clear"/>
          </w:tcPr>
          <w:p>
            <w:pPr>
              <w:pStyle w:val="Normal"/>
              <w:overflowPunct w:val="true"/>
              <w:textAlignment w:val="baseline"/>
              <w:rPr>
                <w:sz w:val="22"/>
              </w:rPr>
            </w:pPr>
            <w:r>
              <w:rPr>
                <w:sz w:val="22"/>
              </w:rPr>
              <w:t xml:space="preserve">Flexible working, adopting working from home, on site or within the office. </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sz w:val="22"/>
              </w:rPr>
            </w:pPr>
            <w:r>
              <w:rPr>
                <w:sz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sz w:val="22"/>
              </w:rPr>
            </w:pPr>
            <w:r>
              <w:rPr>
                <w:sz w:val="22"/>
              </w:rPr>
              <w:t>AF / I</w:t>
            </w:r>
          </w:p>
          <w:p>
            <w:pPr>
              <w:pStyle w:val="Normal"/>
              <w:ind w:left="360" w:right="0" w:hanging="0"/>
              <w:rPr>
                <w:sz w:val="22"/>
              </w:rPr>
            </w:pPr>
            <w:r>
              <w:rPr>
                <w:sz w:val="22"/>
              </w:rPr>
            </w:r>
          </w:p>
          <w:p>
            <w:pPr>
              <w:pStyle w:val="Normal"/>
              <w:ind w:left="360" w:right="0" w:hanging="0"/>
              <w:rPr>
                <w:sz w:val="22"/>
              </w:rPr>
            </w:pPr>
            <w:r>
              <w:rPr>
                <w:sz w:val="22"/>
              </w:rPr>
            </w:r>
          </w:p>
          <w:p>
            <w:pPr>
              <w:pStyle w:val="Normal"/>
              <w:ind w:left="360" w:right="0" w:hanging="0"/>
              <w:rPr>
                <w:sz w:val="22"/>
              </w:rPr>
            </w:pPr>
            <w:r>
              <w:rPr>
                <w:sz w:val="22"/>
              </w:rPr>
            </w:r>
          </w:p>
        </w:tc>
      </w:tr>
    </w:tbl>
    <w:p>
      <w:pPr>
        <w:pStyle w:val="Normal"/>
        <w:rPr>
          <w:sz w:val="22"/>
        </w:rPr>
      </w:pPr>
      <w:r>
        <w:rPr>
          <w:sz w:val="22"/>
        </w:rPr>
      </w:r>
    </w:p>
    <w:p>
      <w:pPr>
        <w:pStyle w:val="Normal"/>
        <w:spacing w:before="0" w:after="60"/>
        <w:jc w:val="both"/>
        <w:rPr/>
      </w:pPr>
      <w:r>
        <w:rPr>
          <w:i/>
          <w:sz w:val="22"/>
        </w:rPr>
        <w:t>Abbreviations:</w:t>
      </w:r>
      <w:r>
        <w:rPr>
          <w:sz w:val="22"/>
        </w:rPr>
        <w:t xml:space="preserve"> AF = Application Form; I = Interview; AC = Assessment Centre; T = Test</w:t>
      </w:r>
    </w:p>
    <w:p>
      <w:pPr>
        <w:pStyle w:val="Normal"/>
        <w:rPr>
          <w:sz w:val="22"/>
        </w:rPr>
      </w:pPr>
      <w:r>
        <w:rPr>
          <w:sz w:val="22"/>
        </w:rPr>
      </w:r>
    </w:p>
    <w:p>
      <w:pPr>
        <w:pStyle w:val="Normal"/>
        <w:jc w:val="both"/>
        <w:rPr/>
      </w:pPr>
      <w:r>
        <w:rPr>
          <w:b/>
          <w:bCs/>
          <w:sz w:val="22"/>
        </w:rPr>
        <w:t xml:space="preserve">NB. - Any candidate that meets the criteria of our </w:t>
      </w:r>
      <w:r>
        <w:rPr>
          <w:rStyle w:val="InternetLink"/>
          <w:b/>
          <w:bCs/>
          <w:sz w:val="22"/>
        </w:rPr>
        <w:t>Guaranteed Assessment Scheme</w:t>
      </w:r>
      <w:r>
        <w:rPr>
          <w:b/>
          <w:bCs/>
          <w:sz w:val="22"/>
        </w:rPr>
        <w:t xml:space="preserve"> and meets the essential criteria of the role, will be guaranteed the first stage of assessment (whether that is an interview or another assessment, as appropriate).</w:t>
      </w:r>
    </w:p>
    <w:p>
      <w:pPr>
        <w:pStyle w:val="Normal"/>
        <w:jc w:val="both"/>
        <w:rPr>
          <w:b/>
          <w:b/>
          <w:bCs/>
          <w:sz w:val="22"/>
        </w:rPr>
      </w:pPr>
      <w:r>
        <w:rPr>
          <w:b/>
          <w:bCs/>
          <w:sz w:val="22"/>
        </w:rPr>
      </w:r>
    </w:p>
    <w:p>
      <w:pPr>
        <w:pStyle w:val="Normal"/>
        <w:jc w:val="both"/>
        <w:rPr>
          <w:b/>
          <w:b/>
          <w:bCs/>
          <w:sz w:val="22"/>
        </w:rPr>
      </w:pPr>
      <w:r>
        <w:rPr>
          <w:b/>
          <w:bCs/>
          <w:sz w:val="22"/>
        </w:rPr>
        <w:t>Our Guaranteed Assessment Scheme supports candidates with disabilities, those who have previously been in or currently in care, those that are carers, and those whose last long term substantive employer was the Armed Forces.</w:t>
      </w:r>
    </w:p>
    <w:p>
      <w:pPr>
        <w:pStyle w:val="Normal"/>
        <w:jc w:val="both"/>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2"/>
      <w:lang w:val="en-GB" w:eastAsia="en-GB"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rPr>
  </w:style>
  <w:style w:type="paragraph" w:styleId="Paragraph">
    <w:name w:val="paragraph"/>
    <w:basedOn w:val="Normal"/>
    <w:qFormat/>
    <w:pPr>
      <w:spacing w:before="280" w:after="280"/>
    </w:pPr>
    <w:rPr>
      <w:rFonts w:ascii="Times New Roman" w:hAnsi="Times New Roman" w:cs="Times New Roman"/>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2026-04-16T14:49:00Z</dcterms:created>
  <dc:creator>OMBC</dc:creator>
  <dc:description/>
  <dc:language>en-US</dc:language>
  <cp:lastModifiedBy>Stephen Keogh</cp:lastModifiedBy>
  <cp:lastPrinted>1995-11-21T17:41:00Z</cp:lastPrinted>
  <dcterms:modified xsi:type="dcterms:W3CDTF">2026-04-16T14:52:00Z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DocHome">
    <vt:i4>1547411386</vt:i4>
  </property>
</Properties>
</file>