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rFonts w:cs="Arial"/>
          <w:sz w:val="22"/>
          <w:szCs w:val="22"/>
        </w:rPr>
      </w:pPr>
      <w:r>
        <w:rPr>
          <w:rFonts w:cs="Arial"/>
          <w:sz w:val="22"/>
          <w:szCs w:val="22"/>
        </w:rPr>
        <mc:AlternateContent>
          <mc:Choice Requires="wps">
            <w:drawing>
              <wp:anchor behindDoc="0" distT="0" distB="0" distL="114935" distR="114935" simplePos="0" locked="0" layoutInCell="1" allowOverlap="1" relativeHeight="2">
                <wp:simplePos x="0" y="0"/>
                <wp:positionH relativeFrom="column">
                  <wp:posOffset>5029200</wp:posOffset>
                </wp:positionH>
                <wp:positionV relativeFrom="paragraph">
                  <wp:posOffset>-114300</wp:posOffset>
                </wp:positionV>
                <wp:extent cx="1146810" cy="1187450"/>
                <wp:effectExtent l="0" t="0" r="0" b="0"/>
                <wp:wrapNone/>
                <wp:docPr id="1" name="Text Box 2"/>
                <a:graphic xmlns:a="http://schemas.openxmlformats.org/drawingml/2006/main">
                  <a:graphicData uri="http://schemas.microsoft.com/office/word/2010/wordprocessingShape">
                    <wps:wsp>
                      <wps:cNvSpPr/>
                      <wps:spPr>
                        <a:xfrm>
                          <a:off x="0" y="0"/>
                          <a:ext cx="11469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f" o:allowincell="f" style="position:absolute;margin-left:396pt;margin-top:-9pt;width:90.25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4">
                <wp:simplePos x="0" y="0"/>
                <wp:positionH relativeFrom="column">
                  <wp:posOffset>5029200</wp:posOffset>
                </wp:positionH>
                <wp:positionV relativeFrom="paragraph">
                  <wp:posOffset>-114300</wp:posOffset>
                </wp:positionV>
                <wp:extent cx="1146810" cy="1187450"/>
                <wp:effectExtent l="0" t="0" r="0" b="0"/>
                <wp:wrapNone/>
                <wp:docPr id="2" name="Frame1"/>
                <a:graphic xmlns:a="http://schemas.openxmlformats.org/drawingml/2006/main">
                  <a:graphicData uri="http://schemas.microsoft.com/office/word/2010/wordprocessingShape">
                    <wps:wsp>
                      <wps:cNvSpPr txBox="1"/>
                      <wps:spPr>
                        <a:xfrm>
                          <a:off x="0" y="0"/>
                          <a:ext cx="1146810" cy="1187450"/>
                        </a:xfrm>
                        <a:prstGeom prst="rect"/>
                        <a:solidFill>
                          <a:srgbClr val="FFFFFF"/>
                        </a:solidFill>
                      </wps:spPr>
                      <wps:txbx>
                        <w:txbxContent>
                          <w:p>
                            <w:pPr>
                              <w:pStyle w:val="FrameContents"/>
                              <w:rPr/>
                            </w:pPr>
                            <w:r>
                              <w:rPr/>
                              <w:drawing>
                                <wp:inline distT="0" distB="0" distL="0" distR="0">
                                  <wp:extent cx="965200" cy="1097915"/>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3pt;height:93.5pt;mso-wrap-distance-left:0pt;mso-wrap-distance-right:0pt;mso-wrap-distance-top:5.7pt;mso-wrap-distance-bottom:5.7pt;margin-top:-9pt;mso-position-vertical-relative:text;margin-left:396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r>
    </w:p>
    <w:tbl>
      <w:tblPr>
        <w:tblW w:w="10439" w:type="dxa"/>
        <w:jc w:val="left"/>
        <w:tblInd w:w="-504" w:type="dxa"/>
        <w:tblLayout w:type="fixed"/>
        <w:tblCellMar>
          <w:top w:w="0" w:type="dxa"/>
          <w:left w:w="108" w:type="dxa"/>
          <w:bottom w:w="0" w:type="dxa"/>
          <w:right w:w="108" w:type="dxa"/>
        </w:tblCellMar>
      </w:tblPr>
      <w:tblGrid>
        <w:gridCol w:w="1451"/>
        <w:gridCol w:w="2869"/>
        <w:gridCol w:w="2179"/>
        <w:gridCol w:w="3940"/>
      </w:tblGrid>
      <w:tr>
        <w:trPr>
          <w:trHeight w:val="343" w:hRule="atLeast"/>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Housing Register and Allocations Officer</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People and Place</w:t>
            </w:r>
          </w:p>
          <w:p>
            <w:pPr>
              <w:pStyle w:val="Normal"/>
              <w:rPr>
                <w:rFonts w:cs="Arial"/>
                <w:sz w:val="22"/>
                <w:szCs w:val="22"/>
              </w:rPr>
            </w:pPr>
            <w:r>
              <w:rPr>
                <w:rFonts w:cs="Arial"/>
                <w:sz w:val="22"/>
                <w:szCs w:val="22"/>
              </w:rPr>
              <w:t xml:space="preserve">Economy </w:t>
            </w:r>
          </w:p>
        </w:tc>
        <w:tc>
          <w:tcPr>
            <w:tcW w:w="2179" w:type="dxa"/>
            <w:tcBorders>
              <w:top w:val="single" w:sz="4" w:space="0" w:color="000000"/>
              <w:bottom w:val="single" w:sz="4" w:space="0" w:color="000000"/>
              <w:right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Strategic Housing</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5</w:t>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szCs w:val="22"/>
              </w:rPr>
            </w:pPr>
            <w:r>
              <w:rPr>
                <w:rFonts w:cs="Arial"/>
                <w:b/>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9857</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493"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835" w:leader="none"/>
                <w:tab w:val="left" w:pos="5387" w:leader="none"/>
              </w:tabs>
              <w:jc w:val="both"/>
              <w:rPr>
                <w:rFonts w:cs="Arial"/>
                <w:sz w:val="22"/>
                <w:szCs w:val="22"/>
              </w:rPr>
            </w:pPr>
            <w:r>
              <w:rPr>
                <w:rFonts w:cs="Arial"/>
                <w:sz w:val="22"/>
                <w:szCs w:val="22"/>
              </w:rPr>
              <w:t>To provide advice and assistance to customers on their rehousing options to help prevent homelessness whilst managing the assessment of an applicant’s housing needs using the practical interpretation of the Council’s Allocations Policy and Parts VI and VII of the Housing Act 1996 (as amended by the Homelessness Act 2002) and other legislation as required.</w:t>
            </w:r>
          </w:p>
          <w:p>
            <w:pPr>
              <w:pStyle w:val="Normal"/>
              <w:tabs>
                <w:tab w:val="clear" w:pos="720"/>
                <w:tab w:val="left" w:pos="2835" w:leader="none"/>
                <w:tab w:val="left" w:pos="5387" w:leader="none"/>
              </w:tabs>
              <w:jc w:val="both"/>
              <w:rPr>
                <w:rFonts w:cs="Arial"/>
                <w:sz w:val="22"/>
                <w:szCs w:val="22"/>
              </w:rPr>
            </w:pPr>
            <w:r>
              <w:rPr>
                <w:rFonts w:cs="Arial"/>
                <w:sz w:val="22"/>
                <w:szCs w:val="22"/>
              </w:rPr>
            </w:r>
          </w:p>
          <w:p>
            <w:pPr>
              <w:pStyle w:val="Normal"/>
              <w:tabs>
                <w:tab w:val="clear" w:pos="720"/>
                <w:tab w:val="left" w:pos="2835" w:leader="none"/>
                <w:tab w:val="left" w:pos="5387" w:leader="none"/>
              </w:tabs>
              <w:jc w:val="both"/>
              <w:rPr>
                <w:rFonts w:cs="Arial"/>
                <w:sz w:val="22"/>
                <w:szCs w:val="22"/>
              </w:rPr>
            </w:pPr>
            <w:r>
              <w:rPr>
                <w:rFonts w:cs="Arial"/>
                <w:sz w:val="22"/>
                <w:szCs w:val="22"/>
              </w:rPr>
              <w:t>To support applicants on the Council’s Housing Register to access secure accommodation.</w:t>
            </w:r>
          </w:p>
          <w:p>
            <w:pPr>
              <w:pStyle w:val="Normal"/>
              <w:tabs>
                <w:tab w:val="clear" w:pos="720"/>
                <w:tab w:val="left" w:pos="2835" w:leader="none"/>
                <w:tab w:val="left" w:pos="5387" w:leader="none"/>
              </w:tabs>
              <w:jc w:val="both"/>
              <w:rPr>
                <w:rFonts w:cs="Arial"/>
                <w:sz w:val="22"/>
                <w:szCs w:val="22"/>
              </w:rPr>
            </w:pPr>
            <w:r>
              <w:rPr>
                <w:rFonts w:cs="Arial"/>
                <w:sz w:val="22"/>
                <w:szCs w:val="22"/>
              </w:rPr>
            </w:r>
          </w:p>
          <w:p>
            <w:pPr>
              <w:pStyle w:val="Normal"/>
              <w:tabs>
                <w:tab w:val="clear" w:pos="720"/>
                <w:tab w:val="left" w:pos="2835" w:leader="none"/>
                <w:tab w:val="left" w:pos="5387" w:leader="none"/>
              </w:tabs>
              <w:jc w:val="both"/>
              <w:rPr>
                <w:rFonts w:cs="Arial"/>
                <w:sz w:val="22"/>
                <w:szCs w:val="22"/>
              </w:rPr>
            </w:pPr>
            <w:r>
              <w:rPr>
                <w:rFonts w:cs="Arial"/>
                <w:sz w:val="22"/>
                <w:szCs w:val="22"/>
              </w:rPr>
              <w:t xml:space="preserve">To engage with partners and co-ordinate the register/database of adapted properties and Disabled Persons Register  </w:t>
            </w:r>
          </w:p>
          <w:p>
            <w:pPr>
              <w:pStyle w:val="Normal"/>
              <w:tabs>
                <w:tab w:val="clear" w:pos="720"/>
                <w:tab w:val="left" w:pos="2835" w:leader="none"/>
                <w:tab w:val="left" w:pos="5387" w:leader="none"/>
              </w:tabs>
              <w:jc w:val="both"/>
              <w:rPr>
                <w:rFonts w:cs="Arial"/>
                <w:sz w:val="22"/>
                <w:szCs w:val="22"/>
              </w:rPr>
            </w:pPr>
            <w:r>
              <w:rPr>
                <w:rFonts w:cs="Arial"/>
                <w:sz w:val="22"/>
                <w:szCs w:val="22"/>
              </w:rPr>
            </w:r>
          </w:p>
          <w:p>
            <w:pPr>
              <w:pStyle w:val="Normal"/>
              <w:tabs>
                <w:tab w:val="clear" w:pos="720"/>
                <w:tab w:val="left" w:pos="2835" w:leader="none"/>
                <w:tab w:val="left" w:pos="5387" w:leader="none"/>
              </w:tabs>
              <w:jc w:val="both"/>
              <w:rPr>
                <w:rFonts w:cs="Arial"/>
                <w:sz w:val="22"/>
                <w:szCs w:val="22"/>
              </w:rPr>
            </w:pPr>
            <w:r>
              <w:rPr>
                <w:rFonts w:cs="Arial"/>
                <w:sz w:val="22"/>
                <w:szCs w:val="22"/>
              </w:rPr>
              <w:t>Promote housing options within the borough including downsizing and Extra Care Housing</w:t>
            </w:r>
          </w:p>
          <w:p>
            <w:pPr>
              <w:pStyle w:val="Normal"/>
              <w:ind w:left="44" w:right="0"/>
              <w:jc w:val="both"/>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EndnoteText"/>
              <w:jc w:val="both"/>
              <w:rPr>
                <w:rFonts w:ascii="Arial" w:hAnsi="Arial" w:cs="Arial"/>
                <w:sz w:val="22"/>
                <w:szCs w:val="22"/>
              </w:rPr>
            </w:pPr>
            <w:r>
              <w:rPr>
                <w:rFonts w:cs="Arial" w:ascii="Arial" w:hAnsi="Arial"/>
                <w:sz w:val="22"/>
                <w:szCs w:val="22"/>
              </w:rPr>
              <w:t xml:space="preserve">To fully assess applications to the Council’s Housing Register.  Including identifying eligibility for the Council’s Housing Register and Disabled Persons Register, identifying reasonable preference and send communications out to customers informing them of the outcome of their application.  Input customer details onto the Housing Register and Disabled Persons Register. </w:t>
            </w:r>
          </w:p>
          <w:p>
            <w:pPr>
              <w:pStyle w:val="EndnoteText"/>
              <w:jc w:val="both"/>
              <w:rPr>
                <w:rFonts w:ascii="Arial" w:hAnsi="Arial" w:cs="Arial"/>
                <w:sz w:val="22"/>
                <w:szCs w:val="22"/>
              </w:rPr>
            </w:pPr>
            <w:r>
              <w:rPr>
                <w:rFonts w:cs="Arial" w:ascii="Arial" w:hAnsi="Arial"/>
                <w:sz w:val="22"/>
                <w:szCs w:val="22"/>
              </w:rPr>
            </w:r>
          </w:p>
          <w:p>
            <w:pPr>
              <w:pStyle w:val="EndnoteText"/>
              <w:jc w:val="both"/>
              <w:rPr>
                <w:rFonts w:ascii="Arial" w:hAnsi="Arial" w:cs="Arial"/>
                <w:sz w:val="22"/>
                <w:szCs w:val="22"/>
              </w:rPr>
            </w:pPr>
            <w:r>
              <w:rPr>
                <w:rFonts w:cs="Arial" w:ascii="Arial" w:hAnsi="Arial"/>
                <w:sz w:val="22"/>
                <w:szCs w:val="22"/>
              </w:rPr>
              <w:t xml:space="preserve">Offer advice on housing options related queries which include the housing registration process, applying for a home, prospects advice and other housing options such as downsizing, direct exchange and private rented. </w:t>
            </w:r>
          </w:p>
          <w:p>
            <w:pPr>
              <w:pStyle w:val="EndnoteText"/>
              <w:jc w:val="both"/>
              <w:rPr>
                <w:rFonts w:ascii="Arial" w:hAnsi="Arial" w:cs="Arial"/>
                <w:b/>
                <w:sz w:val="22"/>
                <w:szCs w:val="22"/>
              </w:rPr>
            </w:pPr>
            <w:r>
              <w:rPr>
                <w:rFonts w:cs="Arial" w:ascii="Arial" w:hAnsi="Arial"/>
                <w:b/>
                <w:sz w:val="22"/>
                <w:szCs w:val="22"/>
              </w:rPr>
            </w:r>
          </w:p>
          <w:p>
            <w:pPr>
              <w:pStyle w:val="EndnoteText"/>
              <w:jc w:val="both"/>
              <w:rPr>
                <w:rFonts w:ascii="Arial" w:hAnsi="Arial" w:cs="Arial"/>
                <w:sz w:val="22"/>
                <w:szCs w:val="22"/>
              </w:rPr>
            </w:pPr>
            <w:r>
              <w:rPr>
                <w:rFonts w:cs="Arial" w:ascii="Arial" w:hAnsi="Arial"/>
                <w:sz w:val="22"/>
                <w:szCs w:val="22"/>
              </w:rPr>
              <w:t xml:space="preserve">To establish and maintain effective links within the Council, partners and other relevant agencies ensuring customers and partners have access to advice and support related to their rehousing application.  </w:t>
            </w:r>
          </w:p>
          <w:p>
            <w:pPr>
              <w:pStyle w:val="EndnoteText"/>
              <w:jc w:val="both"/>
              <w:rPr>
                <w:rFonts w:ascii="Arial" w:hAnsi="Arial" w:cs="Arial"/>
                <w:sz w:val="22"/>
                <w:szCs w:val="22"/>
              </w:rPr>
            </w:pPr>
            <w:r>
              <w:rPr>
                <w:rFonts w:cs="Arial" w:ascii="Arial" w:hAnsi="Arial"/>
                <w:sz w:val="22"/>
                <w:szCs w:val="22"/>
              </w:rPr>
            </w:r>
          </w:p>
          <w:p>
            <w:pPr>
              <w:pStyle w:val="EndnoteText"/>
              <w:jc w:val="both"/>
              <w:rPr>
                <w:rFonts w:ascii="Arial" w:hAnsi="Arial" w:cs="Arial"/>
                <w:sz w:val="22"/>
                <w:szCs w:val="22"/>
              </w:rPr>
            </w:pPr>
            <w:r>
              <w:rPr>
                <w:rFonts w:cs="Arial" w:ascii="Arial" w:hAnsi="Arial"/>
                <w:sz w:val="22"/>
                <w:szCs w:val="22"/>
              </w:rPr>
              <w:t>To carry out the periodic review of priority cases to ascertain whether they should retain their priority status and action accordingly.</w:t>
            </w:r>
          </w:p>
          <w:p>
            <w:pPr>
              <w:pStyle w:val="EndnoteText"/>
              <w:jc w:val="both"/>
              <w:rPr>
                <w:rFonts w:ascii="Arial" w:hAnsi="Arial" w:cs="Arial"/>
                <w:sz w:val="22"/>
                <w:szCs w:val="22"/>
              </w:rPr>
            </w:pPr>
            <w:r>
              <w:rPr>
                <w:rFonts w:cs="Arial" w:ascii="Arial" w:hAnsi="Arial"/>
                <w:sz w:val="22"/>
                <w:szCs w:val="22"/>
              </w:rPr>
            </w:r>
          </w:p>
          <w:p>
            <w:pPr>
              <w:pStyle w:val="EndnoteText"/>
              <w:jc w:val="both"/>
              <w:rPr>
                <w:rFonts w:ascii="Arial" w:hAnsi="Arial" w:cs="Arial"/>
                <w:sz w:val="22"/>
                <w:szCs w:val="22"/>
              </w:rPr>
            </w:pPr>
            <w:r>
              <w:rPr>
                <w:rFonts w:cs="Arial" w:ascii="Arial" w:hAnsi="Arial"/>
                <w:sz w:val="22"/>
                <w:szCs w:val="22"/>
              </w:rPr>
              <w:t>To work closely with appropriate colleagues to ensure the swift discharge of the Council’s duty to accommodate and prevent homelessness.</w:t>
            </w:r>
          </w:p>
          <w:p>
            <w:pPr>
              <w:pStyle w:val="EndnoteText"/>
              <w:jc w:val="both"/>
              <w:rPr>
                <w:rFonts w:ascii="Arial" w:hAnsi="Arial" w:cs="Arial"/>
                <w:sz w:val="22"/>
                <w:szCs w:val="22"/>
              </w:rPr>
            </w:pPr>
            <w:r>
              <w:rPr>
                <w:rFonts w:cs="Arial" w:ascii="Arial" w:hAnsi="Arial"/>
                <w:sz w:val="22"/>
                <w:szCs w:val="22"/>
              </w:rPr>
            </w:r>
          </w:p>
          <w:p>
            <w:pPr>
              <w:pStyle w:val="EndnoteText"/>
              <w:jc w:val="both"/>
              <w:rPr>
                <w:rFonts w:ascii="Arial" w:hAnsi="Arial" w:cs="Arial"/>
                <w:sz w:val="22"/>
                <w:szCs w:val="22"/>
              </w:rPr>
            </w:pPr>
            <w:r>
              <w:rPr>
                <w:rFonts w:cs="Arial" w:ascii="Arial" w:hAnsi="Arial"/>
                <w:sz w:val="22"/>
                <w:szCs w:val="22"/>
              </w:rPr>
              <w:t>To manage a caseload of vulnerable applicants from the point of registration through to securing suitable accommodation</w:t>
            </w:r>
          </w:p>
          <w:p>
            <w:pPr>
              <w:pStyle w:val="EndnoteText"/>
              <w:jc w:val="both"/>
              <w:rPr>
                <w:rFonts w:ascii="Arial" w:hAnsi="Arial" w:cs="Arial"/>
                <w:sz w:val="22"/>
                <w:szCs w:val="22"/>
              </w:rPr>
            </w:pPr>
            <w:r>
              <w:rPr>
                <w:rFonts w:cs="Arial" w:ascii="Arial" w:hAnsi="Arial"/>
                <w:sz w:val="22"/>
                <w:szCs w:val="22"/>
              </w:rPr>
            </w:r>
          </w:p>
          <w:p>
            <w:pPr>
              <w:pStyle w:val="EndnoteText"/>
              <w:jc w:val="both"/>
              <w:rPr>
                <w:rFonts w:ascii="Arial" w:hAnsi="Arial" w:cs="Arial"/>
                <w:sz w:val="22"/>
                <w:szCs w:val="22"/>
              </w:rPr>
            </w:pPr>
            <w:r>
              <w:rPr>
                <w:rFonts w:cs="Arial" w:ascii="Arial" w:hAnsi="Arial"/>
                <w:sz w:val="22"/>
                <w:szCs w:val="22"/>
              </w:rPr>
              <w:t>To carry out home visits to vulnerable customers and as part of the housing register application process.</w:t>
            </w:r>
          </w:p>
          <w:p>
            <w:pPr>
              <w:pStyle w:val="EndnoteText"/>
              <w:jc w:val="both"/>
              <w:rPr>
                <w:rFonts w:ascii="Arial" w:hAnsi="Arial" w:cs="Arial"/>
                <w:sz w:val="22"/>
                <w:szCs w:val="22"/>
              </w:rPr>
            </w:pPr>
            <w:r>
              <w:rPr>
                <w:rFonts w:cs="Arial" w:ascii="Arial" w:hAnsi="Arial"/>
                <w:sz w:val="22"/>
                <w:szCs w:val="22"/>
              </w:rPr>
            </w:r>
          </w:p>
          <w:p>
            <w:pPr>
              <w:pStyle w:val="EndnoteText"/>
              <w:jc w:val="both"/>
              <w:rPr>
                <w:rFonts w:ascii="Arial" w:hAnsi="Arial" w:cs="Arial"/>
                <w:sz w:val="22"/>
                <w:szCs w:val="22"/>
              </w:rPr>
            </w:pPr>
            <w:r>
              <w:rPr>
                <w:rFonts w:cs="Arial" w:ascii="Arial" w:hAnsi="Arial"/>
                <w:sz w:val="22"/>
                <w:szCs w:val="22"/>
              </w:rPr>
              <w:t>To ensure RSL partner’s vacant properties are advertised appropriately and once the advertising cycle is closed, undertake the shortlisting of appropriate applicants for the properties adhering to relevant policies, procedures and legislation for social rented housing</w:t>
            </w:r>
          </w:p>
          <w:p>
            <w:pPr>
              <w:pStyle w:val="EndnoteText"/>
              <w:jc w:val="both"/>
              <w:rPr>
                <w:rFonts w:ascii="Arial" w:hAnsi="Arial" w:cs="Arial"/>
                <w:sz w:val="22"/>
                <w:szCs w:val="22"/>
              </w:rPr>
            </w:pPr>
            <w:r>
              <w:rPr>
                <w:rFonts w:cs="Arial" w:ascii="Arial" w:hAnsi="Arial"/>
                <w:sz w:val="22"/>
                <w:szCs w:val="22"/>
              </w:rPr>
              <w:t>To ensure applicants who refuse suitable offers are reassessed in accordance with the Council’s Allocations Policy.</w:t>
            </w:r>
          </w:p>
          <w:p>
            <w:pPr>
              <w:pStyle w:val="EndnoteText"/>
              <w:jc w:val="both"/>
              <w:rPr>
                <w:rFonts w:ascii="Arial" w:hAnsi="Arial" w:cs="Arial"/>
                <w:sz w:val="22"/>
                <w:szCs w:val="22"/>
              </w:rPr>
            </w:pPr>
            <w:r>
              <w:rPr>
                <w:rFonts w:cs="Arial" w:ascii="Arial" w:hAnsi="Arial"/>
                <w:sz w:val="22"/>
                <w:szCs w:val="22"/>
              </w:rPr>
            </w:r>
          </w:p>
          <w:p>
            <w:pPr>
              <w:pStyle w:val="EndnoteText"/>
              <w:jc w:val="both"/>
              <w:rPr>
                <w:rFonts w:ascii="Arial" w:hAnsi="Arial" w:cs="Arial"/>
                <w:sz w:val="22"/>
                <w:szCs w:val="22"/>
              </w:rPr>
            </w:pPr>
            <w:r>
              <w:rPr>
                <w:rFonts w:cs="Arial" w:ascii="Arial" w:hAnsi="Arial"/>
                <w:sz w:val="22"/>
                <w:szCs w:val="22"/>
              </w:rPr>
              <w:t>Maintain appropriate records and administrative systems, including updating outcomes of lettings data from RSL partners, and provide statistical information and reports as required.</w:t>
            </w:r>
          </w:p>
          <w:p>
            <w:pPr>
              <w:pStyle w:val="EndnoteText"/>
              <w:jc w:val="both"/>
              <w:rPr>
                <w:rFonts w:ascii="Arial" w:hAnsi="Arial" w:cs="Arial"/>
                <w:sz w:val="22"/>
                <w:szCs w:val="22"/>
              </w:rPr>
            </w:pPr>
            <w:r>
              <w:rPr>
                <w:rFonts w:cs="Arial" w:ascii="Arial" w:hAnsi="Arial"/>
                <w:sz w:val="22"/>
                <w:szCs w:val="22"/>
              </w:rPr>
            </w:r>
          </w:p>
          <w:p>
            <w:pPr>
              <w:pStyle w:val="EndnoteText"/>
              <w:jc w:val="both"/>
              <w:rPr>
                <w:rFonts w:ascii="Arial" w:hAnsi="Arial" w:cs="Arial"/>
                <w:sz w:val="22"/>
                <w:szCs w:val="22"/>
              </w:rPr>
            </w:pPr>
            <w:r>
              <w:rPr>
                <w:rFonts w:cs="Arial" w:ascii="Arial" w:hAnsi="Arial"/>
                <w:sz w:val="22"/>
                <w:szCs w:val="22"/>
              </w:rPr>
              <w:t xml:space="preserve">Engage with and update the Council’s Housing Register, the Disabled Persons Register and the database of all tenants needing to downsize. </w:t>
            </w:r>
          </w:p>
          <w:p>
            <w:pPr>
              <w:pStyle w:val="EndnoteText"/>
              <w:jc w:val="both"/>
              <w:rPr>
                <w:rFonts w:ascii="Arial" w:hAnsi="Arial" w:cs="Arial"/>
                <w:sz w:val="22"/>
                <w:szCs w:val="22"/>
              </w:rPr>
            </w:pPr>
            <w:r>
              <w:rPr>
                <w:rFonts w:cs="Arial" w:ascii="Arial" w:hAnsi="Arial"/>
                <w:sz w:val="22"/>
                <w:szCs w:val="22"/>
              </w:rPr>
            </w:r>
          </w:p>
          <w:p>
            <w:pPr>
              <w:pStyle w:val="EndnoteText"/>
              <w:jc w:val="both"/>
              <w:rPr>
                <w:rFonts w:ascii="Arial" w:hAnsi="Arial" w:cs="Arial"/>
                <w:sz w:val="22"/>
                <w:szCs w:val="22"/>
              </w:rPr>
            </w:pPr>
            <w:r>
              <w:rPr>
                <w:rFonts w:cs="Arial" w:ascii="Arial" w:hAnsi="Arial"/>
                <w:sz w:val="22"/>
                <w:szCs w:val="22"/>
              </w:rPr>
              <w:t>Produce information in different formats, including letters, reports, charts, maps and tables, and undertake mail-merges, using branded templates where applicable.</w:t>
            </w:r>
          </w:p>
          <w:p>
            <w:pPr>
              <w:pStyle w:val="EndnoteText"/>
              <w:jc w:val="both"/>
              <w:rPr>
                <w:rFonts w:ascii="Arial" w:hAnsi="Arial" w:cs="Arial"/>
                <w:sz w:val="22"/>
                <w:szCs w:val="22"/>
              </w:rPr>
            </w:pPr>
            <w:r>
              <w:rPr>
                <w:rFonts w:cs="Arial" w:ascii="Arial" w:hAnsi="Arial"/>
                <w:sz w:val="22"/>
                <w:szCs w:val="22"/>
              </w:rPr>
            </w:r>
          </w:p>
          <w:p>
            <w:pPr>
              <w:pStyle w:val="EndnoteText"/>
              <w:jc w:val="both"/>
              <w:rPr>
                <w:rFonts w:ascii="Arial" w:hAnsi="Arial" w:cs="Arial"/>
                <w:sz w:val="22"/>
                <w:szCs w:val="22"/>
              </w:rPr>
            </w:pPr>
            <w:r>
              <w:rPr>
                <w:rFonts w:cs="Arial" w:ascii="Arial" w:hAnsi="Arial"/>
                <w:sz w:val="22"/>
                <w:szCs w:val="22"/>
              </w:rPr>
              <w:t>Enter data into systems, including checks for completeness and correctness of information before inputting.</w:t>
            </w:r>
          </w:p>
          <w:p>
            <w:pPr>
              <w:pStyle w:val="EndnoteText"/>
              <w:jc w:val="both"/>
              <w:rPr>
                <w:rFonts w:ascii="Arial" w:hAnsi="Arial" w:cs="Arial"/>
                <w:sz w:val="22"/>
                <w:szCs w:val="22"/>
              </w:rPr>
            </w:pPr>
            <w:r>
              <w:rPr>
                <w:rFonts w:cs="Arial" w:ascii="Arial" w:hAnsi="Arial"/>
                <w:sz w:val="22"/>
                <w:szCs w:val="22"/>
              </w:rPr>
            </w:r>
          </w:p>
          <w:p>
            <w:pPr>
              <w:pStyle w:val="EndnoteText"/>
              <w:jc w:val="both"/>
              <w:rPr>
                <w:rFonts w:ascii="Arial" w:hAnsi="Arial" w:cs="Arial"/>
                <w:sz w:val="22"/>
                <w:szCs w:val="22"/>
              </w:rPr>
            </w:pPr>
            <w:r>
              <w:rPr>
                <w:rFonts w:cs="Arial" w:ascii="Arial" w:hAnsi="Arial"/>
                <w:sz w:val="22"/>
                <w:szCs w:val="22"/>
              </w:rPr>
              <w:t>Design straightforward spreadsheets including the inputting of basic formulae.</w:t>
            </w:r>
          </w:p>
          <w:p>
            <w:pPr>
              <w:pStyle w:val="EndnoteText"/>
              <w:jc w:val="both"/>
              <w:rPr>
                <w:rFonts w:ascii="Arial" w:hAnsi="Arial" w:cs="Arial"/>
                <w:sz w:val="22"/>
                <w:szCs w:val="22"/>
              </w:rPr>
            </w:pPr>
            <w:r>
              <w:rPr>
                <w:rFonts w:cs="Arial" w:ascii="Arial" w:hAnsi="Arial"/>
                <w:sz w:val="22"/>
                <w:szCs w:val="22"/>
              </w:rPr>
            </w:r>
          </w:p>
          <w:p>
            <w:pPr>
              <w:pStyle w:val="EndnoteText"/>
              <w:jc w:val="both"/>
              <w:rPr>
                <w:rFonts w:ascii="Arial" w:hAnsi="Arial" w:cs="Arial"/>
                <w:sz w:val="22"/>
                <w:szCs w:val="22"/>
              </w:rPr>
            </w:pPr>
            <w:r>
              <w:rPr>
                <w:rFonts w:cs="Arial" w:ascii="Arial" w:hAnsi="Arial"/>
                <w:sz w:val="22"/>
                <w:szCs w:val="22"/>
              </w:rPr>
              <w:t>Manipulate data within systems and run reports (including exception reports), analyse and correct errors as appropriate.</w:t>
            </w:r>
          </w:p>
          <w:p>
            <w:pPr>
              <w:pStyle w:val="EndnoteText"/>
              <w:jc w:val="both"/>
              <w:rPr>
                <w:rFonts w:ascii="Arial" w:hAnsi="Arial" w:cs="Arial"/>
                <w:sz w:val="22"/>
                <w:szCs w:val="22"/>
              </w:rPr>
            </w:pPr>
            <w:r>
              <w:rPr>
                <w:rFonts w:cs="Arial" w:ascii="Arial" w:hAnsi="Arial"/>
                <w:sz w:val="22"/>
                <w:szCs w:val="22"/>
              </w:rPr>
            </w:r>
          </w:p>
          <w:p>
            <w:pPr>
              <w:pStyle w:val="EndnoteText"/>
              <w:jc w:val="both"/>
              <w:rPr>
                <w:rFonts w:ascii="Arial" w:hAnsi="Arial" w:cs="Arial"/>
                <w:sz w:val="22"/>
                <w:szCs w:val="22"/>
              </w:rPr>
            </w:pPr>
            <w:r>
              <w:rPr>
                <w:rFonts w:cs="Arial" w:ascii="Arial" w:hAnsi="Arial"/>
                <w:sz w:val="22"/>
                <w:szCs w:val="22"/>
              </w:rPr>
              <w:t>Maintain effective and efficient office and information systems, including compliance with external requirements where necessary.</w:t>
            </w:r>
          </w:p>
          <w:p>
            <w:pPr>
              <w:pStyle w:val="EndnoteText"/>
              <w:jc w:val="both"/>
              <w:rPr>
                <w:rFonts w:ascii="Arial" w:hAnsi="Arial" w:cs="Arial"/>
                <w:sz w:val="22"/>
                <w:szCs w:val="22"/>
              </w:rPr>
            </w:pPr>
            <w:r>
              <w:rPr>
                <w:rFonts w:cs="Arial" w:ascii="Arial" w:hAnsi="Arial"/>
                <w:sz w:val="22"/>
                <w:szCs w:val="22"/>
              </w:rPr>
            </w:r>
          </w:p>
          <w:p>
            <w:pPr>
              <w:pStyle w:val="EndnoteText"/>
              <w:jc w:val="both"/>
              <w:rPr>
                <w:rFonts w:ascii="Arial" w:hAnsi="Arial" w:cs="Arial"/>
                <w:sz w:val="22"/>
                <w:szCs w:val="22"/>
              </w:rPr>
            </w:pPr>
            <w:r>
              <w:rPr>
                <w:rFonts w:cs="Arial" w:ascii="Arial" w:hAnsi="Arial"/>
                <w:sz w:val="22"/>
                <w:szCs w:val="22"/>
              </w:rPr>
              <w:t>Undertake filing, both paper and computerised, and co-ordinate the archiving of documents and information according to the Council’s Data Retention Policy.</w:t>
            </w:r>
          </w:p>
          <w:p>
            <w:pPr>
              <w:pStyle w:val="EndnoteText"/>
              <w:jc w:val="both"/>
              <w:rPr>
                <w:rFonts w:ascii="Arial" w:hAnsi="Arial" w:cs="Arial"/>
                <w:sz w:val="22"/>
                <w:szCs w:val="22"/>
              </w:rPr>
            </w:pPr>
            <w:r>
              <w:rPr>
                <w:rFonts w:cs="Arial" w:ascii="Arial" w:hAnsi="Arial"/>
                <w:sz w:val="22"/>
                <w:szCs w:val="22"/>
              </w:rPr>
            </w:r>
          </w:p>
          <w:p>
            <w:pPr>
              <w:pStyle w:val="EndnoteText"/>
              <w:jc w:val="both"/>
              <w:rPr>
                <w:rFonts w:ascii="Arial" w:hAnsi="Arial" w:cs="Arial"/>
                <w:b/>
                <w:sz w:val="22"/>
                <w:szCs w:val="22"/>
              </w:rPr>
            </w:pPr>
            <w:r>
              <w:rPr>
                <w:rFonts w:cs="Arial" w:ascii="Arial" w:hAnsi="Arial"/>
                <w:b/>
                <w:sz w:val="22"/>
                <w:szCs w:val="22"/>
              </w:rPr>
              <w:t>General Tasks:</w:t>
            </w:r>
          </w:p>
          <w:p>
            <w:pPr>
              <w:pStyle w:val="EndnoteText"/>
              <w:jc w:val="both"/>
              <w:rPr>
                <w:rFonts w:ascii="Arial" w:hAnsi="Arial" w:cs="Arial"/>
                <w:sz w:val="22"/>
                <w:szCs w:val="22"/>
              </w:rPr>
            </w:pPr>
            <w:r>
              <w:rPr>
                <w:rFonts w:cs="Arial" w:ascii="Arial" w:hAnsi="Arial"/>
                <w:sz w:val="22"/>
                <w:szCs w:val="22"/>
              </w:rPr>
            </w:r>
          </w:p>
          <w:p>
            <w:pPr>
              <w:pStyle w:val="EndnoteText"/>
              <w:jc w:val="both"/>
              <w:rPr>
                <w:rFonts w:ascii="Arial" w:hAnsi="Arial" w:cs="Arial"/>
                <w:sz w:val="22"/>
                <w:szCs w:val="22"/>
              </w:rPr>
            </w:pPr>
            <w:r>
              <w:rPr>
                <w:rFonts w:cs="Arial" w:ascii="Arial" w:hAnsi="Arial"/>
                <w:sz w:val="22"/>
                <w:szCs w:val="22"/>
              </w:rPr>
              <w:t>To provide a service that is customer centred, delivering the very highest standards of customer care</w:t>
            </w:r>
          </w:p>
          <w:p>
            <w:pPr>
              <w:pStyle w:val="EndnoteText"/>
              <w:jc w:val="both"/>
              <w:rPr>
                <w:rFonts w:ascii="Arial" w:hAnsi="Arial" w:cs="Arial"/>
                <w:sz w:val="22"/>
                <w:szCs w:val="22"/>
              </w:rPr>
            </w:pPr>
            <w:r>
              <w:rPr>
                <w:rFonts w:cs="Arial" w:ascii="Arial" w:hAnsi="Arial"/>
                <w:sz w:val="22"/>
                <w:szCs w:val="22"/>
              </w:rPr>
            </w:r>
          </w:p>
          <w:p>
            <w:pPr>
              <w:pStyle w:val="EndnoteText"/>
              <w:jc w:val="both"/>
              <w:rPr>
                <w:rFonts w:ascii="Arial" w:hAnsi="Arial" w:cs="Arial"/>
                <w:sz w:val="22"/>
                <w:szCs w:val="22"/>
              </w:rPr>
            </w:pPr>
            <w:r>
              <w:rPr>
                <w:rFonts w:cs="Arial" w:ascii="Arial" w:hAnsi="Arial"/>
                <w:sz w:val="22"/>
                <w:szCs w:val="22"/>
              </w:rPr>
              <w:t>Effectively handle a variety of queries, on the telephone and in person, which may require investigation and later responding to enquirers, or require escalation to another team member or section.  This could include receiving and recording complaints.</w:t>
            </w:r>
          </w:p>
          <w:p>
            <w:pPr>
              <w:pStyle w:val="EndnoteText"/>
              <w:jc w:val="both"/>
              <w:rPr>
                <w:rFonts w:ascii="Arial" w:hAnsi="Arial" w:cs="Arial"/>
                <w:sz w:val="22"/>
                <w:szCs w:val="22"/>
              </w:rPr>
            </w:pPr>
            <w:r>
              <w:rPr>
                <w:rFonts w:cs="Arial" w:ascii="Arial" w:hAnsi="Arial"/>
                <w:sz w:val="22"/>
                <w:szCs w:val="22"/>
              </w:rPr>
            </w:r>
          </w:p>
          <w:p>
            <w:pPr>
              <w:pStyle w:val="EndnoteText"/>
              <w:jc w:val="both"/>
              <w:rPr>
                <w:rFonts w:ascii="Arial" w:hAnsi="Arial" w:cs="Arial"/>
                <w:sz w:val="22"/>
                <w:szCs w:val="22"/>
              </w:rPr>
            </w:pPr>
            <w:r>
              <w:rPr>
                <w:rFonts w:cs="Arial" w:ascii="Arial" w:hAnsi="Arial"/>
                <w:sz w:val="22"/>
                <w:szCs w:val="22"/>
              </w:rPr>
              <w:t>Undertake reception duties, including welcoming and escorting visitors</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17" w:type="dxa"/>
            <w:tcBorders>
              <w:top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2.</w:t>
            </w:r>
          </w:p>
        </w:tc>
        <w:tc>
          <w:tcPr>
            <w:tcW w:w="9917" w:type="dxa"/>
            <w:tcBorders>
              <w:right w:val="single" w:sz="4" w:space="0" w:color="000000"/>
            </w:tcBorders>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3.</w:t>
            </w:r>
          </w:p>
        </w:tc>
        <w:tc>
          <w:tcPr>
            <w:tcW w:w="9917" w:type="dxa"/>
            <w:tcBorders>
              <w:right w:val="single" w:sz="4" w:space="0" w:color="000000"/>
            </w:tcBorders>
          </w:tcPr>
          <w:p>
            <w:pPr>
              <w:pStyle w:val="Normal"/>
              <w:jc w:val="both"/>
              <w:rPr>
                <w:rFonts w:cs="Arial"/>
                <w:sz w:val="22"/>
                <w:szCs w:val="22"/>
              </w:rPr>
            </w:pPr>
            <w:r>
              <w:rPr>
                <w:rFonts w:cs="Arial"/>
                <w:sz w:val="22"/>
                <w:szCs w:val="22"/>
              </w:rPr>
              <w:t>To 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4.</w:t>
            </w:r>
          </w:p>
        </w:tc>
        <w:tc>
          <w:tcPr>
            <w:tcW w:w="9917" w:type="dxa"/>
            <w:tcBorders>
              <w:right w:val="single" w:sz="4" w:space="0" w:color="000000"/>
            </w:tcBorders>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tcPr>
          <w:p>
            <w:pPr>
              <w:pStyle w:val="Normal"/>
              <w:jc w:val="both"/>
              <w:rPr>
                <w:rFonts w:cs="Arial"/>
                <w:sz w:val="22"/>
                <w:szCs w:val="22"/>
              </w:rPr>
            </w:pPr>
            <w:r>
              <w:rPr>
                <w:rFonts w:cs="Arial"/>
                <w:sz w:val="22"/>
                <w:szCs w:val="22"/>
              </w:rPr>
              <w:t>5.</w:t>
            </w:r>
          </w:p>
        </w:tc>
        <w:tc>
          <w:tcPr>
            <w:tcW w:w="9917" w:type="dxa"/>
            <w:tcBorders>
              <w:bottom w:val="single" w:sz="4" w:space="0" w:color="000000"/>
              <w:right w:val="single" w:sz="4" w:space="0" w:color="000000"/>
            </w:tcBorders>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keepNext w:val="true"/>
              <w:jc w:val="both"/>
              <w:rPr>
                <w:rFonts w:cs="Arial"/>
                <w:b/>
                <w:sz w:val="22"/>
                <w:szCs w:val="22"/>
              </w:rPr>
            </w:pPr>
            <w:r>
              <w:rPr>
                <w:rFonts w:cs="Arial"/>
                <w:b/>
                <w:sz w:val="22"/>
                <w:szCs w:val="22"/>
              </w:rPr>
              <w:t>Contacts:</w:t>
            </w:r>
          </w:p>
          <w:p>
            <w:pPr>
              <w:pStyle w:val="Normal"/>
              <w:keepNext w:val="true"/>
              <w:jc w:val="both"/>
              <w:rPr>
                <w:rFonts w:cs="Arial"/>
                <w:b/>
                <w:sz w:val="22"/>
                <w:szCs w:val="22"/>
              </w:rPr>
            </w:pPr>
            <w:r>
              <w:rPr>
                <w:rFonts w:cs="Arial"/>
                <w:b/>
                <w:sz w:val="22"/>
                <w:szCs w:val="22"/>
              </w:rPr>
            </w:r>
          </w:p>
          <w:p>
            <w:pPr>
              <w:pStyle w:val="Normal"/>
              <w:jc w:val="both"/>
              <w:rPr>
                <w:rFonts w:cs="Arial"/>
                <w:sz w:val="22"/>
                <w:szCs w:val="22"/>
              </w:rPr>
            </w:pPr>
            <w:r>
              <w:rPr>
                <w:rFonts w:cs="Arial"/>
                <w:sz w:val="22"/>
                <w:szCs w:val="22"/>
              </w:rPr>
              <w:t>Colleagues with own team, and the rest of the Council, internal and external customers including the public, partner organisations.</w:t>
            </w:r>
          </w:p>
          <w:p>
            <w:pPr>
              <w:pStyle w:val="Normal"/>
              <w:keepNext w:val="true"/>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2106"/>
        <w:gridCol w:w="8333"/>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r>
        <w:trPr>
          <w:trHeight w:val="518" w:hRule="atLeast"/>
        </w:trPr>
        <w:tc>
          <w:tcPr>
            <w:tcW w:w="2106" w:type="dxa"/>
            <w:tcBorders>
              <w:top w:val="single" w:sz="4" w:space="0" w:color="000000"/>
              <w:left w:val="single" w:sz="4" w:space="0" w:color="000000"/>
            </w:tcBorders>
          </w:tcPr>
          <w:p>
            <w:pPr>
              <w:pStyle w:val="Normal"/>
              <w:rPr>
                <w:rFonts w:cs="Arial"/>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33" w:type="dxa"/>
            <w:tcBorders>
              <w:top w:val="single" w:sz="4" w:space="0" w:color="000000"/>
              <w:right w:val="single" w:sz="4" w:space="0" w:color="000000"/>
            </w:tcBorders>
          </w:tcPr>
          <w:p>
            <w:pPr>
              <w:pStyle w:val="BodyText"/>
              <w:rPr>
                <w:rFonts w:cs="Arial"/>
                <w:b w:val="false"/>
                <w:szCs w:val="22"/>
              </w:rPr>
            </w:pPr>
            <w:r>
              <w:rPr>
                <w:rFonts w:cs="Arial"/>
                <w:b w:val="false"/>
                <w:szCs w:val="22"/>
              </w:rPr>
              <w:t>Senior Housing Needs Officer (Allocations)</w:t>
            </w:r>
          </w:p>
        </w:tc>
      </w:tr>
      <w:tr>
        <w:trPr>
          <w:trHeight w:val="517" w:hRule="atLeast"/>
        </w:trPr>
        <w:tc>
          <w:tcPr>
            <w:tcW w:w="2106" w:type="dxa"/>
            <w:tcBorders>
              <w:left w:val="single" w:sz="4" w:space="0" w:color="000000"/>
              <w:bottom w:val="single" w:sz="4" w:space="0" w:color="000000"/>
            </w:tcBorders>
          </w:tcPr>
          <w:p>
            <w:pPr>
              <w:pStyle w:val="Normal"/>
              <w:rPr>
                <w:rFonts w:cs="Arial"/>
                <w:b/>
                <w:sz w:val="22"/>
                <w:szCs w:val="22"/>
              </w:rPr>
            </w:pPr>
            <w:r>
              <w:rPr>
                <w:rFonts w:cs="Arial"/>
                <w:b/>
                <w:sz w:val="22"/>
                <w:szCs w:val="22"/>
              </w:rPr>
              <w:t>Responsible for:</w:t>
            </w:r>
          </w:p>
        </w:tc>
        <w:tc>
          <w:tcPr>
            <w:tcW w:w="8333" w:type="dxa"/>
            <w:tcBorders>
              <w:bottom w:val="single" w:sz="4" w:space="0" w:color="000000"/>
              <w:right w:val="single" w:sz="4" w:space="0" w:color="000000"/>
            </w:tcBorders>
          </w:tcPr>
          <w:p>
            <w:pPr>
              <w:pStyle w:val="Normal"/>
              <w:rPr>
                <w:rFonts w:cs="Arial"/>
                <w:sz w:val="22"/>
                <w:szCs w:val="22"/>
              </w:rPr>
            </w:pPr>
            <w:r>
              <w:rPr>
                <w:rFonts w:cs="Arial"/>
                <w:sz w:val="22"/>
                <w:szCs w:val="22"/>
              </w:rPr>
              <w:t>N/A</w:t>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rFonts w:cs="Arial"/>
                <w:b/>
                <w:sz w:val="22"/>
                <w:szCs w:val="22"/>
              </w:rPr>
              <w:t xml:space="preserve">Special Conditions:  </w:t>
            </w:r>
            <w:r>
              <w:rPr>
                <w:rFonts w:cs="Arial"/>
                <w:bCs/>
                <w:sz w:val="22"/>
                <w:szCs w:val="22"/>
              </w:rPr>
              <w:t>N/A</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Values and Behaviours:</w:t>
            </w:r>
          </w:p>
          <w:p>
            <w:pPr>
              <w:pStyle w:val="Normal"/>
              <w:rPr>
                <w:rFonts w:cs="Arial"/>
                <w:b/>
                <w:sz w:val="22"/>
                <w:szCs w:val="22"/>
              </w:rPr>
            </w:pPr>
            <w:r>
              <w:rPr>
                <w:rFonts w:cs="Arial"/>
                <w:b/>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pacing w:before="0" w:after="280"/>
              <w:jc w:val="both"/>
              <w:rPr>
                <w:rFonts w:cs="Arial"/>
                <w:sz w:val="22"/>
                <w:szCs w:val="22"/>
                <w:lang w:val="en" w:eastAsia="en-GB"/>
              </w:rPr>
            </w:pPr>
            <w:r>
              <w:rPr>
                <w:rFonts w:cs="Arial"/>
                <w:sz w:val="22"/>
                <w:szCs w:val="22"/>
                <w:lang w:val="en" w:eastAsia="en-GB"/>
              </w:rPr>
              <w:t>We have a clear set of values that outline how we do business. We share these Borough-wide with our residents, partners and businesses:</w:t>
            </w:r>
          </w:p>
          <w:p>
            <w:pPr>
              <w:pStyle w:val="Normal"/>
              <w:numPr>
                <w:ilvl w:val="0"/>
                <w:numId w:val="3"/>
              </w:numPr>
              <w:spacing w:before="280" w:after="0"/>
              <w:jc w:val="both"/>
              <w:rPr/>
            </w:pPr>
            <w:r>
              <w:rPr>
                <w:rFonts w:cs="Arial"/>
                <w:b/>
                <w:bCs/>
                <w:sz w:val="22"/>
                <w:szCs w:val="22"/>
                <w:lang w:val="en" w:eastAsia="en-GB"/>
              </w:rPr>
              <w:t>Fairness - </w:t>
            </w:r>
            <w:r>
              <w:rPr>
                <w:rFonts w:cs="Arial"/>
                <w:sz w:val="22"/>
                <w:szCs w:val="22"/>
                <w:lang w:val="en" w:eastAsia="en-GB"/>
              </w:rPr>
              <w:t>We will champion fairness and equality of opportunity and ensure working together brings mutual benefits and the greatest possible added value. We will enable everyone to be involved.</w:t>
            </w:r>
          </w:p>
          <w:p>
            <w:pPr>
              <w:pStyle w:val="Normal"/>
              <w:numPr>
                <w:ilvl w:val="0"/>
                <w:numId w:val="3"/>
              </w:numPr>
              <w:spacing w:before="0" w:after="0"/>
              <w:jc w:val="both"/>
              <w:rPr/>
            </w:pPr>
            <w:r>
              <w:rPr>
                <w:rFonts w:cs="Arial"/>
                <w:b/>
                <w:bCs/>
                <w:sz w:val="22"/>
                <w:szCs w:val="22"/>
                <w:lang w:val="en" w:eastAsia="en-GB"/>
              </w:rPr>
              <w:t>Openness - </w:t>
            </w:r>
            <w:r>
              <w:rPr>
                <w:rFonts w:cs="Arial"/>
                <w:sz w:val="22"/>
                <w:szCs w:val="22"/>
                <w:lang w:val="en" w:eastAsia="en-GB"/>
              </w:rPr>
              <w:t>We will be open and honest in our actions and communications. We will take decisions in a transparent way and at the most local level possible.</w:t>
            </w:r>
          </w:p>
          <w:p>
            <w:pPr>
              <w:pStyle w:val="Normal"/>
              <w:numPr>
                <w:ilvl w:val="0"/>
                <w:numId w:val="3"/>
              </w:numPr>
              <w:spacing w:before="0" w:after="0"/>
              <w:jc w:val="both"/>
              <w:rPr/>
            </w:pPr>
            <w:r>
              <w:rPr>
                <w:rFonts w:cs="Arial"/>
                <w:b/>
                <w:bCs/>
                <w:sz w:val="22"/>
                <w:szCs w:val="22"/>
                <w:lang w:val="en" w:eastAsia="en-GB"/>
              </w:rPr>
              <w:t>Responsibility - </w:t>
            </w:r>
            <w:r>
              <w:rPr>
                <w:rFonts w:cs="Arial"/>
                <w:sz w:val="22"/>
                <w:szCs w:val="22"/>
                <w:lang w:val="en" w:eastAsia="en-GB"/>
              </w:rPr>
              <w:t>We take responsibility for, and answer to our actions. We will encourage people to take responsibility for themselves and their actions. Mutual benefits go hand-in-hand with mutual obligations.</w:t>
            </w:r>
          </w:p>
          <w:p>
            <w:pPr>
              <w:pStyle w:val="Normal"/>
              <w:numPr>
                <w:ilvl w:val="0"/>
                <w:numId w:val="3"/>
              </w:numPr>
              <w:spacing w:before="0" w:after="0"/>
              <w:jc w:val="both"/>
              <w:rPr/>
            </w:pPr>
            <w:r>
              <w:rPr>
                <w:rFonts w:cs="Arial"/>
                <w:b/>
                <w:bCs/>
                <w:sz w:val="22"/>
                <w:szCs w:val="22"/>
                <w:lang w:val="en" w:eastAsia="en-GB"/>
              </w:rPr>
              <w:t>Working together - </w:t>
            </w:r>
            <w:r>
              <w:rPr>
                <w:rFonts w:cs="Arial"/>
                <w:sz w:val="22"/>
                <w:szCs w:val="22"/>
                <w:lang w:val="en" w:eastAsia="en-GB"/>
              </w:rPr>
              <w:t>We will work together and support each other in achieving common goals, making sure the environment is in place for self-help.</w:t>
            </w:r>
          </w:p>
          <w:p>
            <w:pPr>
              <w:pStyle w:val="Normal"/>
              <w:numPr>
                <w:ilvl w:val="0"/>
                <w:numId w:val="3"/>
              </w:numPr>
              <w:spacing w:before="0" w:after="0"/>
              <w:jc w:val="both"/>
              <w:rPr/>
            </w:pPr>
            <w:r>
              <w:rPr>
                <w:rFonts w:cs="Arial"/>
                <w:b/>
                <w:bCs/>
                <w:sz w:val="22"/>
                <w:szCs w:val="22"/>
                <w:lang w:val="en" w:eastAsia="en-GB"/>
              </w:rPr>
              <w:t>Accountability - </w:t>
            </w:r>
            <w:r>
              <w:rPr>
                <w:rFonts w:cs="Arial"/>
                <w:sz w:val="22"/>
                <w:szCs w:val="22"/>
                <w:lang w:val="en" w:eastAsia="en-GB"/>
              </w:rPr>
              <w:t>We recognise and act upon the impact of our actions on others and hold ourselves accountable to our stakeholders.</w:t>
            </w:r>
          </w:p>
          <w:p>
            <w:pPr>
              <w:pStyle w:val="Normal"/>
              <w:numPr>
                <w:ilvl w:val="0"/>
                <w:numId w:val="3"/>
              </w:numPr>
              <w:spacing w:before="0" w:after="0"/>
              <w:jc w:val="both"/>
              <w:rPr/>
            </w:pPr>
            <w:r>
              <w:rPr>
                <w:rFonts w:cs="Arial"/>
                <w:b/>
                <w:bCs/>
                <w:sz w:val="22"/>
                <w:szCs w:val="22"/>
                <w:lang w:val="en" w:eastAsia="en-GB"/>
              </w:rPr>
              <w:t>Respect - </w:t>
            </w:r>
            <w:r>
              <w:rPr>
                <w:rFonts w:cs="Arial"/>
                <w:sz w:val="22"/>
                <w:szCs w:val="22"/>
                <w:lang w:val="en" w:eastAsia="en-GB"/>
              </w:rPr>
              <w:t>We recognise and welcome different views and treat each other with dignity and respect.</w:t>
            </w:r>
          </w:p>
          <w:p>
            <w:pPr>
              <w:pStyle w:val="Normal"/>
              <w:numPr>
                <w:ilvl w:val="0"/>
                <w:numId w:val="3"/>
              </w:numPr>
              <w:spacing w:before="0" w:after="280"/>
              <w:jc w:val="both"/>
              <w:rPr/>
            </w:pPr>
            <w:r>
              <w:rPr>
                <w:rFonts w:cs="Arial"/>
                <w:b/>
                <w:bCs/>
                <w:sz w:val="22"/>
                <w:szCs w:val="22"/>
                <w:lang w:val="en" w:eastAsia="en-GB"/>
              </w:rPr>
              <w:t>Democracy - </w:t>
            </w:r>
            <w:r>
              <w:rPr>
                <w:rFonts w:cs="Arial"/>
                <w:sz w:val="22"/>
                <w:szCs w:val="22"/>
                <w:lang w:val="en" w:eastAsia="en-GB"/>
              </w:rPr>
              <w:t>We believe and act within the principles of democracy and promote these across the borough. </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Internally we’ve translated these values into five Co-operative behaviours which outline the priority areas of focus for staff at all levels.</w:t>
            </w:r>
          </w:p>
          <w:p>
            <w:pPr>
              <w:pStyle w:val="Normal"/>
              <w:rPr>
                <w:rFonts w:cs="Arial"/>
                <w:sz w:val="22"/>
                <w:szCs w:val="22"/>
              </w:rPr>
            </w:pPr>
            <w:r>
              <w:rPr>
                <w:rFonts w:cs="Arial"/>
                <w:sz w:val="22"/>
                <w:szCs w:val="22"/>
              </w:rPr>
            </w:r>
          </w:p>
          <w:p>
            <w:pPr>
              <w:pStyle w:val="Normal"/>
              <w:numPr>
                <w:ilvl w:val="0"/>
                <w:numId w:val="2"/>
              </w:numPr>
              <w:rPr/>
            </w:pPr>
            <w:r>
              <w:rPr>
                <w:rFonts w:cs="Arial"/>
                <w:sz w:val="22"/>
                <w:szCs w:val="22"/>
              </w:rPr>
              <w:t>Work with a Resident Focus</w:t>
            </w:r>
          </w:p>
          <w:p>
            <w:pPr>
              <w:pStyle w:val="Normal"/>
              <w:numPr>
                <w:ilvl w:val="0"/>
                <w:numId w:val="2"/>
              </w:numPr>
              <w:rPr/>
            </w:pPr>
            <w:r>
              <w:rPr>
                <w:rFonts w:cs="Arial"/>
                <w:sz w:val="22"/>
                <w:szCs w:val="22"/>
              </w:rPr>
              <w:t>Support Local Leaders</w:t>
            </w:r>
          </w:p>
          <w:p>
            <w:pPr>
              <w:pStyle w:val="Normal"/>
              <w:numPr>
                <w:ilvl w:val="0"/>
                <w:numId w:val="2"/>
              </w:numPr>
              <w:rPr/>
            </w:pPr>
            <w:r>
              <w:rPr>
                <w:rFonts w:cs="Arial"/>
                <w:sz w:val="22"/>
                <w:szCs w:val="22"/>
              </w:rPr>
              <w:t>Committed to the Borough</w:t>
            </w:r>
          </w:p>
          <w:p>
            <w:pPr>
              <w:pStyle w:val="Normal"/>
              <w:numPr>
                <w:ilvl w:val="0"/>
                <w:numId w:val="2"/>
              </w:numPr>
              <w:rPr/>
            </w:pPr>
            <w:r>
              <w:rPr>
                <w:rFonts w:cs="Arial"/>
                <w:sz w:val="22"/>
                <w:szCs w:val="22"/>
              </w:rPr>
              <w:t>Take Ownership and Drive Change</w:t>
            </w:r>
          </w:p>
          <w:p>
            <w:pPr>
              <w:pStyle w:val="Normal"/>
              <w:numPr>
                <w:ilvl w:val="0"/>
                <w:numId w:val="2"/>
              </w:numPr>
              <w:rPr/>
            </w:pPr>
            <w:r>
              <w:rPr>
                <w:rFonts w:cs="Arial"/>
                <w:sz w:val="22"/>
                <w:szCs w:val="22"/>
              </w:rPr>
              <w:t xml:space="preserve">Deliver High Performance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More information around our Values and Behaviours can be found on our Greater.Jobs pages.</w:t>
            </w:r>
          </w:p>
          <w:p>
            <w:pPr>
              <w:pStyle w:val="Normal"/>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mc:AlternateContent>
          <mc:Choice Requires="wps">
            <w:drawing>
              <wp:anchor behindDoc="0" distT="0" distB="0" distL="114935" distR="114300" simplePos="0" locked="0" layoutInCell="1" allowOverlap="1" relativeHeight="3">
                <wp:simplePos x="0" y="0"/>
                <wp:positionH relativeFrom="column">
                  <wp:posOffset>5143500</wp:posOffset>
                </wp:positionH>
                <wp:positionV relativeFrom="paragraph">
                  <wp:posOffset>-605790</wp:posOffset>
                </wp:positionV>
                <wp:extent cx="1148715" cy="1187450"/>
                <wp:effectExtent l="635" t="0" r="0" b="0"/>
                <wp:wrapNone/>
                <wp:docPr id="5" name="Text Box 3"/>
                <a:graphic xmlns:a="http://schemas.openxmlformats.org/drawingml/2006/main">
                  <a:graphicData uri="http://schemas.microsoft.com/office/word/2010/wordprocessingShape">
                    <wps:wsp>
                      <wps:cNvSpPr/>
                      <wps:spPr>
                        <a:xfrm>
                          <a:off x="0" y="0"/>
                          <a:ext cx="11487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3" path="m0,0l-2147483645,0l-2147483645,-2147483646l0,-2147483646xe" fillcolor="white" stroked="f" o:allowincell="f" style="position:absolute;margin-left:405pt;margin-top:-47.7pt;width:90.4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3810" simplePos="0" locked="0" layoutInCell="1" allowOverlap="1" relativeHeight="6">
                <wp:simplePos x="0" y="0"/>
                <wp:positionH relativeFrom="column">
                  <wp:posOffset>5143500</wp:posOffset>
                </wp:positionH>
                <wp:positionV relativeFrom="paragraph">
                  <wp:posOffset>-605790</wp:posOffset>
                </wp:positionV>
                <wp:extent cx="1148715" cy="1187450"/>
                <wp:effectExtent l="0" t="0" r="0" b="0"/>
                <wp:wrapNone/>
                <wp:docPr id="6" name="Frame2"/>
                <a:graphic xmlns:a="http://schemas.openxmlformats.org/drawingml/2006/main">
                  <a:graphicData uri="http://schemas.microsoft.com/office/word/2010/wordprocessingShape">
                    <wps:wsp>
                      <wps:cNvSpPr txBox="1"/>
                      <wps:spPr>
                        <a:xfrm>
                          <a:off x="0" y="0"/>
                          <a:ext cx="1148715" cy="1187450"/>
                        </a:xfrm>
                        <a:prstGeom prst="rect"/>
                        <a:solidFill>
                          <a:srgbClr val="FFFFFF"/>
                        </a:solidFill>
                      </wps:spPr>
                      <wps:txbx>
                        <w:txbxContent>
                          <w:p>
                            <w:pPr>
                              <w:pStyle w:val="FrameContents"/>
                              <w:rPr/>
                            </w:pPr>
                            <w:r>
                              <w:rPr/>
                              <w:drawing>
                                <wp:inline distT="0" distB="0" distL="0" distR="0">
                                  <wp:extent cx="965200" cy="1097915"/>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4"/>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45pt;height:93.5pt;mso-wrap-distance-left:0pt;mso-wrap-distance-right:0.3pt;mso-wrap-distance-top:5.7pt;mso-wrap-distance-bottom:5.7pt;margin-top:-47.7pt;mso-position-vertical-relative:text;margin-left:405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5"/>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Normal"/>
        <w:ind w:right="-514"/>
        <w:rPr/>
      </w:pPr>
      <w:r>
        <w:rPr>
          <w:rFonts w:cs="Arial"/>
          <w:b/>
          <w:bCs/>
          <w:sz w:val="22"/>
          <w:szCs w:val="22"/>
        </w:rPr>
        <w:t>Job Title:</w:t>
      </w:r>
      <w:r>
        <w:rPr>
          <w:rFonts w:cs="Arial"/>
          <w:bCs/>
          <w:sz w:val="22"/>
          <w:szCs w:val="22"/>
        </w:rPr>
        <w:t xml:space="preserve">  </w:t>
      </w:r>
      <w:r>
        <w:rPr>
          <w:rFonts w:cs="Arial"/>
          <w:sz w:val="22"/>
          <w:szCs w:val="22"/>
        </w:rPr>
        <w:t>Housing Register and Allocations Officer</w:t>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799"/>
        <w:gridCol w:w="3960"/>
        <w:gridCol w:w="3060"/>
        <w:gridCol w:w="1620"/>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(Desirable)</w:t>
            </w:r>
          </w:p>
          <w:p>
            <w:pPr>
              <w:pStyle w:val="Normal"/>
              <w:jc w:val="center"/>
              <w:rPr>
                <w:rFonts w:cs="Arial"/>
                <w:b/>
                <w:bCs/>
                <w:sz w:val="22"/>
                <w:szCs w:val="22"/>
              </w:rPr>
            </w:pPr>
            <w:r>
              <w:rPr>
                <w:rFonts w:cs="Arial"/>
                <w:b/>
                <w:bCs/>
                <w:sz w:val="22"/>
                <w:szCs w:val="22"/>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Education &amp; Qualifications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rPr>
                <w:rFonts w:cs="Arial"/>
                <w:b/>
                <w:bCs/>
                <w:sz w:val="22"/>
                <w:szCs w:val="22"/>
              </w:rPr>
            </w:pPr>
            <w:r>
              <w:rPr>
                <w:rFonts w:cs="Arial"/>
                <w:b/>
                <w:bCs/>
                <w:sz w:val="22"/>
                <w:szCs w:val="22"/>
              </w:rPr>
            </w:r>
          </w:p>
          <w:p>
            <w:pPr>
              <w:pStyle w:val="Header"/>
              <w:tabs>
                <w:tab w:val="clear" w:pos="4153"/>
                <w:tab w:val="clear" w:pos="8306"/>
              </w:tabs>
              <w:rPr>
                <w:rFonts w:cs="Arial"/>
                <w:szCs w:val="22"/>
              </w:rPr>
            </w:pPr>
            <w:r>
              <w:rPr>
                <w:rFonts w:cs="Arial"/>
                <w:szCs w:val="22"/>
              </w:rPr>
              <w:t>Sufficient literacy and numeracy to undertake the tasks and duties of the role</w:t>
            </w:r>
          </w:p>
          <w:p>
            <w:pPr>
              <w:pStyle w:val="Normal"/>
              <w:rPr>
                <w:rFonts w:cs="Arial"/>
                <w:szCs w:val="22"/>
              </w:rPr>
            </w:pPr>
            <w:r>
              <w:rPr>
                <w:rFonts w:cs="Arial"/>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rPr>
                <w:rFonts w:cs="Arial"/>
                <w:szCs w:val="22"/>
              </w:rPr>
            </w:pPr>
            <w:r>
              <w:rPr>
                <w:rFonts w:cs="Arial"/>
                <w:szCs w:val="22"/>
              </w:rPr>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jc w:val="center"/>
              <w:rPr>
                <w:rFonts w:cs="Arial"/>
                <w:sz w:val="22"/>
                <w:szCs w:val="22"/>
              </w:rPr>
            </w:pPr>
            <w:r>
              <w:rPr>
                <w:rFonts w:cs="Arial"/>
                <w:sz w:val="22"/>
                <w:szCs w:val="22"/>
              </w:rPr>
            </w:r>
          </w:p>
          <w:p>
            <w:pPr>
              <w:pStyle w:val="Header"/>
              <w:tabs>
                <w:tab w:val="clear" w:pos="4153"/>
                <w:tab w:val="clear" w:pos="8306"/>
              </w:tabs>
              <w:jc w:val="center"/>
              <w:rPr>
                <w:rFonts w:cs="Arial"/>
                <w:szCs w:val="22"/>
              </w:rPr>
            </w:pPr>
            <w:r>
              <w:rPr>
                <w:rFonts w:cs="Arial"/>
                <w:szCs w:val="22"/>
              </w:rPr>
              <w:t>AF/I/C</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Experience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rPr>
            </w:pPr>
            <w:r>
              <w:rPr>
                <w:rFonts w:cs="Arial"/>
                <w:b/>
                <w:bCs/>
                <w:sz w:val="22"/>
                <w:szCs w:val="22"/>
              </w:rPr>
            </w:r>
          </w:p>
          <w:p>
            <w:pPr>
              <w:pStyle w:val="Normal"/>
              <w:rPr>
                <w:rFonts w:cs="Arial"/>
                <w:sz w:val="22"/>
                <w:szCs w:val="22"/>
              </w:rPr>
            </w:pPr>
            <w:r>
              <w:rPr>
                <w:rFonts w:cs="Arial"/>
                <w:sz w:val="22"/>
                <w:szCs w:val="22"/>
              </w:rPr>
              <w:t>Experience of working in a customer service environment</w:t>
            </w:r>
          </w:p>
          <w:p>
            <w:pPr>
              <w:pStyle w:val="BodyText3"/>
              <w:spacing w:before="0" w:after="0"/>
              <w:ind w:left="360" w:right="0"/>
              <w:rPr>
                <w:rFonts w:ascii="Arial" w:hAnsi="Arial" w:cs="Arial"/>
                <w:sz w:val="22"/>
                <w:szCs w:val="22"/>
              </w:rPr>
            </w:pPr>
            <w:r>
              <w:rPr>
                <w:rFonts w:cs="Arial" w:ascii="Arial" w:hAnsi="Arial"/>
                <w:sz w:val="22"/>
                <w:szCs w:val="22"/>
              </w:rPr>
            </w:r>
          </w:p>
          <w:p>
            <w:pPr>
              <w:pStyle w:val="Normal"/>
              <w:rPr>
                <w:rFonts w:cs="Arial"/>
                <w:sz w:val="22"/>
                <w:szCs w:val="22"/>
              </w:rPr>
            </w:pPr>
            <w:r>
              <w:rPr>
                <w:rFonts w:cs="Arial"/>
                <w:sz w:val="22"/>
                <w:szCs w:val="22"/>
              </w:rPr>
              <w:t>Experience of working in a team</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using computerised systems, including Microsoft Office package (Word, Excel, PowerPoint etc) and databases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developing databases, spreadsheets and record management systems</w:t>
            </w:r>
          </w:p>
          <w:p>
            <w:pPr>
              <w:pStyle w:val="Normal"/>
              <w:ind w:left="360" w:right="0"/>
              <w:rPr>
                <w:rFonts w:cs="Arial"/>
                <w:sz w:val="22"/>
                <w:szCs w:val="22"/>
              </w:rPr>
            </w:pPr>
            <w:r>
              <w:rPr>
                <w:rFonts w:cs="Arial"/>
                <w:sz w:val="22"/>
                <w:szCs w:val="22"/>
              </w:rPr>
            </w:r>
          </w:p>
          <w:p>
            <w:pPr>
              <w:pStyle w:val="BodyText3"/>
              <w:spacing w:before="0" w:after="0"/>
              <w:rPr>
                <w:rFonts w:ascii="Arial" w:hAnsi="Arial" w:cs="Arial"/>
                <w:sz w:val="22"/>
                <w:szCs w:val="22"/>
              </w:rPr>
            </w:pPr>
            <w:r>
              <w:rPr>
                <w:rFonts w:cs="Arial" w:ascii="Arial" w:hAnsi="Arial"/>
                <w:sz w:val="22"/>
                <w:szCs w:val="22"/>
              </w:rPr>
              <w:t>Experience of working under pressure, organising and prioritising workloads to meet specific deadlines</w:t>
            </w:r>
          </w:p>
          <w:p>
            <w:pPr>
              <w:pStyle w:val="BodyText3"/>
              <w:spacing w:before="0" w:after="0"/>
              <w:rPr>
                <w:rFonts w:ascii="Arial" w:hAnsi="Arial" w:cs="Arial"/>
                <w:sz w:val="22"/>
                <w:szCs w:val="22"/>
              </w:rPr>
            </w:pPr>
            <w:r>
              <w:rPr>
                <w:rFonts w:cs="Arial" w:ascii="Arial" w:hAnsi="Arial"/>
                <w:sz w:val="22"/>
                <w:szCs w:val="22"/>
              </w:rPr>
            </w:r>
          </w:p>
          <w:p>
            <w:pPr>
              <w:pStyle w:val="BodyText3"/>
              <w:spacing w:before="0" w:after="0"/>
              <w:rPr>
                <w:rFonts w:ascii="Arial" w:hAnsi="Arial" w:cs="Arial"/>
                <w:sz w:val="22"/>
                <w:szCs w:val="22"/>
              </w:rPr>
            </w:pPr>
            <w:r>
              <w:rPr>
                <w:rFonts w:cs="Arial" w:ascii="Arial" w:hAnsi="Arial"/>
                <w:sz w:val="22"/>
                <w:szCs w:val="22"/>
              </w:rPr>
              <w:t>Experience of working with other agencies</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BodyText3"/>
              <w:spacing w:before="0" w:after="0"/>
              <w:rPr>
                <w:rFonts w:ascii="Arial" w:hAnsi="Arial" w:cs="Arial"/>
                <w:sz w:val="22"/>
                <w:szCs w:val="22"/>
              </w:rPr>
            </w:pPr>
            <w:r>
              <w:rPr>
                <w:rFonts w:cs="Arial" w:ascii="Arial" w:hAnsi="Arial"/>
                <w:sz w:val="22"/>
                <w:szCs w:val="22"/>
              </w:rPr>
              <w:t>Experience of social housing allocation</w:t>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Skills &amp; Abilities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rPr>
            </w:pPr>
            <w:r>
              <w:rPr>
                <w:rFonts w:cs="Arial"/>
                <w:b/>
                <w:bCs/>
                <w:sz w:val="22"/>
                <w:szCs w:val="22"/>
              </w:rPr>
            </w:r>
          </w:p>
          <w:p>
            <w:pPr>
              <w:pStyle w:val="Normal"/>
              <w:rPr>
                <w:rFonts w:cs="Arial"/>
                <w:sz w:val="22"/>
                <w:szCs w:val="22"/>
              </w:rPr>
            </w:pPr>
            <w:r>
              <w:rPr>
                <w:rFonts w:cs="Arial"/>
                <w:sz w:val="22"/>
                <w:szCs w:val="22"/>
              </w:rPr>
              <w:t>Customer service skills to deliver polite, courteous and efficient service to colleagues, partners and service users</w:t>
            </w:r>
          </w:p>
          <w:p>
            <w:pPr>
              <w:pStyle w:val="Normal"/>
              <w:ind w:left="360" w:right="0"/>
              <w:rPr>
                <w:rFonts w:cs="Arial"/>
                <w:sz w:val="22"/>
                <w:szCs w:val="22"/>
              </w:rPr>
            </w:pPr>
            <w:r>
              <w:rPr>
                <w:rFonts w:cs="Arial"/>
                <w:sz w:val="22"/>
                <w:szCs w:val="22"/>
              </w:rPr>
            </w:r>
          </w:p>
          <w:p>
            <w:pPr>
              <w:pStyle w:val="BodyText3"/>
              <w:rPr>
                <w:rFonts w:ascii="Arial" w:hAnsi="Arial" w:cs="Arial"/>
                <w:sz w:val="22"/>
                <w:szCs w:val="22"/>
              </w:rPr>
            </w:pPr>
            <w:r>
              <w:rPr>
                <w:rFonts w:cs="Arial" w:ascii="Arial" w:hAnsi="Arial"/>
                <w:sz w:val="22"/>
                <w:szCs w:val="22"/>
              </w:rPr>
              <w:t xml:space="preserve">Developed interpersonal skills with the ability to provide advice, guidance and use persuasive skills with a variety of audiences. </w:t>
            </w:r>
          </w:p>
          <w:p>
            <w:pPr>
              <w:pStyle w:val="BodyText3"/>
              <w:rPr>
                <w:rFonts w:ascii="Arial" w:hAnsi="Arial" w:cs="Arial"/>
                <w:sz w:val="22"/>
                <w:szCs w:val="22"/>
              </w:rPr>
            </w:pPr>
            <w:r>
              <w:rPr>
                <w:rFonts w:cs="Arial" w:ascii="Arial" w:hAnsi="Arial"/>
                <w:sz w:val="22"/>
                <w:szCs w:val="22"/>
              </w:rPr>
              <w:t>Ability to work on own initiative to make decisions and solve problems.</w:t>
            </w:r>
          </w:p>
          <w:p>
            <w:pPr>
              <w:pStyle w:val="Normal"/>
              <w:rPr>
                <w:rFonts w:cs="Arial"/>
                <w:sz w:val="22"/>
                <w:szCs w:val="22"/>
              </w:rPr>
            </w:pPr>
            <w:r>
              <w:rPr>
                <w:rFonts w:cs="Arial"/>
                <w:sz w:val="22"/>
                <w:szCs w:val="22"/>
              </w:rPr>
              <w:t>Organisational skills to complete tasks to deadlines, re-prioritising own work as required</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Teamworking skills to work effectively with others to meet deadlines and complete work to the required standard</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Problem solving skills to interpret complex information/situations and solve problems</w:t>
            </w:r>
          </w:p>
          <w:p>
            <w:pPr>
              <w:pStyle w:val="Default"/>
              <w:rPr>
                <w:color w:val="auto"/>
                <w:sz w:val="22"/>
                <w:szCs w:val="22"/>
              </w:rPr>
            </w:pPr>
            <w:r>
              <w:rPr>
                <w:color w:val="auto"/>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color w:val="auto"/>
                <w:sz w:val="22"/>
                <w:szCs w:val="22"/>
              </w:rPr>
            </w:pPr>
            <w:r>
              <w:rPr>
                <w:rFonts w:cs="Arial"/>
                <w:color w:val="auto"/>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Knowledge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rPr>
            </w:pPr>
            <w:r>
              <w:rPr>
                <w:rFonts w:cs="Arial"/>
                <w:b/>
                <w:bCs/>
                <w:sz w:val="22"/>
                <w:szCs w:val="22"/>
              </w:rPr>
            </w:r>
          </w:p>
          <w:p>
            <w:pPr>
              <w:pStyle w:val="Normal"/>
              <w:rPr>
                <w:rFonts w:cs="Arial"/>
                <w:sz w:val="22"/>
                <w:szCs w:val="22"/>
              </w:rPr>
            </w:pPr>
            <w:r>
              <w:rPr>
                <w:rFonts w:cs="Arial"/>
                <w:sz w:val="22"/>
                <w:szCs w:val="22"/>
              </w:rPr>
              <w:t>Knowledge of Part VI and Part VII of the Housing Act 1996 (as amended by the Homelessness Reduction Act 2017)</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Understanding of data protection issues and the need to keep personal data secure and confidential</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lang w:val="en-US"/>
              </w:rPr>
            </w:pPr>
            <w:r>
              <w:rPr>
                <w:rFonts w:cs="Arial"/>
                <w:sz w:val="22"/>
                <w:szCs w:val="22"/>
                <w:lang w:val="en-US"/>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Work Circumstances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89" w:leader="none"/>
              </w:tabs>
              <w:overflowPunct w:val="true"/>
              <w:snapToGrid w:val="false"/>
              <w:textAlignment w:val="baseline"/>
              <w:rPr>
                <w:rFonts w:cs="Arial"/>
                <w:b/>
                <w:bCs/>
                <w:sz w:val="22"/>
                <w:szCs w:val="22"/>
              </w:rPr>
            </w:pPr>
            <w:r>
              <w:rPr>
                <w:rFonts w:cs="Arial"/>
                <w:b/>
                <w:bCs/>
                <w:sz w:val="22"/>
                <w:szCs w:val="22"/>
              </w:rPr>
            </w:r>
          </w:p>
          <w:p>
            <w:pPr>
              <w:pStyle w:val="Normal"/>
              <w:rPr>
                <w:rFonts w:cs="Arial"/>
                <w:sz w:val="22"/>
                <w:szCs w:val="22"/>
              </w:rPr>
            </w:pPr>
            <w:r>
              <w:rPr>
                <w:rFonts w:cs="Arial"/>
                <w:sz w:val="22"/>
                <w:szCs w:val="22"/>
              </w:rPr>
              <w:t>Able to work flexibly to meet the needs of the service including at different locations and customer’s homes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Able to work outside of standard hours as required by the needs of the post</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Style w:val="Hyperlink"/>
          <w:rFonts w:cs="Arial"/>
          <w:b/>
          <w:bCs/>
          <w:sz w:val="22"/>
          <w:szCs w:val="22"/>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p>
    <w:p>
      <w:pPr>
        <w:pStyle w:val="Normal"/>
        <w:jc w:val="both"/>
        <w:rPr/>
      </w:pPr>
      <w:r>
        <w:rPr/>
      </w:r>
    </w:p>
    <w:sectPr>
      <w:headerReference w:type="default" r:id="rId6"/>
      <w:headerReference w:type="first" r:id="rId7"/>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Palatino">
    <w:charset w:val="00"/>
    <w:family w:val="roman"/>
    <w:pitch w:val="variable"/>
  </w:font>
  <w:font w:name="Calibri">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sz w:val="22"/>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DefaultParagraphFont">
    <w:name w:val="Default Paragraph Font"/>
    <w:qFormat/>
    <w:rPr/>
  </w:style>
  <w:style w:type="character" w:styleId="BodyText3Char">
    <w:name w:val="Body Text 3 Char"/>
    <w:qFormat/>
    <w:rPr>
      <w:sz w:val="16"/>
      <w:szCs w:val="16"/>
      <w:lang w:eastAsia="en-US"/>
    </w:rPr>
  </w:style>
  <w:style w:type="character" w:styleId="Hyperlink">
    <w:name w:val="Hyperlink"/>
    <w:basedOn w:val="DefaultParagraphFont"/>
    <w:rPr>
      <w:color w:val="467886"/>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BodyText3">
    <w:name w:val="Body Text 3"/>
    <w:basedOn w:val="Normal"/>
    <w:qFormat/>
    <w:pPr>
      <w:spacing w:before="0" w:after="120"/>
    </w:pPr>
    <w:rPr>
      <w:rFonts w:ascii="Times New Roman" w:hAnsi="Times New Roman" w:cs="Times New Roman"/>
      <w:sz w:val="16"/>
      <w:szCs w:val="16"/>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1.wmf"/><Relationship Id="rId4" Type="http://schemas.openxmlformats.org/officeDocument/2006/relationships/image" Target="media/image1.wmf"/><Relationship Id="rId5" Type="http://schemas.openxmlformats.org/officeDocument/2006/relationships/image" Target="media/image1.wmf"/><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