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cs="Arial"/>
          <w:sz w:val="22"/>
          <w:szCs w:val="22"/>
        </w:rPr>
      </w:pPr>
      <w:r>
        <w:rPr>
          <w:rFonts w:cs="Arial"/>
          <w:sz w:val="22"/>
          <w:szCs w:val="22"/>
        </w:rPr>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SEND Family Liaison &amp; Tribunal Lead</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People Services</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Education &amp; Early Years</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8</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szCs w:val="22"/>
              </w:rPr>
            </w:pPr>
            <w:r>
              <w:rPr>
                <w:rFonts w:cs="Arial"/>
                <w:b/>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11049</w:t>
            </w:r>
          </w:p>
        </w:tc>
      </w:tr>
    </w:tbl>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overflowPunct w:val="true"/>
              <w:snapToGrid w:val="false"/>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Within the context of Council policies and resources, SEND legislative requirements, and best practice:</w:t>
            </w:r>
          </w:p>
          <w:p>
            <w:pPr>
              <w:pStyle w:val="Normal"/>
              <w:widowControl w:val="false"/>
              <w:overflowPunct w:val="true"/>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To manage complex cases involving children and young people with SEND and support the resolution of concerns at the earliest opportunity, helping to reduce escalation wherever possible.</w:t>
            </w:r>
            <w:bookmarkStart w:id="0" w:name="_Hlk115183150"/>
            <w:bookmarkEnd w:id="0"/>
          </w:p>
          <w:p>
            <w:pPr>
              <w:pStyle w:val="Normal"/>
              <w:widowControl w:val="false"/>
              <w:overflowPunct w:val="true"/>
              <w:jc w:val="both"/>
              <w:textAlignment w:val="baseline"/>
              <w:rPr>
                <w:rFonts w:cs="Arial"/>
                <w:sz w:val="22"/>
                <w:szCs w:val="22"/>
              </w:rPr>
            </w:pPr>
            <w:r>
              <w:rPr>
                <w:rFonts w:cs="Arial"/>
                <w:sz w:val="22"/>
                <w:szCs w:val="22"/>
              </w:rPr>
            </w:r>
          </w:p>
          <w:p>
            <w:pPr>
              <w:pStyle w:val="Normal"/>
              <w:widowControl w:val="false"/>
              <w:overflowPunct w:val="true"/>
              <w:jc w:val="both"/>
              <w:textAlignment w:val="baseline"/>
              <w:rPr>
                <w:rFonts w:cs="Arial"/>
                <w:sz w:val="22"/>
                <w:szCs w:val="22"/>
              </w:rPr>
            </w:pPr>
            <w:r>
              <w:rPr>
                <w:rFonts w:cs="Arial"/>
                <w:sz w:val="22"/>
                <w:szCs w:val="22"/>
              </w:rPr>
              <w:t>To support the Head of SEND and Inclusion and SEND Team Manager in managing and developing functions relating to children, young people and family liaison, ensuring effective engagement alongside statutory SEND delivery.</w:t>
            </w:r>
          </w:p>
          <w:p>
            <w:pPr>
              <w:pStyle w:val="Normal"/>
              <w:widowControl w:val="false"/>
              <w:overflowPunct w:val="true"/>
              <w:jc w:val="both"/>
              <w:textAlignment w:val="baseline"/>
              <w:rPr>
                <w:rFonts w:cs="Arial"/>
                <w:sz w:val="22"/>
                <w:szCs w:val="22"/>
              </w:rPr>
            </w:pPr>
            <w:r>
              <w:rPr>
                <w:rFonts w:cs="Arial"/>
                <w:sz w:val="22"/>
                <w:szCs w:val="22"/>
              </w:rPr>
            </w:r>
          </w:p>
          <w:p>
            <w:pPr>
              <w:pStyle w:val="Normal"/>
              <w:widowControl w:val="false"/>
              <w:overflowPunct w:val="true"/>
              <w:jc w:val="both"/>
              <w:textAlignment w:val="baseline"/>
              <w:rPr>
                <w:rFonts w:cs="Arial"/>
                <w:sz w:val="22"/>
                <w:szCs w:val="22"/>
              </w:rPr>
            </w:pPr>
            <w:r>
              <w:rPr>
                <w:rFonts w:cs="Arial"/>
                <w:sz w:val="22"/>
                <w:szCs w:val="22"/>
              </w:rPr>
              <w:t>To lead and coordinate the Local Authority's processes for disagreement resolution, mediation and SEND Tribunal activity, ensuring a timely, consistent and high-quality approach to case management, family engagement and partnership working.</w:t>
            </w:r>
          </w:p>
          <w:p>
            <w:pPr>
              <w:pStyle w:val="Normal"/>
              <w:widowControl w:val="false"/>
              <w:overflowPunct w:val="true"/>
              <w:jc w:val="both"/>
              <w:textAlignment w:val="baseline"/>
              <w:rPr>
                <w:rFonts w:cs="Arial"/>
                <w:sz w:val="22"/>
                <w:szCs w:val="22"/>
              </w:rPr>
            </w:pPr>
            <w:r>
              <w:rPr>
                <w:rFonts w:cs="Arial"/>
                <w:sz w:val="22"/>
                <w:szCs w:val="22"/>
              </w:rPr>
            </w:r>
          </w:p>
          <w:p>
            <w:pPr>
              <w:pStyle w:val="Normal"/>
              <w:widowControl w:val="false"/>
              <w:overflowPunct w:val="true"/>
              <w:jc w:val="both"/>
              <w:textAlignment w:val="baseline"/>
              <w:rPr>
                <w:rFonts w:cs="Arial"/>
                <w:sz w:val="22"/>
                <w:szCs w:val="22"/>
              </w:rPr>
            </w:pPr>
            <w:r>
              <w:rPr>
                <w:rFonts w:cs="Arial"/>
                <w:sz w:val="22"/>
                <w:szCs w:val="22"/>
              </w:rPr>
              <w:t>To provide oversight and coordination of SEND Tribunal and mediation cases, including case preparation, liaison with families, schools, settings, professionals and legal representatives, and representation of the Local Authority where appropriate.</w:t>
            </w:r>
          </w:p>
          <w:p>
            <w:pPr>
              <w:pStyle w:val="Normal"/>
              <w:widowControl w:val="false"/>
              <w:overflowPunct w:val="true"/>
              <w:jc w:val="both"/>
              <w:textAlignment w:val="baseline"/>
              <w:rPr>
                <w:rFonts w:cs="Arial"/>
                <w:sz w:val="22"/>
                <w:szCs w:val="22"/>
              </w:rPr>
            </w:pPr>
            <w:r>
              <w:rPr>
                <w:rFonts w:cs="Arial"/>
                <w:sz w:val="22"/>
                <w:szCs w:val="22"/>
              </w:rPr>
            </w:r>
          </w:p>
          <w:p>
            <w:pPr>
              <w:pStyle w:val="Normal"/>
              <w:widowControl w:val="false"/>
              <w:overflowPunct w:val="true"/>
              <w:jc w:val="both"/>
              <w:textAlignment w:val="baseline"/>
              <w:rPr>
                <w:rFonts w:cs="Arial"/>
                <w:sz w:val="22"/>
                <w:szCs w:val="22"/>
              </w:rPr>
            </w:pPr>
            <w:r>
              <w:rPr>
                <w:rFonts w:cs="Arial"/>
                <w:sz w:val="22"/>
                <w:szCs w:val="22"/>
              </w:rPr>
              <w:t>To ensure that learning arising from complaints, mediation, Tribunal outcomes and service feedback is used to strengthen practice, improve service delivery and support positive outcomes for children, young people and their families.</w:t>
            </w:r>
          </w:p>
          <w:p>
            <w:pPr>
              <w:pStyle w:val="Normal"/>
              <w:widowControl w:val="false"/>
              <w:overflowPunct w:val="true"/>
              <w:jc w:val="both"/>
              <w:textAlignment w:val="baseline"/>
              <w:rPr>
                <w:rFonts w:cs="Arial"/>
                <w:bCs/>
                <w:sz w:val="22"/>
                <w:szCs w:val="22"/>
              </w:rPr>
            </w:pPr>
            <w:r>
              <w:rPr>
                <w:rFonts w:cs="Arial"/>
                <w:bCs/>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overflowPunct w:val="true"/>
              <w:jc w:val="both"/>
              <w:textAlignment w:val="baseline"/>
              <w:rPr>
                <w:rFonts w:cs="Arial"/>
                <w:b/>
                <w:b/>
                <w:bCs/>
                <w:sz w:val="22"/>
                <w:szCs w:val="22"/>
                <w:lang w:val="en-US"/>
              </w:rPr>
            </w:pPr>
            <w:r>
              <w:rPr>
                <w:rFonts w:cs="Arial"/>
                <w:b/>
                <w:bCs/>
                <w:sz w:val="22"/>
                <w:szCs w:val="22"/>
                <w:lang w:val="en-US"/>
              </w:rPr>
              <w:t>General Responsibilities</w:t>
            </w:r>
          </w:p>
          <w:p>
            <w:pPr>
              <w:pStyle w:val="Normal"/>
              <w:widowControl w:val="false"/>
              <w:overflowPunct w:val="true"/>
              <w:ind w:left="37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Support to the overall management of the SEND and Inclusion Service, leading and participating in cross-service terms on specific policies and projects, as required by the Head of SEND and Inclusion and the SEND Team Manager.</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Develop and maintain efficient procedures and systems that will improve the effectiveness of the SEND and Inclusion Service.</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rPr>
            </w:pPr>
            <w:r>
              <w:rPr>
                <w:rFonts w:cs="Arial"/>
                <w:sz w:val="22"/>
                <w:szCs w:val="22"/>
              </w:rPr>
              <w:t>Support the development of consistent processes and record keeping arrangements in relation to mediation, disagreement resolution and SEND Tribunal activity.</w:t>
            </w:r>
          </w:p>
          <w:p>
            <w:pPr>
              <w:pStyle w:val="Normal"/>
              <w:widowControl w:val="false"/>
              <w:overflowPunct w:val="true"/>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Promote the responsiveness and development of the SEND and Inclusion Service in delivering and evaluating its key tasks.</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Support the development and implementation of appropriate financial management systems.</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Support the recruitment, selection, and induction of staff within the SEND service, as appropriate.</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pPr>
            <w:r>
              <w:rPr>
                <w:rFonts w:cs="Arial"/>
                <w:sz w:val="22"/>
                <w:szCs w:val="22"/>
                <w:lang w:val="en-US"/>
              </w:rPr>
              <w:t xml:space="preserve">Support the development, </w:t>
            </w:r>
            <w:r>
              <w:rPr>
                <w:rFonts w:cs="Arial"/>
                <w:sz w:val="22"/>
                <w:szCs w:val="22"/>
              </w:rPr>
              <w:t>organisation</w:t>
            </w:r>
            <w:r>
              <w:rPr>
                <w:rFonts w:cs="Arial"/>
                <w:sz w:val="22"/>
                <w:szCs w:val="22"/>
                <w:lang w:val="en-US"/>
              </w:rPr>
              <w:t xml:space="preserve"> and management of efficient and flexible teamwork, to ensure service objectives are delivered effectively.</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Support the continuous improvement of the quality of services provided through a systematic process of development planning and performance management.</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Contribute to the development of partnership working with all relevant agencies, particularly head teachers and senior staff in schools, Legal service, other Directorate service units and external partners in Health and the voluntary sector including the development and delivery of training and support packages.</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Provide information about the service to, and consult with, head teachers and governors and attend head teachers’ and governors’ meetings as required.</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Collaborate with relevant colleagues in developing and delivering training, support and guidance to head teachers, governing bodies, elected member panels, SEND colleagues and relevant partner agencies and services including the voluntary sector.</w:t>
            </w:r>
          </w:p>
          <w:p>
            <w:pPr>
              <w:pStyle w:val="Normal"/>
              <w:widowControl w:val="false"/>
              <w:overflowPunct w:val="true"/>
              <w:ind w:left="732" w:right="0" w:hanging="0"/>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Respond to contacts with elected members, local and regional organisations, members of the public, head teachers and governors and attend meetings as required.</w:t>
            </w:r>
          </w:p>
          <w:p>
            <w:pPr>
              <w:pStyle w:val="Normal"/>
              <w:widowControl w:val="false"/>
              <w:overflowPunct w:val="true"/>
              <w:jc w:val="both"/>
              <w:textAlignment w:val="baseline"/>
              <w:rPr>
                <w:rFonts w:cs="Arial"/>
                <w:sz w:val="22"/>
                <w:szCs w:val="22"/>
                <w:lang w:val="en-US"/>
              </w:rPr>
            </w:pPr>
            <w:r>
              <w:rPr>
                <w:rFonts w:cs="Arial"/>
                <w:sz w:val="22"/>
                <w:szCs w:val="22"/>
                <w:lang w:val="en-US"/>
              </w:rPr>
            </w:r>
          </w:p>
          <w:p>
            <w:pPr>
              <w:pStyle w:val="Normal"/>
              <w:widowControl w:val="false"/>
              <w:overflowPunct w:val="true"/>
              <w:jc w:val="both"/>
              <w:textAlignment w:val="baseline"/>
              <w:rPr>
                <w:rFonts w:cs="Arial"/>
                <w:sz w:val="22"/>
                <w:szCs w:val="22"/>
                <w:lang w:val="en-US"/>
              </w:rPr>
            </w:pPr>
            <w:r>
              <w:rPr>
                <w:rFonts w:cs="Arial"/>
                <w:sz w:val="22"/>
                <w:szCs w:val="22"/>
                <w:lang w:val="en-US"/>
              </w:rPr>
              <w:t>Represent the SEND Team Manager as required.</w:t>
            </w:r>
            <w:bookmarkStart w:id="1" w:name="_Hlk115183210"/>
            <w:bookmarkEnd w:id="1"/>
          </w:p>
          <w:p>
            <w:pPr>
              <w:pStyle w:val="Normal"/>
              <w:widowControl w:val="false"/>
              <w:overflowPunct w:val="true"/>
              <w:jc w:val="both"/>
              <w:textAlignment w:val="baseline"/>
              <w:rPr>
                <w:rFonts w:cs="Arial"/>
                <w:sz w:val="22"/>
                <w:szCs w:val="22"/>
              </w:rPr>
            </w:pPr>
            <w:r>
              <w:rPr>
                <w:rFonts w:cs="Arial"/>
                <w:sz w:val="22"/>
                <w:szCs w:val="22"/>
              </w:rPr>
            </w:r>
          </w:p>
          <w:p>
            <w:pPr>
              <w:pStyle w:val="Normal"/>
              <w:widowControl w:val="false"/>
              <w:overflowPunct w:val="true"/>
              <w:jc w:val="both"/>
              <w:textAlignment w:val="baseline"/>
              <w:rPr>
                <w:rFonts w:cs="Arial"/>
                <w:b/>
                <w:b/>
                <w:bCs/>
                <w:sz w:val="22"/>
                <w:szCs w:val="22"/>
              </w:rPr>
            </w:pPr>
            <w:r>
              <w:rPr>
                <w:rFonts w:cs="Arial"/>
                <w:b/>
                <w:bCs/>
                <w:sz w:val="22"/>
                <w:szCs w:val="22"/>
              </w:rPr>
              <w:t>Operational Responsibilities</w:t>
            </w:r>
          </w:p>
          <w:p>
            <w:pPr>
              <w:pStyle w:val="Normal"/>
              <w:widowControl w:val="false"/>
              <w:overflowPunct w:val="true"/>
              <w:jc w:val="both"/>
              <w:textAlignment w:val="baseline"/>
              <w:rPr>
                <w:rFonts w:cs="Arial"/>
                <w:b/>
                <w:b/>
                <w:bCs/>
                <w:sz w:val="22"/>
                <w:szCs w:val="22"/>
              </w:rPr>
            </w:pPr>
            <w:r>
              <w:rPr>
                <w:rFonts w:cs="Arial"/>
                <w:b/>
                <w:bCs/>
                <w:sz w:val="22"/>
                <w:szCs w:val="22"/>
              </w:rPr>
            </w:r>
          </w:p>
          <w:p>
            <w:pPr>
              <w:pStyle w:val="Normal"/>
              <w:widowControl w:val="false"/>
              <w:overflowPunct w:val="true"/>
              <w:textAlignment w:val="baseline"/>
              <w:rPr>
                <w:rFonts w:cs="Arial"/>
                <w:sz w:val="22"/>
                <w:szCs w:val="22"/>
                <w:lang w:val="en-US"/>
              </w:rPr>
            </w:pPr>
            <w:r>
              <w:rPr>
                <w:rFonts w:cs="Arial"/>
                <w:sz w:val="22"/>
                <w:szCs w:val="22"/>
                <w:lang w:val="en-US"/>
              </w:rPr>
              <w:t>To ensure children, young people and their parents or carers are central to the assessment process and meet with them regularly, improving engagement, gaining feedback, and improving service delivery.</w:t>
            </w:r>
          </w:p>
          <w:p>
            <w:pPr>
              <w:pStyle w:val="Normal"/>
              <w:numPr>
                <w:ilvl w:val="0"/>
                <w:numId w:val="3"/>
              </w:numPr>
              <w:spacing w:before="120" w:after="0"/>
              <w:rPr>
                <w:rFonts w:cs="Arial"/>
                <w:sz w:val="22"/>
              </w:rPr>
            </w:pPr>
            <w:r>
              <w:rPr>
                <w:rFonts w:cs="Arial"/>
                <w:sz w:val="22"/>
              </w:rPr>
              <w:t>Design and manage regular feedback sessions from children, young people and families.</w:t>
            </w:r>
          </w:p>
          <w:p>
            <w:pPr>
              <w:pStyle w:val="Normal"/>
              <w:numPr>
                <w:ilvl w:val="0"/>
                <w:numId w:val="3"/>
              </w:numPr>
              <w:spacing w:before="120" w:after="0"/>
              <w:rPr>
                <w:rFonts w:cs="Arial"/>
                <w:sz w:val="22"/>
              </w:rPr>
            </w:pPr>
            <w:r>
              <w:rPr>
                <w:rFonts w:cs="Arial"/>
                <w:sz w:val="22"/>
              </w:rPr>
              <w:t>Work with young people, families, and stakeholders to capture lived experience case examples which can be reviewed and responded to via regular thematic analysis.</w:t>
            </w:r>
          </w:p>
          <w:p>
            <w:pPr>
              <w:pStyle w:val="Normal"/>
              <w:numPr>
                <w:ilvl w:val="0"/>
                <w:numId w:val="3"/>
              </w:numPr>
              <w:spacing w:before="120" w:after="0"/>
              <w:rPr>
                <w:rFonts w:cs="Arial"/>
                <w:sz w:val="22"/>
              </w:rPr>
            </w:pPr>
            <w:r>
              <w:rPr>
                <w:rFonts w:cs="Arial"/>
                <w:sz w:val="22"/>
              </w:rPr>
              <w:t xml:space="preserve">Work closely with the Head of SEND and Inclusion to develop and disseminate an annual engagement plan and communication schedule. </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 xml:space="preserve">Where appropriate to lead and manage person centered meetings and annual reviews, ensuring that the child, young person and their parents or carers are central to the discussion.  </w:t>
            </w:r>
          </w:p>
          <w:p>
            <w:pPr>
              <w:pStyle w:val="Normal"/>
              <w:widowControl w:val="false"/>
              <w:tabs>
                <w:tab w:val="clear" w:pos="720"/>
                <w:tab w:val="left" w:pos="1620" w:leader="none"/>
              </w:tabs>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To manage the expectations of parents/ carers, children and young people, stakeholders undergoing an Education, Health and Care Plan Needs Assessment, and where an EHC Plan is in place.</w:t>
            </w:r>
          </w:p>
          <w:p>
            <w:pPr>
              <w:pStyle w:val="Normal"/>
              <w:widowControl w:val="false"/>
              <w:overflowPunct w:val="true"/>
              <w:ind w:left="720" w:right="0" w:hanging="0"/>
              <w:textAlignment w:val="baseline"/>
              <w:rPr>
                <w:rFonts w:eastAsia="Arial" w:cs="Arial"/>
                <w:sz w:val="22"/>
                <w:szCs w:val="22"/>
                <w:lang w:val="en-US"/>
              </w:rPr>
            </w:pPr>
            <w:r>
              <w:rPr>
                <w:rFonts w:eastAsia="Arial" w:cs="Arial"/>
                <w:sz w:val="22"/>
                <w:szCs w:val="22"/>
                <w:lang w:val="en-US"/>
              </w:rPr>
              <w:t xml:space="preserve"> </w:t>
            </w:r>
          </w:p>
          <w:p>
            <w:pPr>
              <w:pStyle w:val="Normal"/>
              <w:widowControl w:val="false"/>
              <w:overflowPunct w:val="true"/>
              <w:textAlignment w:val="baseline"/>
              <w:rPr>
                <w:rFonts w:cs="Arial"/>
                <w:sz w:val="22"/>
                <w:szCs w:val="22"/>
                <w:lang w:val="en-US"/>
              </w:rPr>
            </w:pPr>
            <w:r>
              <w:rPr>
                <w:rFonts w:cs="Arial"/>
                <w:sz w:val="22"/>
                <w:szCs w:val="22"/>
                <w:lang w:val="en-US"/>
              </w:rPr>
              <w:t>To work in partnership with schools, support staff, parents/carers and social care and gather quality information in line with need and ensure the provision and placement is able to meet need and resolve issues relating to placement and provision.</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rPr>
            </w:pPr>
            <w:r>
              <w:rPr>
                <w:rFonts w:cs="Arial"/>
                <w:sz w:val="22"/>
                <w:szCs w:val="22"/>
              </w:rPr>
              <w:t>Oversee and implement the delivery, by effective partnership working with colleagues in schools, early years settings, post-16 education institutions, health and social care, the development, implementation and evaluation of the Directorate's policies and procedures which relate to:</w:t>
            </w:r>
          </w:p>
          <w:p>
            <w:pPr>
              <w:pStyle w:val="Normal"/>
              <w:widowControl w:val="false"/>
              <w:overflowPunct w:val="true"/>
              <w:textAlignment w:val="baseline"/>
              <w:rPr>
                <w:rFonts w:cs="Arial"/>
                <w:sz w:val="22"/>
                <w:szCs w:val="22"/>
              </w:rPr>
            </w:pPr>
            <w:r>
              <w:rPr>
                <w:rFonts w:cs="Arial"/>
                <w:sz w:val="22"/>
                <w:szCs w:val="22"/>
              </w:rPr>
            </w:r>
          </w:p>
          <w:p>
            <w:pPr>
              <w:pStyle w:val="Normal"/>
              <w:widowControl w:val="false"/>
              <w:overflowPunct w:val="true"/>
              <w:textAlignment w:val="baseline"/>
              <w:rPr/>
            </w:pPr>
            <w:r>
              <w:rPr>
                <w:rFonts w:cs="Arial"/>
                <w:sz w:val="22"/>
                <w:szCs w:val="22"/>
              </w:rPr>
              <w:t>•</w:t>
            </w:r>
            <w:r>
              <w:rPr>
                <w:rFonts w:eastAsia="Arial" w:cs="Arial"/>
                <w:sz w:val="22"/>
                <w:szCs w:val="22"/>
              </w:rPr>
              <w:t xml:space="preserve"> </w:t>
            </w:r>
            <w:r>
              <w:rPr>
                <w:rFonts w:cs="Arial"/>
                <w:sz w:val="22"/>
                <w:szCs w:val="22"/>
              </w:rPr>
              <w:t>Communicating decisions to families and stakeholders</w:t>
            </w:r>
          </w:p>
          <w:p>
            <w:pPr>
              <w:pStyle w:val="Normal"/>
              <w:widowControl w:val="false"/>
              <w:overflowPunct w:val="true"/>
              <w:textAlignment w:val="baseline"/>
              <w:rPr/>
            </w:pPr>
            <w:r>
              <w:rPr>
                <w:rFonts w:cs="Arial"/>
                <w:sz w:val="22"/>
                <w:szCs w:val="22"/>
              </w:rPr>
              <w:t>•</w:t>
            </w:r>
            <w:r>
              <w:rPr>
                <w:rFonts w:eastAsia="Arial" w:cs="Arial"/>
                <w:sz w:val="22"/>
                <w:szCs w:val="22"/>
              </w:rPr>
              <w:t xml:space="preserve"> </w:t>
            </w:r>
            <w:r>
              <w:rPr>
                <w:rFonts w:cs="Arial"/>
                <w:sz w:val="22"/>
                <w:szCs w:val="22"/>
              </w:rPr>
              <w:t>CYP/family liaison and engagement</w:t>
            </w:r>
          </w:p>
          <w:p>
            <w:pPr>
              <w:pStyle w:val="Normal"/>
              <w:widowControl w:val="false"/>
              <w:overflowPunct w:val="true"/>
              <w:textAlignment w:val="baseline"/>
              <w:rPr/>
            </w:pPr>
            <w:r>
              <w:rPr>
                <w:rFonts w:cs="Arial"/>
                <w:sz w:val="22"/>
                <w:szCs w:val="22"/>
              </w:rPr>
              <w:t>•</w:t>
            </w:r>
            <w:r>
              <w:rPr>
                <w:rFonts w:eastAsia="Arial" w:cs="Arial"/>
                <w:sz w:val="22"/>
                <w:szCs w:val="22"/>
              </w:rPr>
              <w:t xml:space="preserve"> </w:t>
            </w:r>
            <w:r>
              <w:rPr>
                <w:rFonts w:cs="Arial"/>
                <w:sz w:val="22"/>
                <w:szCs w:val="22"/>
              </w:rPr>
              <w:t>Complex case management</w:t>
            </w:r>
          </w:p>
          <w:p>
            <w:pPr>
              <w:pStyle w:val="Normal"/>
              <w:widowControl w:val="false"/>
              <w:overflowPunct w:val="true"/>
              <w:textAlignment w:val="baseline"/>
              <w:rPr/>
            </w:pPr>
            <w:r>
              <w:rPr>
                <w:rFonts w:cs="Arial"/>
                <w:sz w:val="22"/>
                <w:szCs w:val="22"/>
              </w:rPr>
              <w:t>•</w:t>
            </w:r>
            <w:r>
              <w:rPr>
                <w:rFonts w:eastAsia="Arial" w:cs="Arial"/>
                <w:sz w:val="22"/>
                <w:szCs w:val="22"/>
              </w:rPr>
              <w:t xml:space="preserve"> </w:t>
            </w:r>
            <w:r>
              <w:rPr>
                <w:rFonts w:cs="Arial"/>
                <w:sz w:val="22"/>
                <w:szCs w:val="22"/>
              </w:rPr>
              <w:t>Disagreement resolution and mediation</w:t>
            </w:r>
          </w:p>
          <w:p>
            <w:pPr>
              <w:pStyle w:val="Normal"/>
              <w:widowControl w:val="false"/>
              <w:overflowPunct w:val="true"/>
              <w:textAlignment w:val="baseline"/>
              <w:rPr/>
            </w:pPr>
            <w:r>
              <w:rPr>
                <w:rFonts w:cs="Arial"/>
                <w:sz w:val="22"/>
                <w:szCs w:val="22"/>
              </w:rPr>
              <w:t>•</w:t>
            </w:r>
            <w:r>
              <w:rPr>
                <w:rFonts w:eastAsia="Arial" w:cs="Arial"/>
                <w:sz w:val="22"/>
                <w:szCs w:val="22"/>
              </w:rPr>
              <w:t xml:space="preserve"> </w:t>
            </w:r>
            <w:r>
              <w:rPr>
                <w:rFonts w:cs="Arial"/>
                <w:sz w:val="22"/>
                <w:szCs w:val="22"/>
              </w:rPr>
              <w:t>SEND Tribunal activity</w:t>
            </w:r>
          </w:p>
          <w:p>
            <w:pPr>
              <w:pStyle w:val="Normal"/>
              <w:widowControl w:val="false"/>
              <w:overflowPunct w:val="true"/>
              <w:textAlignment w:val="baseline"/>
              <w:rPr/>
            </w:pPr>
            <w:r>
              <w:rPr>
                <w:rFonts w:cs="Arial"/>
                <w:sz w:val="22"/>
                <w:szCs w:val="22"/>
              </w:rPr>
              <w:t>•</w:t>
            </w:r>
            <w:r>
              <w:rPr>
                <w:rFonts w:eastAsia="Arial" w:cs="Arial"/>
                <w:sz w:val="22"/>
                <w:szCs w:val="22"/>
              </w:rPr>
              <w:t xml:space="preserve"> </w:t>
            </w:r>
            <w:r>
              <w:rPr>
                <w:rFonts w:cs="Arial"/>
                <w:sz w:val="22"/>
                <w:szCs w:val="22"/>
              </w:rPr>
              <w:t>Family engagement and early resolution of concerns</w:t>
            </w:r>
          </w:p>
          <w:p>
            <w:pPr>
              <w:pStyle w:val="Normal"/>
              <w:widowControl w:val="false"/>
              <w:overflowPunct w:val="true"/>
              <w:jc w:val="both"/>
              <w:textAlignment w:val="baseline"/>
              <w:rPr>
                <w:rFonts w:cs="Arial"/>
                <w:b/>
                <w:b/>
                <w:bCs/>
                <w:sz w:val="22"/>
                <w:szCs w:val="22"/>
              </w:rPr>
            </w:pPr>
            <w:r>
              <w:rPr>
                <w:rFonts w:cs="Arial"/>
                <w:b/>
                <w:bCs/>
                <w:sz w:val="22"/>
                <w:szCs w:val="22"/>
              </w:rPr>
            </w:r>
          </w:p>
          <w:p>
            <w:pPr>
              <w:pStyle w:val="Normal"/>
              <w:widowControl w:val="false"/>
              <w:overflowPunct w:val="true"/>
              <w:textAlignment w:val="baseline"/>
              <w:rPr>
                <w:rFonts w:cs="Arial"/>
                <w:sz w:val="22"/>
                <w:szCs w:val="22"/>
                <w:lang w:val="en-US"/>
              </w:rPr>
            </w:pPr>
            <w:r>
              <w:rPr>
                <w:rFonts w:cs="Arial"/>
                <w:sz w:val="22"/>
                <w:szCs w:val="22"/>
                <w:lang w:val="en-US"/>
              </w:rPr>
              <w:t>To have significant knowledge of the Children and Families Act, Special Educational Needs and Disability, Code of Practice 0 – 25 years, and all associated legislation and guidance, in relation to working with and supporting children and young people with special educational needs and disabilities.</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To lead and coordinate the Local Authority in response to SEND Tribunal appeals, ensuring a comprehensive, consistent and legally compliant approach across all cases.</w:t>
            </w:r>
          </w:p>
          <w:p>
            <w:pPr>
              <w:pStyle w:val="Normal"/>
              <w:widowControl w:val="false"/>
              <w:overflowPunct w:val="true"/>
              <w:ind w:left="360" w:right="0" w:hanging="0"/>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To act as the lead officer for SEND tribunals and mediation, providing oversight of all appeals including preparation, quality assurance and representation where required.</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Chair multi-agency meetings as part of case preparation. Take notes and follow up</w:t>
            </w:r>
          </w:p>
          <w:p>
            <w:pPr>
              <w:pStyle w:val="Normal"/>
              <w:widowControl w:val="false"/>
              <w:overflowPunct w:val="true"/>
              <w:textAlignment w:val="baseline"/>
              <w:rPr>
                <w:rFonts w:cs="Arial"/>
                <w:sz w:val="22"/>
                <w:szCs w:val="22"/>
                <w:lang w:val="en-US"/>
              </w:rPr>
            </w:pPr>
            <w:r>
              <w:rPr>
                <w:rFonts w:cs="Arial"/>
                <w:sz w:val="22"/>
                <w:szCs w:val="22"/>
                <w:lang w:val="en-US"/>
              </w:rPr>
              <w:t>on actions to prepare cases.</w:t>
            </w:r>
          </w:p>
          <w:p>
            <w:pPr>
              <w:pStyle w:val="Normal"/>
              <w:widowControl w:val="false"/>
              <w:overflowPunct w:val="true"/>
              <w:ind w:left="720" w:right="0" w:hanging="0"/>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To hold a complex case caseload and lead on all multi-agency actions, including team around the child meetings and tripartite funding requests.</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 xml:space="preserve">To challenge education settings where appropriate, to ensure support is provided in line with the SEND Code of Practice. </w:t>
            </w:r>
          </w:p>
          <w:p>
            <w:pPr>
              <w:pStyle w:val="Normal"/>
              <w:widowControl w:val="false"/>
              <w:overflowPunct w:val="true"/>
              <w:ind w:left="720" w:right="0" w:hanging="0"/>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To prepare and present requests to the SEND Resource Panel for changes in provision where appropriate.</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To lead and take overall responsibility for SEND tribunal and mediation cases, including preparation, quality assurance, coordination of professional advice, and representation of the Local Authority. This includes decision-making on behalf of the Council in relation to appeals regarding assessment, plan issuance, placement (Section I), and provision.</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To be responsible for writing reports, providing information and data, and undertaking project work where required.</w:t>
            </w:r>
          </w:p>
          <w:p>
            <w:pPr>
              <w:pStyle w:val="Normal"/>
              <w:widowControl w:val="false"/>
              <w:overflowPunct w:val="true"/>
              <w:ind w:left="720" w:right="0" w:hanging="0"/>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 xml:space="preserve">To undertake other duties as reasonably required and which correspond to the general character of the post and its level of responsibility. </w:t>
            </w:r>
          </w:p>
          <w:p>
            <w:pPr>
              <w:pStyle w:val="Normal"/>
              <w:widowControl w:val="false"/>
              <w:overflowPunct w:val="true"/>
              <w:jc w:val="both"/>
              <w:textAlignment w:val="baseline"/>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5.</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pPr>
            <w:r>
              <w:rPr>
                <w:rFonts w:cs="Arial"/>
                <w:b/>
                <w:sz w:val="22"/>
                <w:szCs w:val="22"/>
              </w:rPr>
              <w:t>Contacts:</w:t>
            </w:r>
            <w:r>
              <w:rPr>
                <w:rFonts w:cs="Arial"/>
                <w:sz w:val="22"/>
                <w:szCs w:val="22"/>
              </w:rPr>
              <w:t xml:space="preserve"> </w:t>
            </w:r>
          </w:p>
          <w:p>
            <w:pPr>
              <w:pStyle w:val="Normal"/>
              <w:widowControl w:val="false"/>
              <w:overflowPunct w:val="true"/>
              <w:textAlignment w:val="baseline"/>
              <w:rPr>
                <w:rFonts w:cs="Arial"/>
                <w:sz w:val="22"/>
                <w:szCs w:val="22"/>
                <w:lang w:val="en-US"/>
              </w:rPr>
            </w:pPr>
            <w:r>
              <w:rPr>
                <w:rFonts w:cs="Arial"/>
                <w:sz w:val="22"/>
                <w:szCs w:val="22"/>
                <w:lang w:val="en-US"/>
              </w:rPr>
              <w:t>Elected members and staff in the Commissioning Directorate and other Departments within the council.</w:t>
            </w:r>
          </w:p>
          <w:p>
            <w:pPr>
              <w:pStyle w:val="Normal"/>
              <w:widowControl w:val="false"/>
              <w:overflowPunct w:val="true"/>
              <w:textAlignment w:val="baseline"/>
              <w:rPr>
                <w:rFonts w:cs="Arial"/>
                <w:sz w:val="22"/>
                <w:szCs w:val="22"/>
                <w:lang w:val="en-US"/>
              </w:rPr>
            </w:pPr>
            <w:r>
              <w:rPr>
                <w:rFonts w:cs="Arial"/>
                <w:sz w:val="22"/>
                <w:szCs w:val="22"/>
                <w:lang w:val="en-US"/>
              </w:rPr>
              <w:t>Governors, head teachers and senior staff in schools and other educational establishments.</w:t>
            </w:r>
          </w:p>
          <w:p>
            <w:pPr>
              <w:pStyle w:val="Normal"/>
              <w:widowControl w:val="false"/>
              <w:overflowPunct w:val="true"/>
              <w:textAlignment w:val="baseline"/>
              <w:rPr>
                <w:rFonts w:cs="Arial"/>
                <w:sz w:val="22"/>
                <w:szCs w:val="22"/>
                <w:lang w:val="en-US"/>
              </w:rPr>
            </w:pPr>
            <w:r>
              <w:rPr>
                <w:rFonts w:cs="Arial"/>
                <w:sz w:val="22"/>
                <w:szCs w:val="22"/>
                <w:lang w:val="en-US"/>
              </w:rPr>
              <w:t>Pupils &amp; students and their parents &amp; carers.</w:t>
            </w:r>
          </w:p>
          <w:p>
            <w:pPr>
              <w:pStyle w:val="Normal"/>
              <w:widowControl w:val="false"/>
              <w:overflowPunct w:val="true"/>
              <w:textAlignment w:val="baseline"/>
              <w:rPr>
                <w:rFonts w:cs="Arial"/>
                <w:sz w:val="22"/>
                <w:szCs w:val="22"/>
                <w:lang w:val="en-US"/>
              </w:rPr>
            </w:pPr>
            <w:r>
              <w:rPr>
                <w:rFonts w:cs="Arial"/>
                <w:sz w:val="22"/>
                <w:szCs w:val="22"/>
                <w:lang w:val="en-US"/>
              </w:rPr>
              <w:t>DfE, national and regional groups.</w:t>
            </w:r>
          </w:p>
          <w:p>
            <w:pPr>
              <w:pStyle w:val="Normal"/>
              <w:widowControl w:val="false"/>
              <w:overflowPunct w:val="true"/>
              <w:textAlignment w:val="baseline"/>
              <w:rPr>
                <w:rFonts w:cs="Arial"/>
                <w:sz w:val="22"/>
                <w:szCs w:val="22"/>
                <w:lang w:val="en-US"/>
              </w:rPr>
            </w:pPr>
            <w:r>
              <w:rPr>
                <w:rFonts w:cs="Arial"/>
                <w:sz w:val="22"/>
                <w:szCs w:val="22"/>
                <w:lang w:val="en-US"/>
              </w:rPr>
              <w:t>Representatives of partner organisations including trade unions, health services, police, and the voluntary sector.</w:t>
            </w:r>
          </w:p>
          <w:p>
            <w:pPr>
              <w:pStyle w:val="Normal"/>
              <w:rPr>
                <w:rFonts w:cs="Arial"/>
                <w:sz w:val="22"/>
                <w:szCs w:val="22"/>
                <w:lang w:val="en-US"/>
              </w:rPr>
            </w:pPr>
            <w:r>
              <w:rPr>
                <w:rFonts w:cs="Arial"/>
                <w:sz w:val="22"/>
                <w:szCs w:val="22"/>
                <w:lang w:val="en-US"/>
              </w:rPr>
              <w:t>Members of the public.</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bookmarkStart w:id="2" w:name="_Hlk95121094"/>
      <w:bookmarkStart w:id="3" w:name="_Hlk95121094"/>
      <w:bookmarkEnd w:id="3"/>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rPr>
            </w:pPr>
            <w:r>
              <w:rPr>
                <w:rFonts w:cs="Arial"/>
              </w:rPr>
              <w:t>Relationship To Other Posts in the Department:</w:t>
            </w:r>
          </w:p>
          <w:p>
            <w:pPr>
              <w:pStyle w:val="Normal"/>
              <w:rPr>
                <w:rFonts w:cs="Arial"/>
                <w:sz w:val="22"/>
                <w:szCs w:val="22"/>
              </w:rPr>
            </w:pPr>
            <w:r>
              <w:rPr>
                <w:rFonts w:cs="Arial"/>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Head of SEND and Inclusion or SEND Team Manager</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N/A</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 xml:space="preserve">Special Conditions: </w:t>
            </w:r>
          </w:p>
          <w:p>
            <w:pPr>
              <w:pStyle w:val="Normal"/>
              <w:rPr>
                <w:rFonts w:cs="Arial"/>
                <w:b/>
                <w:b/>
                <w:sz w:val="22"/>
                <w:szCs w:val="22"/>
              </w:rPr>
            </w:pPr>
            <w:r>
              <w:rPr>
                <w:rFonts w:cs="Arial"/>
                <w:b/>
                <w:sz w:val="22"/>
                <w:szCs w:val="22"/>
              </w:rPr>
            </w:r>
          </w:p>
          <w:p>
            <w:pPr>
              <w:pStyle w:val="Normal"/>
              <w:rPr>
                <w:rFonts w:cs="Arial"/>
                <w:sz w:val="22"/>
                <w:szCs w:val="22"/>
              </w:rPr>
            </w:pPr>
            <w:r>
              <w:rPr>
                <w:rFonts w:cs="Arial"/>
                <w:sz w:val="22"/>
                <w:szCs w:val="22"/>
              </w:rPr>
              <w:t>DBS – Enhanced</w:t>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sz w:val="22"/>
                <w:szCs w:val="22"/>
              </w:rPr>
            </w:pPr>
            <w:r>
              <w:rPr>
                <w:rFonts w:cs="Arial"/>
                <w:b/>
                <w:sz w:val="22"/>
                <w:szCs w:val="22"/>
              </w:rPr>
              <w:t>Values and Behaviours:</w:t>
            </w:r>
          </w:p>
          <w:p>
            <w:pPr>
              <w:pStyle w:val="Normal"/>
              <w:rPr>
                <w:rFonts w:cs="Arial"/>
                <w:b/>
                <w:b/>
                <w:sz w:val="22"/>
                <w:szCs w:val="22"/>
              </w:rPr>
            </w:pPr>
            <w:r>
              <w:rPr>
                <w:rFonts w:cs="Arial"/>
                <w:b/>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numPr>
                <w:ilvl w:val="0"/>
                <w:numId w:val="2"/>
              </w:numPr>
              <w:spacing w:before="280" w:after="28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4"/>
              </w:numPr>
              <w:rPr>
                <w:rFonts w:ascii="Arial" w:hAnsi="Arial" w:eastAsia="Arial" w:cs="Arial"/>
              </w:rPr>
            </w:pPr>
            <w:r>
              <w:rPr>
                <w:rFonts w:eastAsia="Arial" w:cs="Arial" w:ascii="Arial" w:hAnsi="Arial"/>
              </w:rPr>
              <w:t>Work with a Resident Focus</w:t>
            </w:r>
          </w:p>
          <w:p>
            <w:pPr>
              <w:pStyle w:val="ListParagraph"/>
              <w:numPr>
                <w:ilvl w:val="0"/>
                <w:numId w:val="4"/>
              </w:numPr>
              <w:rPr>
                <w:rFonts w:ascii="Arial" w:hAnsi="Arial" w:eastAsia="Arial" w:cs="Arial"/>
              </w:rPr>
            </w:pPr>
            <w:r>
              <w:rPr>
                <w:rFonts w:eastAsia="Arial" w:cs="Arial" w:ascii="Arial" w:hAnsi="Arial"/>
              </w:rPr>
              <w:t>Support Local Leaders</w:t>
            </w:r>
          </w:p>
          <w:p>
            <w:pPr>
              <w:pStyle w:val="ListParagraph"/>
              <w:numPr>
                <w:ilvl w:val="0"/>
                <w:numId w:val="4"/>
              </w:numPr>
              <w:rPr>
                <w:rFonts w:ascii="Arial" w:hAnsi="Arial" w:eastAsia="Arial" w:cs="Arial"/>
              </w:rPr>
            </w:pPr>
            <w:r>
              <w:rPr>
                <w:rFonts w:eastAsia="Arial" w:cs="Arial" w:ascii="Arial" w:hAnsi="Arial"/>
              </w:rPr>
              <w:t>Committed to the Borough</w:t>
            </w:r>
          </w:p>
          <w:p>
            <w:pPr>
              <w:pStyle w:val="ListParagraph"/>
              <w:numPr>
                <w:ilvl w:val="0"/>
                <w:numId w:val="4"/>
              </w:numPr>
              <w:rPr>
                <w:rFonts w:ascii="Arial" w:hAnsi="Arial" w:eastAsia="Arial" w:cs="Arial"/>
              </w:rPr>
            </w:pPr>
            <w:r>
              <w:rPr>
                <w:rFonts w:eastAsia="Arial" w:cs="Arial" w:ascii="Arial" w:hAnsi="Arial"/>
              </w:rPr>
              <w:t>Take Ownership and Drive Change</w:t>
            </w:r>
          </w:p>
          <w:p>
            <w:pPr>
              <w:pStyle w:val="ListParagraph"/>
              <w:numPr>
                <w:ilvl w:val="0"/>
                <w:numId w:val="4"/>
              </w:numPr>
              <w:rPr>
                <w:rFonts w:ascii="Arial" w:hAnsi="Arial" w:eastAsia="Arial" w:cs="Arial"/>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Internet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z w:val="22"/>
                <w:szCs w:val="22"/>
              </w:rPr>
            </w:pPr>
            <w:r>
              <w:rPr>
                <w:rFonts w:cs="Arial"/>
                <w:b/>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31.05.2026</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 xml:space="preserve">Katie Charlton </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sz w:val="22"/>
                <w:szCs w:val="22"/>
              </w:rPr>
            </w:pPr>
            <w:r>
              <w:rPr>
                <w:rFonts w:cs="Arial"/>
                <w:sz w:val="22"/>
                <w:szCs w:val="22"/>
              </w:rPr>
              <w:t>Assistant Director SEND and Inclusion</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
        <w:rPr/>
      </w:pPr>
      <w:r>
        <w:rPr>
          <w:rFonts w:cs="Arial" w:ascii="Arial" w:hAnsi="Arial"/>
          <w:b/>
          <w:bCs/>
          <w:sz w:val="22"/>
          <w:szCs w:val="22"/>
        </w:rPr>
        <w:t xml:space="preserve">Job Title:      </w:t>
      </w:r>
      <w:r>
        <w:rPr>
          <w:rFonts w:cs="Arial" w:ascii="Arial" w:hAnsi="Arial"/>
          <w:sz w:val="22"/>
          <w:szCs w:val="22"/>
        </w:rPr>
        <w:t>SEND Family Liaison &amp; Tribunal Lead</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 xml:space="preserve">Selection criteria </w:t>
            </w:r>
          </w:p>
          <w:p>
            <w:pPr>
              <w:pStyle w:val="Normal"/>
              <w:jc w:val="center"/>
              <w:rPr>
                <w:rFonts w:cs="Arial"/>
                <w:b/>
                <w:b/>
                <w:bCs/>
                <w:sz w:val="22"/>
                <w:szCs w:val="22"/>
              </w:rPr>
            </w:pPr>
            <w:r>
              <w:rPr>
                <w:rFonts w:cs="Arial"/>
                <w:b/>
                <w:bCs/>
                <w:sz w:val="22"/>
                <w:szCs w:val="22"/>
              </w:rPr>
              <w:t>(Desirable)</w:t>
            </w:r>
          </w:p>
          <w:p>
            <w:pPr>
              <w:pStyle w:val="Normal"/>
              <w:jc w:val="center"/>
              <w:rPr>
                <w:rFonts w:cs="Arial"/>
                <w:b/>
                <w:b/>
                <w:bCs/>
                <w:sz w:val="22"/>
                <w:szCs w:val="22"/>
              </w:rPr>
            </w:pPr>
            <w:r>
              <w:rPr>
                <w:rFonts w:cs="Arial"/>
                <w:b/>
                <w:bCs/>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sz w:val="22"/>
                <w:szCs w:val="22"/>
              </w:rPr>
            </w:pPr>
            <w:r>
              <w:rPr>
                <w:rFonts w:cs="Arial"/>
                <w:b/>
                <w:bCs/>
                <w:sz w:val="22"/>
                <w:szCs w:val="22"/>
              </w:rPr>
            </w:r>
          </w:p>
          <w:p>
            <w:pPr>
              <w:pStyle w:val="Normal"/>
              <w:jc w:val="center"/>
              <w:rPr>
                <w:rFonts w:cs="Arial"/>
                <w:b/>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Education &amp; Qualifications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Educated to degree level or equivalent related experience.</w:t>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Cs w:val="22"/>
              </w:rPr>
            </w:pPr>
            <w:r>
              <w:rPr>
                <w:rFonts w:cs="Arial"/>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Endnote"/>
              <w:jc w:val="center"/>
              <w:rPr>
                <w:rFonts w:ascii="Arial" w:hAnsi="Arial" w:cs="Arial"/>
                <w:sz w:val="22"/>
                <w:szCs w:val="22"/>
              </w:rPr>
            </w:pPr>
            <w:r>
              <w:rPr>
                <w:rFonts w:cs="Arial" w:ascii="Arial" w:hAnsi="Arial"/>
                <w:sz w:val="22"/>
                <w:szCs w:val="22"/>
              </w:rPr>
              <w:t>AF</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Experience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widowControl w:val="false"/>
              <w:overflowPunct w:val="true"/>
              <w:textAlignment w:val="baseline"/>
              <w:rPr>
                <w:rFonts w:cs="Arial"/>
                <w:sz w:val="22"/>
                <w:szCs w:val="22"/>
              </w:rPr>
            </w:pPr>
            <w:r>
              <w:rPr>
                <w:rFonts w:cs="Arial"/>
                <w:sz w:val="22"/>
                <w:szCs w:val="22"/>
              </w:rPr>
              <w:t>Experience of using person centred approaches to work with children, young people and their families</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Substantial experience of working within the framework of SEND legislation and associated regulation and guidance</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Demonstrable experience of delivering high quality service, working to statutory requirements</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Experience of supervising staff, delegating tasks appropriately and quality assuring their work</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Experience of developing &amp; implementing office systems within a programme of continuous improvement</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Experience of using computer packages for word processing, spreadsheets, databases and researching information.</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Experience of preparing and delivering presentations to a range of audiences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Working in partnership with schools and associated services and agencies</w:t>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ind w:left="360" w:right="0" w:hanging="0"/>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Skills &amp; Abilities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widowControl w:val="false"/>
              <w:overflowPunct w:val="true"/>
              <w:textAlignment w:val="baseline"/>
              <w:rPr>
                <w:rFonts w:cs="Arial"/>
                <w:sz w:val="22"/>
                <w:szCs w:val="22"/>
              </w:rPr>
            </w:pPr>
            <w:r>
              <w:rPr>
                <w:rFonts w:cs="Arial"/>
                <w:sz w:val="22"/>
                <w:szCs w:val="22"/>
              </w:rPr>
              <w:t>Ability to work well with, and relate to, all sections of the community</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Ability to supervise &amp; motivate staff</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Ability to be flexible and responsive to deal with conflict &amp; change</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Ability to work within the political environment of Local Government</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Highly developed written &amp; oral communication skills and the ability to negotiate with people at a variety of levels.</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Able to analyse complex information, solve problems and produce clear &amp; concise reports.</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Ability to use initiative to respond to unexpected problems using recognised procedures &amp; policies as a guide.</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Ability to complete tasks to potentially conflicting deadlines, re-prioritising own work as appropriate.</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Ability to work effectively as an individual and as a member of a team.</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Endnote"/>
              <w:jc w:val="center"/>
              <w:rPr>
                <w:rFonts w:ascii="Arial" w:hAnsi="Arial" w:cs="Arial"/>
                <w:sz w:val="22"/>
                <w:szCs w:val="22"/>
              </w:rPr>
            </w:pPr>
            <w:r>
              <w:rPr>
                <w:rFonts w:cs="Arial" w:ascii="Arial" w:hAnsi="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Knowledge</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widowControl w:val="false"/>
              <w:overflowPunct w:val="true"/>
              <w:textAlignment w:val="baseline"/>
              <w:rPr>
                <w:rFonts w:cs="Arial"/>
                <w:sz w:val="22"/>
                <w:szCs w:val="22"/>
                <w:lang w:val="en-US"/>
              </w:rPr>
            </w:pPr>
            <w:r>
              <w:rPr>
                <w:rFonts w:cs="Arial"/>
                <w:sz w:val="22"/>
                <w:szCs w:val="22"/>
                <w:lang w:val="en-US"/>
              </w:rPr>
              <w:t>Significant knowledge of the Children and Families Act and SEND Code of Practice</w:t>
            </w:r>
          </w:p>
          <w:p>
            <w:pPr>
              <w:pStyle w:val="Normal"/>
              <w:widowControl w:val="false"/>
              <w:overflowPunct w:val="true"/>
              <w:ind w:left="360" w:right="0" w:hanging="0"/>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lang w:val="en-US"/>
              </w:rPr>
            </w:pPr>
            <w:r>
              <w:rPr>
                <w:rFonts w:cs="Arial"/>
                <w:sz w:val="22"/>
                <w:szCs w:val="22"/>
                <w:lang w:val="en-US"/>
              </w:rPr>
              <w:t>Knowledge of Word, Excel &amp; Powerpoint computer packages</w:t>
            </w:r>
          </w:p>
          <w:p>
            <w:pPr>
              <w:pStyle w:val="Normal"/>
              <w:widowControl w:val="false"/>
              <w:overflowPunct w:val="true"/>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pPr>
            <w:r>
              <w:rPr>
                <w:rFonts w:cs="Arial"/>
                <w:sz w:val="22"/>
                <w:szCs w:val="22"/>
                <w:lang w:val="en-US"/>
              </w:rPr>
              <w:t xml:space="preserve">Comprehensive and detailed knowledge of legislation, guidance, policy &amp; procedure in relation to </w:t>
            </w:r>
            <w:r>
              <w:rPr>
                <w:rFonts w:cs="Arial"/>
                <w:sz w:val="22"/>
                <w:szCs w:val="22"/>
              </w:rPr>
              <w:t>special educational needs and disability.</w:t>
            </w:r>
          </w:p>
          <w:p>
            <w:pPr>
              <w:pStyle w:val="Normal"/>
              <w:widowControl w:val="false"/>
              <w:overflowPunct w:val="true"/>
              <w:ind w:left="360" w:right="0" w:hanging="0"/>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rPr>
            </w:pPr>
            <w:r>
              <w:rPr>
                <w:rFonts w:cs="Arial"/>
                <w:sz w:val="22"/>
                <w:szCs w:val="22"/>
              </w:rPr>
              <w:t>Knowledge of educational attainment and progress measures</w:t>
            </w:r>
          </w:p>
          <w:p>
            <w:pPr>
              <w:pStyle w:val="Normal"/>
              <w:widowControl w:val="false"/>
              <w:overflowPunct w:val="true"/>
              <w:ind w:left="360" w:right="0" w:hanging="0"/>
              <w:textAlignment w:val="baseline"/>
              <w:rPr>
                <w:rFonts w:cs="Arial"/>
                <w:sz w:val="22"/>
                <w:szCs w:val="22"/>
                <w:lang w:val="en-US"/>
              </w:rPr>
            </w:pPr>
            <w:r>
              <w:rPr>
                <w:rFonts w:cs="Arial"/>
                <w:sz w:val="22"/>
                <w:szCs w:val="22"/>
                <w:lang w:val="en-US"/>
              </w:rPr>
            </w:r>
          </w:p>
          <w:p>
            <w:pPr>
              <w:pStyle w:val="Normal"/>
              <w:widowControl w:val="false"/>
              <w:overflowPunct w:val="true"/>
              <w:textAlignment w:val="baseline"/>
              <w:rPr>
                <w:rFonts w:cs="Arial"/>
                <w:sz w:val="22"/>
                <w:szCs w:val="22"/>
              </w:rPr>
            </w:pPr>
            <w:r>
              <w:rPr>
                <w:rFonts w:cs="Arial"/>
                <w:sz w:val="22"/>
                <w:szCs w:val="22"/>
              </w:rPr>
              <w:t>Knowledge of Social Care practice in respect of children and young people with SEN and Disability</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sz w:val="22"/>
                <w:szCs w:val="22"/>
              </w:rPr>
            </w:pPr>
            <w:r>
              <w:rPr>
                <w:rFonts w:cs="Arial"/>
                <w:b/>
                <w:bCs/>
                <w:sz w:val="22"/>
                <w:szCs w:val="22"/>
              </w:rPr>
            </w:r>
          </w:p>
          <w:p>
            <w:pPr>
              <w:pStyle w:val="TextBody"/>
              <w:rPr>
                <w:rFonts w:cs="Arial"/>
                <w:bCs/>
                <w:szCs w:val="22"/>
              </w:rPr>
            </w:pPr>
            <w:r>
              <w:rPr>
                <w:rFonts w:cs="Arial"/>
                <w:bCs/>
                <w:szCs w:val="22"/>
              </w:rPr>
              <w:t>Work Circumstances</w:t>
            </w:r>
          </w:p>
          <w:p>
            <w:pPr>
              <w:pStyle w:val="Normal"/>
              <w:rPr>
                <w:rFonts w:cs="Arial"/>
                <w:b/>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widowControl w:val="false"/>
              <w:overflowPunct w:val="true"/>
              <w:textAlignment w:val="baseline"/>
              <w:rPr>
                <w:rFonts w:cs="Arial"/>
                <w:sz w:val="22"/>
                <w:szCs w:val="22"/>
              </w:rPr>
            </w:pPr>
            <w:r>
              <w:rPr>
                <w:rFonts w:cs="Arial"/>
                <w:sz w:val="22"/>
                <w:szCs w:val="22"/>
              </w:rPr>
              <w:t>Commitment to personal &amp; professional development</w:t>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ind w:left="360" w:right="0" w:hanging="0"/>
              <w:textAlignment w:val="baseline"/>
              <w:rPr>
                <w:rFonts w:cs="Arial"/>
                <w:sz w:val="22"/>
                <w:szCs w:val="22"/>
              </w:rPr>
            </w:pPr>
            <w:r>
              <w:rPr>
                <w:rFonts w:cs="Arial"/>
                <w:sz w:val="22"/>
                <w:szCs w:val="22"/>
              </w:rPr>
            </w:r>
          </w:p>
          <w:p>
            <w:pPr>
              <w:pStyle w:val="Normal"/>
              <w:widowControl w:val="false"/>
              <w:overflowPunct w:val="true"/>
              <w:textAlignment w:val="baseline"/>
              <w:rPr>
                <w:rFonts w:cs="Arial"/>
                <w:sz w:val="22"/>
                <w:szCs w:val="22"/>
              </w:rPr>
            </w:pPr>
            <w:r>
              <w:rPr>
                <w:rFonts w:cs="Arial"/>
                <w:sz w:val="22"/>
                <w:szCs w:val="22"/>
              </w:rPr>
              <w:t xml:space="preserve">Able to visit all the council’s premises &amp; sites </w:t>
            </w:r>
          </w:p>
          <w:p>
            <w:pPr>
              <w:pStyle w:val="Normal"/>
              <w:ind w:left="360" w:right="0" w:hanging="0"/>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ind w:left="360" w:right="0" w:hanging="0"/>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ind w:left="360" w:right="0" w:hanging="0"/>
              <w:jc w:val="center"/>
              <w:rPr>
                <w:rFonts w:cs="Arial"/>
                <w:sz w:val="22"/>
                <w:szCs w:val="22"/>
              </w:rPr>
            </w:pPr>
            <w:r>
              <w:rPr>
                <w:rFonts w:cs="Arial"/>
                <w:sz w:val="22"/>
                <w:szCs w:val="22"/>
              </w:rPr>
              <w:t>I</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and have previously been in or currently in care, those that are carers, and those whose last long term substantive employer was the Armed Forces.</w:t>
      </w:r>
    </w:p>
    <w:p>
      <w:pPr>
        <w:pStyle w:val="Normal"/>
        <w:jc w:val="both"/>
        <w:rPr/>
      </w:pPr>
      <w:r>
        <w:rPr/>
      </w:r>
    </w:p>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Helvetic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InternetLink">
    <w:name w:val="Internet Link"/>
    <w:basedOn w:val="DefaultParagraphFont"/>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2026-08-11T09:14:00Z</dcterms:created>
  <dc:creator>OMBC</dc:creator>
  <dc:description/>
  <dc:language>en-US</dc:language>
  <cp:lastModifiedBy>Sophie Whittaker</cp:lastModifiedBy>
  <cp:lastPrinted>1995-11-21T17:41:00Z</cp:lastPrinted>
  <dcterms:modified xsi:type="dcterms:W3CDTF">2026-08-11T09:14:00Z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