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rFonts w:cs="Arial"/>
          <w:sz w:val="22"/>
          <w:szCs w:val="22"/>
        </w:rPr>
      </w:pPr>
      <w:r>
        <w:rPr>
          <w:rFonts w:cs="Arial"/>
          <w:sz w:val="22"/>
          <w:szCs w:val="22"/>
        </w:rPr>
        <mc:AlternateContent>
          <mc:Choice Requires="wps">
            <w:drawing>
              <wp:anchor behindDoc="0" distT="0" distB="0" distL="114935" distR="114935" simplePos="0" locked="0" layoutInCell="1" allowOverlap="1" relativeHeight="2">
                <wp:simplePos x="0" y="0"/>
                <wp:positionH relativeFrom="column">
                  <wp:posOffset>5029200</wp:posOffset>
                </wp:positionH>
                <wp:positionV relativeFrom="paragraph">
                  <wp:posOffset>-114300</wp:posOffset>
                </wp:positionV>
                <wp:extent cx="1146810" cy="1187450"/>
                <wp:effectExtent l="0" t="0" r="0" b="0"/>
                <wp:wrapNone/>
                <wp:docPr id="1" name="Text Box 2"/>
                <a:graphic xmlns:a="http://schemas.openxmlformats.org/drawingml/2006/main">
                  <a:graphicData uri="http://schemas.microsoft.com/office/word/2010/wordprocessingShape">
                    <wps:wsp>
                      <wps:cNvSpPr/>
                      <wps:spPr>
                        <a:xfrm>
                          <a:off x="0" y="0"/>
                          <a:ext cx="11469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f" o:allowincell="f" style="position:absolute;margin-left:396pt;margin-top:-9pt;width:90.25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0" simplePos="0" locked="0" layoutInCell="1" allowOverlap="1" relativeHeight="4">
                <wp:simplePos x="0" y="0"/>
                <wp:positionH relativeFrom="column">
                  <wp:posOffset>5029200</wp:posOffset>
                </wp:positionH>
                <wp:positionV relativeFrom="paragraph">
                  <wp:posOffset>-114300</wp:posOffset>
                </wp:positionV>
                <wp:extent cx="1146810" cy="1187450"/>
                <wp:effectExtent l="0" t="0" r="0" b="0"/>
                <wp:wrapNone/>
                <wp:docPr id="2" name="Frame1"/>
                <a:graphic xmlns:a="http://schemas.openxmlformats.org/drawingml/2006/main">
                  <a:graphicData uri="http://schemas.microsoft.com/office/word/2010/wordprocessingShape">
                    <wps:wsp>
                      <wps:cNvSpPr txBox="1"/>
                      <wps:spPr>
                        <a:xfrm>
                          <a:off x="0" y="0"/>
                          <a:ext cx="1146810" cy="1187450"/>
                        </a:xfrm>
                        <a:prstGeom prst="rect"/>
                        <a:solidFill>
                          <a:srgbClr val="FFFFFF"/>
                        </a:solidFill>
                      </wps:spPr>
                      <wps:txbx>
                        <w:txbxContent>
                          <w:p>
                            <w:pPr>
                              <w:pStyle w:val="FrameContents"/>
                              <w:rPr/>
                            </w:pPr>
                            <w:r>
                              <w:rPr/>
                              <w:drawing>
                                <wp:inline distT="0" distB="0" distL="0" distR="0">
                                  <wp:extent cx="961390" cy="1094740"/>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40" t="-35" r="-40" b="-35"/>
                                          <a:stretch>
                                            <a:fillRect/>
                                          </a:stretch>
                                        </pic:blipFill>
                                        <pic:spPr bwMode="auto">
                                          <a:xfrm>
                                            <a:off x="0" y="0"/>
                                            <a:ext cx="961390" cy="109474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3pt;height:93.5pt;mso-wrap-distance-left:0pt;mso-wrap-distance-right:0pt;mso-wrap-distance-top:5.7pt;mso-wrap-distance-bottom:5.7pt;margin-top:-9pt;mso-position-vertical-relative:text;margin-left:396pt;mso-position-horizontal-relative:text">
                <v:textbox inset="0.100694444444444in,0.0506944444444444in,0.100694444444444in,0.0506944444444444in">
                  <w:txbxContent>
                    <w:p>
                      <w:pPr>
                        <w:pStyle w:val="FrameContents"/>
                        <w:rPr/>
                      </w:pPr>
                      <w:r>
                        <w:rPr/>
                        <w:drawing>
                          <wp:inline distT="0" distB="0" distL="0" distR="0">
                            <wp:extent cx="961390" cy="1094740"/>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40" t="-35" r="-40" b="-35"/>
                                    <a:stretch>
                                      <a:fillRect/>
                                    </a:stretch>
                                  </pic:blipFill>
                                  <pic:spPr bwMode="auto">
                                    <a:xfrm>
                                      <a:off x="0" y="0"/>
                                      <a:ext cx="961390" cy="1094740"/>
                                    </a:xfrm>
                                    <a:prstGeom prst="rect">
                                      <a:avLst/>
                                    </a:prstGeom>
                                  </pic:spPr>
                                </pic:pic>
                              </a:graphicData>
                            </a:graphic>
                          </wp:inline>
                        </w:drawing>
                      </w:r>
                    </w:p>
                  </w:txbxContent>
                </v:textbox>
                <w10:wrap type="none"/>
              </v:rect>
            </w:pict>
          </mc:Fallback>
        </mc:AlternateContent>
      </w:r>
    </w:p>
    <w:p>
      <w:pPr>
        <w:pStyle w:val="Heading1"/>
        <w:spacing w:lineRule="auto" w:line="240"/>
        <w:ind w:hanging="0" w:left="0"/>
        <w:rPr>
          <w:rFonts w:cs="Arial"/>
          <w:sz w:val="22"/>
          <w:szCs w:val="22"/>
        </w:rPr>
      </w:pPr>
      <w:r>
        <w:rPr>
          <w:rFonts w:cs="Arial"/>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JOB DESCRIPTION</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r>
    </w:p>
    <w:tbl>
      <w:tblPr>
        <w:tblW w:w="10439" w:type="dxa"/>
        <w:jc w:val="left"/>
        <w:tblInd w:w="-504" w:type="dxa"/>
        <w:tblLayout w:type="fixed"/>
        <w:tblCellMar>
          <w:top w:w="0" w:type="dxa"/>
          <w:left w:w="108" w:type="dxa"/>
          <w:bottom w:w="0" w:type="dxa"/>
          <w:right w:w="108" w:type="dxa"/>
        </w:tblCellMar>
      </w:tblPr>
      <w:tblGrid>
        <w:gridCol w:w="1451"/>
        <w:gridCol w:w="2869"/>
        <w:gridCol w:w="2179"/>
        <w:gridCol w:w="3940"/>
      </w:tblGrid>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color w:val="FFFFFF"/>
                <w:sz w:val="22"/>
                <w:szCs w:val="22"/>
              </w:rPr>
            </w:pPr>
            <w:r>
              <w:rPr>
                <w:rFonts w:cs="Arial"/>
                <w:b/>
                <w:color w:val="FFFFFF"/>
                <w:sz w:val="22"/>
                <w:szCs w:val="22"/>
              </w:rPr>
              <w:t xml:space="preserve">Job Title: </w:t>
            </w:r>
          </w:p>
          <w:p>
            <w:pPr>
              <w:pStyle w:val="Normal"/>
              <w:rPr>
                <w:rFonts w:cs="Arial"/>
                <w:color w:val="FFFFFF"/>
                <w:sz w:val="22"/>
                <w:szCs w:val="22"/>
              </w:rPr>
            </w:pPr>
            <w:r>
              <w:rPr>
                <w:rFonts w:cs="Arial"/>
                <w:color w:val="FFFFFF"/>
                <w:sz w:val="22"/>
                <w:szCs w:val="22"/>
              </w:rPr>
            </w:r>
          </w:p>
        </w:tc>
        <w:tc>
          <w:tcPr>
            <w:tcW w:w="8988" w:type="dxa"/>
            <w:gridSpan w:val="3"/>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Senior Accountant</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color w:val="FFFFFF"/>
                <w:sz w:val="22"/>
                <w:szCs w:val="22"/>
              </w:rPr>
              <w:t>Directorate:</w:t>
            </w:r>
            <w:r>
              <w:rPr>
                <w:rFonts w:cs="Arial"/>
                <w:color w:val="FFFFFF"/>
                <w:sz w:val="22"/>
                <w:szCs w:val="22"/>
              </w:rPr>
              <w:t xml:space="preserve">  </w:t>
            </w:r>
          </w:p>
        </w:tc>
        <w:tc>
          <w:tcPr>
            <w:tcW w:w="2869"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Chief Executives &amp; Corporate Services</w:t>
            </w:r>
          </w:p>
        </w:tc>
        <w:tc>
          <w:tcPr>
            <w:tcW w:w="2179" w:type="dxa"/>
            <w:tcBorders>
              <w:top w:val="single" w:sz="4" w:space="0" w:color="000000"/>
              <w:bottom w:val="single" w:sz="4" w:space="0" w:color="000000"/>
              <w:right w:val="single" w:sz="4" w:space="0" w:color="000000"/>
            </w:tcBorders>
            <w:shd w:fill="00B3BE" w:val="clear"/>
          </w:tcPr>
          <w:p>
            <w:pPr>
              <w:pStyle w:val="Normal"/>
              <w:rPr/>
            </w:pPr>
            <w:r>
              <w:rPr>
                <w:rFonts w:cs="Arial"/>
                <w:b/>
                <w:color w:val="FFFFFF"/>
                <w:sz w:val="22"/>
                <w:szCs w:val="22"/>
              </w:rPr>
              <w:t>Division/Section:</w:t>
            </w:r>
            <w:r>
              <w:rPr>
                <w:rFonts w:cs="Arial"/>
                <w:color w:val="FFFFFF"/>
                <w:sz w:val="22"/>
                <w:szCs w:val="22"/>
              </w:rPr>
              <w:t xml:space="preserve"> </w:t>
            </w:r>
          </w:p>
          <w:p>
            <w:pPr>
              <w:pStyle w:val="Normal"/>
              <w:rPr>
                <w:rFonts w:cs="Arial"/>
                <w:color w:val="FFFFFF"/>
                <w:sz w:val="22"/>
                <w:szCs w:val="22"/>
              </w:rPr>
            </w:pPr>
            <w:r>
              <w:rPr>
                <w:rFonts w:cs="Arial"/>
                <w:color w:val="FFFFFF"/>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Finance</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color w:val="FFFFFF"/>
                <w:sz w:val="22"/>
                <w:szCs w:val="22"/>
              </w:rPr>
            </w:pPr>
            <w:r>
              <w:rPr>
                <w:rFonts w:cs="Arial"/>
                <w:b/>
                <w:color w:val="FFFFFF"/>
                <w:sz w:val="22"/>
                <w:szCs w:val="22"/>
              </w:rPr>
              <w:t xml:space="preserve">Grade:  </w:t>
            </w:r>
          </w:p>
          <w:p>
            <w:pPr>
              <w:pStyle w:val="Normal"/>
              <w:rPr>
                <w:rFonts w:cs="Arial"/>
                <w:color w:val="FFFFFF"/>
                <w:sz w:val="22"/>
                <w:szCs w:val="22"/>
              </w:rPr>
            </w:pPr>
            <w:r>
              <w:rPr>
                <w:rFonts w:cs="Arial"/>
                <w:color w:val="FFFFFF"/>
                <w:sz w:val="22"/>
                <w:szCs w:val="22"/>
              </w:rPr>
            </w:r>
          </w:p>
        </w:tc>
        <w:tc>
          <w:tcPr>
            <w:tcW w:w="2869"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9</w:t>
            </w:r>
          </w:p>
        </w:tc>
        <w:tc>
          <w:tcPr>
            <w:tcW w:w="2179" w:type="dxa"/>
            <w:tcBorders>
              <w:top w:val="single" w:sz="4" w:space="0" w:color="000000"/>
              <w:bottom w:val="single" w:sz="4" w:space="0" w:color="000000"/>
              <w:right w:val="single" w:sz="4" w:space="0" w:color="000000"/>
            </w:tcBorders>
            <w:shd w:fill="00B3BE" w:val="clear"/>
          </w:tcPr>
          <w:p>
            <w:pPr>
              <w:pStyle w:val="Header"/>
              <w:tabs>
                <w:tab w:val="clear" w:pos="4153"/>
                <w:tab w:val="clear" w:pos="8306"/>
              </w:tabs>
              <w:rPr>
                <w:rFonts w:cs="Arial"/>
                <w:b/>
                <w:color w:val="FFFFFF"/>
                <w:szCs w:val="22"/>
              </w:rPr>
            </w:pPr>
            <w:r>
              <w:rPr>
                <w:rFonts w:cs="Arial"/>
                <w:b/>
                <w:color w:val="FFFFFF"/>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9249</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48" w:type="dxa"/>
        <w:jc w:val="left"/>
        <w:tblInd w:w="-493"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color w:val="FFFFFF"/>
                <w:sz w:val="22"/>
                <w:szCs w:val="22"/>
              </w:rPr>
            </w:pPr>
            <w:r>
              <w:rPr>
                <w:rFonts w:cs="Arial"/>
                <w:b/>
                <w:bCs/>
                <w:color w:val="FFFFFF"/>
                <w:sz w:val="22"/>
                <w:szCs w:val="22"/>
              </w:rPr>
              <w:t>Job Purpose</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assist the Finance Manager in the day to day operation of a Finance Team</w:t>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 xml:space="preserve">To ensure processes and plans are in place to support effective financial management of the Council and provide complete and accurate accounting and budget information for the relevant area </w:t>
            </w:r>
          </w:p>
          <w:p>
            <w:pPr>
              <w:pStyle w:val="Normal"/>
              <w:rPr>
                <w:rFonts w:cs="Arial"/>
                <w:bCs/>
                <w:sz w:val="22"/>
                <w:szCs w:val="22"/>
              </w:rPr>
            </w:pPr>
            <w:r>
              <w:rPr>
                <w:rFonts w:cs="Arial"/>
                <w:bCs/>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color w:val="FFFFFF"/>
                <w:sz w:val="22"/>
                <w:szCs w:val="22"/>
              </w:rPr>
            </w:pPr>
            <w:r>
              <w:rPr>
                <w:rFonts w:cs="Arial"/>
                <w:b/>
                <w:bCs/>
                <w:color w:val="FFFFFF"/>
                <w:sz w:val="22"/>
                <w:szCs w:val="22"/>
              </w:rPr>
              <w:t>Key Tasks</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paragraph"/>
              <w:spacing w:before="0" w:after="280"/>
              <w:textAlignment w:val="baseline"/>
              <w:rPr>
                <w:rFonts w:ascii="Arial" w:hAnsi="Arial" w:cs="Arial"/>
                <w:b/>
                <w:bCs/>
                <w:sz w:val="22"/>
                <w:szCs w:val="22"/>
              </w:rPr>
            </w:pPr>
            <w:r>
              <w:rPr>
                <w:rFonts w:cs="Arial" w:ascii="Arial" w:hAnsi="Arial"/>
                <w:b/>
                <w:bCs/>
                <w:sz w:val="22"/>
                <w:szCs w:val="22"/>
              </w:rPr>
              <w:t>Generic</w:t>
            </w:r>
          </w:p>
          <w:p>
            <w:pPr>
              <w:pStyle w:val="paragraph"/>
              <w:spacing w:before="280" w:after="280"/>
              <w:textAlignment w:val="baseline"/>
              <w:rPr>
                <w:rFonts w:ascii="Arial" w:hAnsi="Arial" w:cs="Arial"/>
                <w:sz w:val="22"/>
                <w:szCs w:val="22"/>
              </w:rPr>
            </w:pPr>
            <w:r>
              <w:rPr>
                <w:rFonts w:cs="Arial" w:ascii="Arial" w:hAnsi="Arial"/>
                <w:sz w:val="22"/>
                <w:szCs w:val="22"/>
              </w:rPr>
              <w:t>To assist the Finance Manager in providing technical advice, guidance, briefings and training appropriate to the audience on a range of financial issues relating to high profile projects/programmes</w:t>
            </w:r>
          </w:p>
          <w:p>
            <w:pPr>
              <w:pStyle w:val="paragraph"/>
              <w:spacing w:before="280" w:after="280"/>
              <w:textAlignment w:val="baseline"/>
              <w:rPr>
                <w:rFonts w:ascii="Arial" w:hAnsi="Arial" w:cs="Arial"/>
                <w:sz w:val="22"/>
                <w:szCs w:val="22"/>
              </w:rPr>
            </w:pPr>
            <w:r>
              <w:rPr>
                <w:rFonts w:cs="Arial" w:ascii="Arial" w:hAnsi="Arial"/>
                <w:sz w:val="22"/>
                <w:szCs w:val="22"/>
              </w:rPr>
              <w:t>To liaise on a daily basis with Heads of Service, budget holders and other officers on financial matters.</w:t>
            </w:r>
          </w:p>
          <w:p>
            <w:pPr>
              <w:pStyle w:val="paragraph"/>
              <w:spacing w:before="280" w:after="280"/>
              <w:textAlignment w:val="baseline"/>
              <w:rPr>
                <w:rFonts w:ascii="Arial" w:hAnsi="Arial" w:cs="Arial"/>
                <w:sz w:val="22"/>
                <w:szCs w:val="22"/>
              </w:rPr>
            </w:pPr>
            <w:r>
              <w:rPr>
                <w:rFonts w:cs="Arial" w:ascii="Arial" w:hAnsi="Arial"/>
                <w:sz w:val="22"/>
                <w:szCs w:val="22"/>
              </w:rPr>
              <w:t>To support the Finance Manager in undertaking full monthly or quarterly closedowns of their areas including Balance Sheet items as per the prepared timetable.</w:t>
            </w:r>
          </w:p>
          <w:p>
            <w:pPr>
              <w:pStyle w:val="paragraph"/>
              <w:spacing w:before="280" w:after="280"/>
              <w:textAlignment w:val="baseline"/>
              <w:rPr>
                <w:rFonts w:ascii="Arial" w:hAnsi="Arial" w:cs="Arial"/>
                <w:sz w:val="22"/>
                <w:szCs w:val="22"/>
              </w:rPr>
            </w:pPr>
            <w:r>
              <w:rPr>
                <w:rFonts w:cs="Arial" w:ascii="Arial" w:hAnsi="Arial"/>
                <w:sz w:val="22"/>
                <w:szCs w:val="22"/>
              </w:rPr>
              <w:t>Produce and present financial management information, budget monitoring and trading reports, which are accurate and timely, appropriate to the audience.</w:t>
            </w:r>
          </w:p>
          <w:p>
            <w:pPr>
              <w:pStyle w:val="paragraph"/>
              <w:spacing w:before="280" w:after="280"/>
              <w:textAlignment w:val="baseline"/>
              <w:rPr>
                <w:rFonts w:ascii="Arial" w:hAnsi="Arial" w:cs="Arial"/>
                <w:sz w:val="22"/>
                <w:szCs w:val="22"/>
              </w:rPr>
            </w:pPr>
            <w:r>
              <w:rPr>
                <w:rFonts w:cs="Arial" w:ascii="Arial" w:hAnsi="Arial"/>
                <w:sz w:val="22"/>
                <w:szCs w:val="22"/>
              </w:rPr>
              <w:t>Support the Assistant Borough Treasurer (ABT) and the Finance Manager (FM) in the closure of accounts for the relevant area. Ensure that the Income and Expenditure Account is accurate, all Balance Sheet items are reconciled and all holding accounts are cleared on a regular and timely basis.</w:t>
            </w:r>
          </w:p>
          <w:p>
            <w:pPr>
              <w:pStyle w:val="paragraph"/>
              <w:spacing w:before="280" w:after="280"/>
              <w:textAlignment w:val="baseline"/>
              <w:rPr>
                <w:rFonts w:ascii="Arial" w:hAnsi="Arial" w:cs="Arial"/>
                <w:sz w:val="22"/>
                <w:szCs w:val="22"/>
              </w:rPr>
            </w:pPr>
            <w:r>
              <w:rPr>
                <w:rFonts w:cs="Arial" w:ascii="Arial" w:hAnsi="Arial"/>
                <w:sz w:val="22"/>
                <w:szCs w:val="22"/>
              </w:rPr>
              <w:t>To complete all grant claims and statistical returns for their area on an accurate, timely and regular basis.</w:t>
            </w:r>
          </w:p>
          <w:p>
            <w:pPr>
              <w:pStyle w:val="paragraph"/>
              <w:spacing w:before="280" w:after="280"/>
              <w:textAlignment w:val="baseline"/>
              <w:rPr>
                <w:rFonts w:ascii="Arial" w:hAnsi="Arial" w:cs="Arial"/>
                <w:sz w:val="22"/>
                <w:szCs w:val="22"/>
              </w:rPr>
            </w:pPr>
            <w:r>
              <w:rPr>
                <w:rFonts w:cs="Arial" w:ascii="Arial" w:hAnsi="Arial"/>
                <w:sz w:val="22"/>
                <w:szCs w:val="22"/>
              </w:rPr>
              <w:t>Assist the ABT and FM in supporting the establishment of Arms Length Organisations, Partnerships and Traded Services, followed by the monitoring of their performance and evaluate and review as appropriate.</w:t>
            </w:r>
          </w:p>
          <w:p>
            <w:pPr>
              <w:pStyle w:val="paragraph"/>
              <w:spacing w:before="280" w:after="280"/>
              <w:textAlignment w:val="baseline"/>
              <w:rPr>
                <w:rFonts w:ascii="Arial" w:hAnsi="Arial" w:cs="Arial"/>
                <w:sz w:val="22"/>
                <w:szCs w:val="22"/>
              </w:rPr>
            </w:pPr>
            <w:r>
              <w:rPr>
                <w:rFonts w:cs="Arial" w:ascii="Arial" w:hAnsi="Arial"/>
                <w:sz w:val="22"/>
                <w:szCs w:val="22"/>
              </w:rPr>
              <w:t>Ensure both them and their area are following procedures and reference manuals to support consistent service delivery, and compliance with existing and anticipated legislation, regulations and codes of practice.</w:t>
            </w:r>
          </w:p>
          <w:p>
            <w:pPr>
              <w:pStyle w:val="paragraph"/>
              <w:spacing w:before="280" w:after="280"/>
              <w:textAlignment w:val="baseline"/>
              <w:rPr>
                <w:rFonts w:ascii="Arial" w:hAnsi="Arial" w:cs="Arial"/>
                <w:sz w:val="22"/>
                <w:szCs w:val="22"/>
              </w:rPr>
            </w:pPr>
            <w:r>
              <w:rPr>
                <w:rFonts w:cs="Arial" w:ascii="Arial" w:hAnsi="Arial"/>
                <w:sz w:val="22"/>
                <w:szCs w:val="22"/>
              </w:rPr>
              <w:t>Line management of staff directly reporting to this post and leadership to other posts within this section</w:t>
            </w:r>
          </w:p>
          <w:p>
            <w:pPr>
              <w:pStyle w:val="paragraph"/>
              <w:spacing w:before="280" w:after="280"/>
              <w:textAlignment w:val="baseline"/>
              <w:rPr>
                <w:rFonts w:ascii="Arial" w:hAnsi="Arial" w:cs="Arial"/>
                <w:sz w:val="22"/>
                <w:szCs w:val="22"/>
              </w:rPr>
            </w:pPr>
            <w:r>
              <w:rPr>
                <w:rFonts w:cs="Arial" w:ascii="Arial" w:hAnsi="Arial"/>
                <w:sz w:val="22"/>
                <w:szCs w:val="22"/>
              </w:rPr>
              <w:t>Ensure their service areas operational compliance with standing orders and standing financial instructions, internal and external audit requirements and value for money</w:t>
            </w:r>
          </w:p>
          <w:p>
            <w:pPr>
              <w:pStyle w:val="paragraph"/>
              <w:spacing w:before="280" w:after="280"/>
              <w:textAlignment w:val="baseline"/>
              <w:rPr>
                <w:rFonts w:ascii="Arial" w:hAnsi="Arial" w:cs="Arial"/>
                <w:sz w:val="22"/>
                <w:szCs w:val="22"/>
              </w:rPr>
            </w:pPr>
            <w:r>
              <w:rPr>
                <w:rFonts w:cs="Arial" w:ascii="Arial" w:hAnsi="Arial"/>
                <w:sz w:val="22"/>
                <w:szCs w:val="22"/>
              </w:rPr>
              <w:t>Promote and personally support the financial awareness and budget management training of managers to ensure that non-finance colleagues are equipped to deliver their budget, income and cost control responsibilities</w:t>
            </w:r>
          </w:p>
          <w:p>
            <w:pPr>
              <w:pStyle w:val="paragraph"/>
              <w:spacing w:before="280" w:after="280"/>
              <w:textAlignment w:val="baseline"/>
              <w:rPr>
                <w:rFonts w:ascii="Arial" w:hAnsi="Arial" w:cs="Arial"/>
                <w:sz w:val="22"/>
                <w:szCs w:val="22"/>
              </w:rPr>
            </w:pPr>
            <w:r>
              <w:rPr>
                <w:rFonts w:cs="Arial" w:ascii="Arial" w:hAnsi="Arial"/>
                <w:sz w:val="22"/>
                <w:szCs w:val="22"/>
              </w:rPr>
              <w:t xml:space="preserve">Create and reinforce a strong customer focused, responsive flexible, "can do" culture throughout the Department </w:t>
            </w:r>
          </w:p>
          <w:p>
            <w:pPr>
              <w:pStyle w:val="paragraph"/>
              <w:spacing w:before="280" w:after="280"/>
              <w:textAlignment w:val="baseline"/>
              <w:rPr>
                <w:rFonts w:ascii="Arial" w:hAnsi="Arial" w:cs="Arial"/>
                <w:sz w:val="22"/>
                <w:szCs w:val="22"/>
              </w:rPr>
            </w:pPr>
            <w:r>
              <w:rPr>
                <w:rFonts w:cs="Arial" w:ascii="Arial" w:hAnsi="Arial"/>
                <w:sz w:val="22"/>
                <w:szCs w:val="22"/>
              </w:rPr>
              <w:t>Assist the ABT &amp; FM in managing all contract, SLA and the like arrangements so they are financially robust, commercially sound and are supported by appropriate payment arrangements</w:t>
            </w:r>
          </w:p>
          <w:p>
            <w:pPr>
              <w:pStyle w:val="paragraph"/>
              <w:spacing w:before="280" w:after="280"/>
              <w:textAlignment w:val="baseline"/>
              <w:rPr>
                <w:rFonts w:ascii="Arial" w:hAnsi="Arial" w:cs="Arial"/>
                <w:sz w:val="22"/>
                <w:szCs w:val="22"/>
              </w:rPr>
            </w:pPr>
            <w:r>
              <w:rPr>
                <w:rFonts w:cs="Arial" w:ascii="Arial" w:hAnsi="Arial"/>
                <w:sz w:val="22"/>
                <w:szCs w:val="22"/>
              </w:rPr>
              <w:t>Able to work with a number of different financial services providers</w:t>
            </w:r>
          </w:p>
          <w:p>
            <w:pPr>
              <w:pStyle w:val="paragraph"/>
              <w:spacing w:before="280" w:after="280"/>
              <w:textAlignment w:val="baseline"/>
              <w:rPr>
                <w:rFonts w:ascii="Arial" w:hAnsi="Arial" w:cs="Arial"/>
                <w:sz w:val="22"/>
                <w:szCs w:val="22"/>
              </w:rPr>
            </w:pPr>
            <w:r>
              <w:rPr>
                <w:rFonts w:cs="Arial" w:ascii="Arial" w:hAnsi="Arial"/>
                <w:sz w:val="22"/>
                <w:szCs w:val="22"/>
              </w:rPr>
              <w:t>Liaise regularly with service managers to ensure that all plans, initiatives and projects have appropriate financial input in a timely manner</w:t>
            </w:r>
          </w:p>
          <w:p>
            <w:pPr>
              <w:pStyle w:val="paragraph"/>
              <w:spacing w:before="280" w:after="280"/>
              <w:textAlignment w:val="baseline"/>
              <w:rPr>
                <w:rFonts w:ascii="Arial" w:hAnsi="Arial" w:cs="Arial"/>
                <w:sz w:val="22"/>
                <w:szCs w:val="22"/>
              </w:rPr>
            </w:pPr>
            <w:r>
              <w:rPr>
                <w:rFonts w:cs="Arial" w:ascii="Arial" w:hAnsi="Arial"/>
                <w:sz w:val="22"/>
                <w:szCs w:val="22"/>
              </w:rPr>
              <w:t xml:space="preserve">To contribute to the development of costing systems then to operate and interrogate these costing systems </w:t>
            </w:r>
          </w:p>
          <w:p>
            <w:pPr>
              <w:pStyle w:val="paragraph"/>
              <w:spacing w:before="280" w:after="280"/>
              <w:textAlignment w:val="baseline"/>
              <w:rPr>
                <w:rFonts w:ascii="Arial" w:hAnsi="Arial" w:cs="Arial"/>
                <w:sz w:val="22"/>
                <w:szCs w:val="22"/>
              </w:rPr>
            </w:pPr>
            <w:r>
              <w:rPr>
                <w:rFonts w:cs="Arial" w:ascii="Arial" w:hAnsi="Arial"/>
                <w:sz w:val="22"/>
                <w:szCs w:val="22"/>
              </w:rPr>
              <w:t>To assist the ABT &amp; FM in cross authority work including shared services, benchmarking, and collaborative working</w:t>
            </w:r>
          </w:p>
          <w:p>
            <w:pPr>
              <w:pStyle w:val="paragraph"/>
              <w:spacing w:before="280" w:after="280"/>
              <w:textAlignment w:val="baseline"/>
              <w:rPr>
                <w:rFonts w:ascii="Arial" w:hAnsi="Arial" w:cs="Arial"/>
                <w:sz w:val="22"/>
                <w:szCs w:val="22"/>
              </w:rPr>
            </w:pPr>
            <w:r>
              <w:rPr>
                <w:rFonts w:cs="Arial" w:ascii="Arial" w:hAnsi="Arial"/>
                <w:sz w:val="22"/>
                <w:szCs w:val="22"/>
              </w:rPr>
              <w:t>To assist in the preparation of action plans to support project activities and to ensure workloads are fully planned and prepared for.</w:t>
            </w:r>
          </w:p>
          <w:p>
            <w:pPr>
              <w:pStyle w:val="paragraph"/>
              <w:spacing w:before="280" w:after="280"/>
              <w:textAlignment w:val="baseline"/>
              <w:rPr>
                <w:rFonts w:ascii="Arial" w:hAnsi="Arial" w:cs="Arial"/>
                <w:sz w:val="22"/>
                <w:szCs w:val="22"/>
              </w:rPr>
            </w:pPr>
            <w:r>
              <w:rPr>
                <w:rFonts w:cs="Arial" w:ascii="Arial" w:hAnsi="Arial"/>
                <w:sz w:val="22"/>
                <w:szCs w:val="22"/>
              </w:rPr>
              <w:t xml:space="preserve">Prepare Borough Treasurer’s comments ready for submission to the ABT for non-key decision reports ensuring that decisions are within the budgetary framework, financial regulations, constitution, EU directives, and codes of practice.  </w:t>
            </w:r>
          </w:p>
          <w:p>
            <w:pPr>
              <w:pStyle w:val="paragraph"/>
              <w:spacing w:before="280" w:after="280"/>
              <w:textAlignment w:val="baseline"/>
              <w:rPr>
                <w:rFonts w:ascii="Arial" w:hAnsi="Arial" w:cs="Arial"/>
                <w:sz w:val="22"/>
                <w:szCs w:val="22"/>
              </w:rPr>
            </w:pPr>
            <w:r>
              <w:rPr>
                <w:rFonts w:cs="Arial" w:ascii="Arial" w:hAnsi="Arial"/>
                <w:sz w:val="22"/>
                <w:szCs w:val="22"/>
              </w:rPr>
              <w:t xml:space="preserve">To be a member of a Repositioning finance project assisting in the development of a project initiation document and a project plan, assisting in ensuring that the project delivers agreed outcomes successfully and  on time. </w:t>
            </w:r>
          </w:p>
          <w:p>
            <w:pPr>
              <w:pStyle w:val="paragraph"/>
              <w:spacing w:before="280" w:after="280"/>
              <w:textAlignment w:val="baseline"/>
              <w:rPr>
                <w:rFonts w:ascii="Arial" w:hAnsi="Arial" w:cs="Arial"/>
                <w:sz w:val="22"/>
                <w:szCs w:val="22"/>
              </w:rPr>
            </w:pPr>
            <w:r>
              <w:rPr>
                <w:rFonts w:cs="Arial" w:ascii="Arial" w:hAnsi="Arial"/>
                <w:sz w:val="22"/>
                <w:szCs w:val="22"/>
              </w:rPr>
              <w:t>To deputise for the Finance Manager as and when required.</w:t>
            </w:r>
          </w:p>
          <w:p>
            <w:pPr>
              <w:pStyle w:val="paragraph"/>
              <w:spacing w:before="280" w:after="280"/>
              <w:textAlignment w:val="baseline"/>
              <w:rPr>
                <w:rFonts w:ascii="Arial" w:hAnsi="Arial" w:cs="Arial"/>
                <w:b/>
                <w:bCs/>
                <w:sz w:val="22"/>
                <w:szCs w:val="22"/>
              </w:rPr>
            </w:pPr>
            <w:r>
              <w:rPr>
                <w:rFonts w:cs="Arial" w:ascii="Arial" w:hAnsi="Arial"/>
                <w:b/>
                <w:bCs/>
                <w:sz w:val="22"/>
                <w:szCs w:val="22"/>
              </w:rPr>
              <w:t>Specific</w:t>
            </w:r>
          </w:p>
          <w:p>
            <w:pPr>
              <w:pStyle w:val="paragraph"/>
              <w:spacing w:before="280" w:after="280"/>
              <w:textAlignment w:val="baseline"/>
              <w:rPr>
                <w:rFonts w:ascii="Arial" w:hAnsi="Arial" w:cs="Arial"/>
                <w:sz w:val="22"/>
                <w:szCs w:val="22"/>
              </w:rPr>
            </w:pPr>
            <w:r>
              <w:rPr>
                <w:rFonts w:cs="Arial" w:ascii="Arial" w:hAnsi="Arial"/>
                <w:sz w:val="22"/>
                <w:szCs w:val="22"/>
              </w:rPr>
              <w:t>To ensure there is an in depth understanding of the service areas responsible for, and all the upcoming issues both on a national and local level, to ensure these are notified to the ABT, FM and the Senior FM – MTFS for inclusion in the Councils MTFS.</w:t>
            </w:r>
          </w:p>
          <w:p>
            <w:pPr>
              <w:pStyle w:val="paragraph"/>
              <w:spacing w:before="280" w:after="280"/>
              <w:textAlignment w:val="baseline"/>
              <w:rPr>
                <w:rFonts w:ascii="Arial" w:hAnsi="Arial" w:cs="Arial"/>
                <w:sz w:val="22"/>
                <w:szCs w:val="22"/>
              </w:rPr>
            </w:pPr>
            <w:r>
              <w:rPr>
                <w:rFonts w:cs="Arial" w:ascii="Arial" w:hAnsi="Arial"/>
                <w:sz w:val="22"/>
                <w:szCs w:val="22"/>
              </w:rPr>
              <w:t>To assist in the implementation and ongoing maintenance of financial information requirements for the Councils business units ensuring there is a more commercial focus to the financial information.</w:t>
            </w:r>
          </w:p>
          <w:p>
            <w:pPr>
              <w:pStyle w:val="paragraph"/>
              <w:spacing w:before="280" w:after="280"/>
              <w:textAlignment w:val="baseline"/>
              <w:rPr>
                <w:rFonts w:ascii="Arial" w:hAnsi="Arial" w:cs="Arial"/>
                <w:sz w:val="22"/>
                <w:szCs w:val="22"/>
              </w:rPr>
            </w:pPr>
            <w:r>
              <w:rPr>
                <w:rFonts w:cs="Arial" w:ascii="Arial" w:hAnsi="Arial"/>
                <w:sz w:val="22"/>
                <w:szCs w:val="22"/>
              </w:rPr>
              <w:t>To assist the FM in undertaking unit cost analyses &amp; investment appraisals using techniques such as Net Present Value of service activity</w:t>
            </w:r>
          </w:p>
          <w:p>
            <w:pPr>
              <w:pStyle w:val="paragraph"/>
              <w:spacing w:before="280" w:after="280"/>
              <w:textAlignment w:val="baseline"/>
              <w:rPr>
                <w:rFonts w:ascii="Arial" w:hAnsi="Arial" w:cs="Arial"/>
                <w:sz w:val="22"/>
                <w:szCs w:val="22"/>
              </w:rPr>
            </w:pPr>
            <w:r>
              <w:rPr>
                <w:rFonts w:cs="Arial" w:ascii="Arial" w:hAnsi="Arial"/>
                <w:sz w:val="22"/>
                <w:szCs w:val="22"/>
              </w:rPr>
              <w:t>To cost all service proposals ensuring they are within the budget plans of the Council.</w:t>
            </w:r>
          </w:p>
          <w:p>
            <w:pPr>
              <w:pStyle w:val="paragraph"/>
              <w:spacing w:before="280" w:after="280"/>
              <w:textAlignment w:val="baseline"/>
              <w:rPr>
                <w:rFonts w:ascii="Arial" w:hAnsi="Arial" w:cs="Arial"/>
                <w:sz w:val="22"/>
                <w:szCs w:val="22"/>
              </w:rPr>
            </w:pPr>
            <w:r>
              <w:rPr>
                <w:rFonts w:cs="Arial" w:ascii="Arial" w:hAnsi="Arial"/>
                <w:sz w:val="22"/>
                <w:szCs w:val="22"/>
              </w:rPr>
              <w:t>Support business units in ensuring they understand and can challenge service support recharges and other elements of their MTFS.</w:t>
            </w:r>
          </w:p>
          <w:p>
            <w:pPr>
              <w:pStyle w:val="paragraph"/>
              <w:spacing w:before="280" w:after="280"/>
              <w:textAlignment w:val="baseline"/>
              <w:rPr>
                <w:rFonts w:ascii="Arial" w:hAnsi="Arial" w:cs="Arial"/>
                <w:sz w:val="22"/>
                <w:szCs w:val="22"/>
              </w:rPr>
            </w:pPr>
            <w:r>
              <w:rPr>
                <w:rFonts w:cs="Arial" w:ascii="Arial" w:hAnsi="Arial"/>
                <w:sz w:val="22"/>
                <w:szCs w:val="22"/>
              </w:rPr>
              <w:t>Monitor the revenue and capital budget, inputting into timely and regular budget monitor reports. Advise the Assistant Borough Treasurer, FM and the Heads of Service on variances to the Budget and recommending remedial action.</w:t>
            </w:r>
          </w:p>
          <w:p>
            <w:pPr>
              <w:pStyle w:val="paragraph"/>
              <w:spacing w:before="280" w:after="280"/>
              <w:textAlignment w:val="baseline"/>
              <w:rPr>
                <w:rFonts w:ascii="Arial" w:hAnsi="Arial" w:cs="Arial"/>
                <w:sz w:val="22"/>
                <w:szCs w:val="22"/>
              </w:rPr>
            </w:pPr>
            <w:r>
              <w:rPr>
                <w:rFonts w:cs="Arial" w:ascii="Arial" w:hAnsi="Arial"/>
                <w:sz w:val="22"/>
                <w:szCs w:val="22"/>
              </w:rPr>
              <w:t>To assist in the development and the implementation of financial management with performance management information to support the development of integrated reporting</w:t>
            </w:r>
          </w:p>
          <w:p>
            <w:pPr>
              <w:pStyle w:val="paragraph"/>
              <w:spacing w:before="280" w:after="280"/>
              <w:textAlignment w:val="baseline"/>
              <w:rPr>
                <w:rFonts w:ascii="Arial" w:hAnsi="Arial" w:cs="Arial"/>
                <w:sz w:val="22"/>
                <w:szCs w:val="22"/>
              </w:rPr>
            </w:pPr>
            <w:r>
              <w:rPr>
                <w:rFonts w:cs="Arial" w:ascii="Arial" w:hAnsi="Arial"/>
                <w:sz w:val="22"/>
                <w:szCs w:val="22"/>
              </w:rPr>
              <w:t xml:space="preserve">Support Service Areas by providing timely and precise financial advice as required. </w:t>
            </w:r>
          </w:p>
          <w:p>
            <w:pPr>
              <w:pStyle w:val="paragraph"/>
              <w:spacing w:before="280" w:after="280"/>
              <w:textAlignment w:val="baseline"/>
              <w:rPr>
                <w:rFonts w:ascii="Arial" w:hAnsi="Arial" w:cs="Arial"/>
                <w:sz w:val="22"/>
                <w:szCs w:val="22"/>
              </w:rPr>
            </w:pPr>
            <w:r>
              <w:rPr>
                <w:rFonts w:cs="Arial" w:ascii="Arial" w:hAnsi="Arial"/>
                <w:sz w:val="22"/>
                <w:szCs w:val="22"/>
              </w:rPr>
              <w:t xml:space="preserve">To assist the FM in ensuring as part of budget monitoring that income is being raised in a prompt timeframe </w:t>
            </w:r>
          </w:p>
          <w:p>
            <w:pPr>
              <w:pStyle w:val="paragraph"/>
              <w:spacing w:before="280" w:after="280"/>
              <w:textAlignment w:val="baseline"/>
              <w:rPr>
                <w:rFonts w:ascii="Arial" w:hAnsi="Arial" w:cs="Arial"/>
                <w:sz w:val="22"/>
                <w:szCs w:val="22"/>
              </w:rPr>
            </w:pPr>
            <w:r>
              <w:rPr>
                <w:rFonts w:cs="Arial" w:ascii="Arial" w:hAnsi="Arial"/>
                <w:sz w:val="22"/>
                <w:szCs w:val="22"/>
              </w:rPr>
              <w:t>To assist the FM in ensure as part of budget monitoring that income arrears are being actively and satisfactorily pursued</w:t>
            </w:r>
          </w:p>
          <w:p>
            <w:pPr>
              <w:pStyle w:val="paragraph"/>
              <w:spacing w:before="280" w:after="280"/>
              <w:textAlignment w:val="baseline"/>
              <w:rPr>
                <w:rFonts w:ascii="Arial" w:hAnsi="Arial" w:cs="Arial"/>
                <w:sz w:val="22"/>
                <w:szCs w:val="22"/>
              </w:rPr>
            </w:pPr>
            <w:r>
              <w:rPr>
                <w:rFonts w:cs="Arial" w:ascii="Arial" w:hAnsi="Arial"/>
                <w:sz w:val="22"/>
                <w:szCs w:val="22"/>
              </w:rPr>
              <w:t>To assist the FM in ensuring all ongoing accounts maintenance issues (i.e. use of Agresso, clearance of commitments and holding accounts, reconciliation of balance sheet codes are undertaken on a monthly basis).</w:t>
            </w:r>
          </w:p>
          <w:p>
            <w:pPr>
              <w:pStyle w:val="paragraph"/>
              <w:spacing w:before="280" w:after="280"/>
              <w:textAlignment w:val="baseline"/>
              <w:rPr>
                <w:rFonts w:ascii="Arial" w:hAnsi="Arial" w:cs="Arial"/>
                <w:sz w:val="22"/>
                <w:szCs w:val="22"/>
              </w:rPr>
            </w:pPr>
            <w:r>
              <w:rPr>
                <w:rFonts w:cs="Arial" w:ascii="Arial" w:hAnsi="Arial"/>
                <w:sz w:val="22"/>
                <w:szCs w:val="22"/>
              </w:rPr>
              <w:t>To liaise with the capital team on the production of a three to five year capital budget for their service area and specific projects</w:t>
            </w:r>
          </w:p>
          <w:p>
            <w:pPr>
              <w:pStyle w:val="paragraph"/>
              <w:spacing w:before="280" w:after="280"/>
              <w:textAlignment w:val="baseline"/>
              <w:rPr>
                <w:rFonts w:ascii="Arial" w:hAnsi="Arial" w:cs="Arial"/>
                <w:sz w:val="22"/>
                <w:szCs w:val="22"/>
              </w:rPr>
            </w:pPr>
            <w:r>
              <w:rPr>
                <w:rFonts w:cs="Arial" w:ascii="Arial" w:hAnsi="Arial"/>
                <w:sz w:val="22"/>
                <w:szCs w:val="22"/>
              </w:rPr>
              <w:t>Assist in the preparation of specific budget action plans of saving options. Ensure these action plans are robust and deliverable.</w:t>
            </w:r>
          </w:p>
          <w:p>
            <w:pPr>
              <w:pStyle w:val="paragraph"/>
              <w:spacing w:before="280" w:after="280"/>
              <w:textAlignment w:val="baseline"/>
              <w:rPr>
                <w:rFonts w:ascii="Arial" w:hAnsi="Arial" w:cs="Arial"/>
                <w:sz w:val="22"/>
                <w:szCs w:val="22"/>
              </w:rPr>
            </w:pPr>
            <w:r>
              <w:rPr>
                <w:rFonts w:cs="Arial" w:ascii="Arial" w:hAnsi="Arial"/>
                <w:sz w:val="22"/>
                <w:szCs w:val="22"/>
              </w:rPr>
              <w:t>Monitor specific budget action plans, report on variances and recommend alternative proposals.</w:t>
            </w:r>
          </w:p>
          <w:p>
            <w:pPr>
              <w:pStyle w:val="paragraph"/>
              <w:spacing w:before="280" w:after="280"/>
              <w:textAlignment w:val="baseline"/>
              <w:rPr>
                <w:rFonts w:ascii="Arial" w:hAnsi="Arial" w:cs="Arial"/>
                <w:sz w:val="22"/>
                <w:szCs w:val="22"/>
              </w:rPr>
            </w:pPr>
            <w:r>
              <w:rPr>
                <w:rFonts w:cs="Arial" w:ascii="Arial" w:hAnsi="Arial"/>
                <w:sz w:val="22"/>
                <w:szCs w:val="22"/>
              </w:rPr>
              <w:t>To assist the FM in supporting Business Unit Managers in the preparation of business cases which establish the financial implications, risk management, comparative data, return on investment and whole life cost of a project which will enable the Business Unit Manager to apply for additional funding (both internal and external) and allow the Council to performance manage the project.</w:t>
            </w:r>
          </w:p>
          <w:p>
            <w:pPr>
              <w:pStyle w:val="paragraph"/>
              <w:spacing w:before="280" w:after="280"/>
              <w:textAlignment w:val="baseline"/>
              <w:rPr>
                <w:rFonts w:ascii="Arial" w:hAnsi="Arial" w:cs="Arial"/>
                <w:sz w:val="22"/>
                <w:szCs w:val="22"/>
              </w:rPr>
            </w:pPr>
            <w:r>
              <w:rPr>
                <w:rFonts w:cs="Arial" w:ascii="Arial" w:hAnsi="Arial"/>
                <w:sz w:val="22"/>
                <w:szCs w:val="22"/>
              </w:rPr>
              <w:t>To assist FM in supporting business unit Managers in the development of their Service Statement including all relevant financial information.</w:t>
            </w:r>
          </w:p>
          <w:p>
            <w:pPr>
              <w:pStyle w:val="paragraph"/>
              <w:spacing w:before="0" w:after="0"/>
              <w:textAlignment w:val="baseline"/>
              <w:rPr>
                <w:rFonts w:ascii="Arial" w:hAnsi="Arial" w:cs="Arial"/>
                <w:sz w:val="22"/>
                <w:szCs w:val="22"/>
              </w:rPr>
            </w:pPr>
            <w:r>
              <w:rPr>
                <w:rFonts w:cs="Arial" w:ascii="Arial" w:hAnsi="Arial"/>
                <w:sz w:val="22"/>
                <w:szCs w:val="22"/>
              </w:rPr>
              <w:t>To support the ABT – Financial Management by ensuring they and the service areas they are responsible for follow the  three year budget setting process which supports commissioning services, the neighbourhood delivery model, and to assist in reviewing this model as and when required to realign to corporate priorities.</w:t>
            </w:r>
          </w:p>
          <w:p>
            <w:pPr>
              <w:pStyle w:val="paragraph"/>
              <w:spacing w:before="0" w:after="0"/>
              <w:textAlignment w:val="baseline"/>
              <w:rPr>
                <w:rFonts w:ascii="Arial" w:hAnsi="Arial" w:cs="Arial"/>
                <w:sz w:val="22"/>
                <w:szCs w:val="22"/>
              </w:rPr>
            </w:pPr>
            <w:r>
              <w:rPr>
                <w:rFonts w:cs="Arial" w:ascii="Arial" w:hAnsi="Arial"/>
                <w:sz w:val="22"/>
                <w:szCs w:val="22"/>
              </w:rPr>
            </w:r>
          </w:p>
        </w:tc>
      </w:tr>
    </w:tbl>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522"/>
        <w:gridCol w:w="9917"/>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color w:val="FFFFFF"/>
                <w:sz w:val="22"/>
                <w:szCs w:val="22"/>
              </w:rPr>
            </w:pPr>
            <w:r>
              <w:rPr>
                <w:rFonts w:cs="Arial"/>
                <w:b/>
                <w:color w:val="FFFFFF"/>
                <w:sz w:val="22"/>
                <w:szCs w:val="22"/>
              </w:rPr>
              <w:t>Standard Duties:</w:t>
            </w:r>
          </w:p>
          <w:p>
            <w:pPr>
              <w:pStyle w:val="Normal"/>
              <w:jc w:val="both"/>
              <w:rPr>
                <w:rFonts w:cs="Arial"/>
                <w:color w:val="FFFFFF"/>
                <w:sz w:val="22"/>
                <w:szCs w:val="22"/>
              </w:rPr>
            </w:pPr>
            <w:r>
              <w:rPr>
                <w:rFonts w:cs="Arial"/>
                <w:color w:val="FFFFFF"/>
                <w:sz w:val="22"/>
                <w:szCs w:val="22"/>
              </w:rPr>
            </w:r>
          </w:p>
        </w:tc>
      </w:tr>
      <w:tr>
        <w:trPr>
          <w:trHeight w:val="255" w:hRule="atLeast"/>
        </w:trPr>
        <w:tc>
          <w:tcPr>
            <w:tcW w:w="522" w:type="dxa"/>
            <w:tcBorders>
              <w:top w:val="single" w:sz="4" w:space="0" w:color="000000"/>
              <w:left w:val="single" w:sz="4" w:space="0" w:color="000000"/>
            </w:tcBorders>
          </w:tcPr>
          <w:p>
            <w:pPr>
              <w:pStyle w:val="Normal"/>
              <w:snapToGrid w:val="false"/>
              <w:jc w:val="both"/>
              <w:rPr>
                <w:rFonts w:cs="Arial"/>
                <w:color w:val="FFFFFF"/>
                <w:sz w:val="22"/>
                <w:szCs w:val="22"/>
              </w:rPr>
            </w:pPr>
            <w:r>
              <w:rPr>
                <w:rFonts w:cs="Arial"/>
                <w:color w:val="FFFFFF"/>
                <w:sz w:val="22"/>
                <w:szCs w:val="22"/>
              </w:rPr>
            </w:r>
          </w:p>
          <w:p>
            <w:pPr>
              <w:pStyle w:val="Normal"/>
              <w:jc w:val="both"/>
              <w:rPr>
                <w:rFonts w:cs="Arial"/>
                <w:sz w:val="22"/>
                <w:szCs w:val="22"/>
              </w:rPr>
            </w:pPr>
            <w:r>
              <w:rPr>
                <w:rFonts w:cs="Arial"/>
                <w:sz w:val="22"/>
                <w:szCs w:val="22"/>
              </w:rPr>
              <w:t>1.</w:t>
            </w:r>
          </w:p>
        </w:tc>
        <w:tc>
          <w:tcPr>
            <w:tcW w:w="9917" w:type="dxa"/>
            <w:tcBorders>
              <w:top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the equalities and diversity agenda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2.</w:t>
            </w:r>
          </w:p>
        </w:tc>
        <w:tc>
          <w:tcPr>
            <w:tcW w:w="9917" w:type="dxa"/>
            <w:tcBorders>
              <w:right w:val="single" w:sz="4" w:space="0" w:color="000000"/>
            </w:tcBorders>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3.</w:t>
            </w:r>
          </w:p>
        </w:tc>
        <w:tc>
          <w:tcPr>
            <w:tcW w:w="9917" w:type="dxa"/>
            <w:tcBorders>
              <w:right w:val="single" w:sz="4" w:space="0" w:color="000000"/>
            </w:tcBorders>
          </w:tcPr>
          <w:p>
            <w:pPr>
              <w:pStyle w:val="Normal"/>
              <w:jc w:val="both"/>
              <w:rPr>
                <w:rFonts w:cs="Arial"/>
                <w:sz w:val="22"/>
                <w:szCs w:val="22"/>
              </w:rPr>
            </w:pPr>
            <w:r>
              <w:rPr>
                <w:rFonts w:cs="Arial"/>
                <w:sz w:val="22"/>
                <w:szCs w:val="22"/>
              </w:rPr>
              <w:t>To 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4.</w:t>
            </w:r>
          </w:p>
        </w:tc>
        <w:tc>
          <w:tcPr>
            <w:tcW w:w="9917" w:type="dxa"/>
            <w:tcBorders>
              <w:right w:val="single" w:sz="4" w:space="0" w:color="000000"/>
            </w:tcBorders>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sz w:val="22"/>
                <w:szCs w:val="22"/>
              </w:rPr>
            </w:pPr>
            <w:r>
              <w:rPr>
                <w:rFonts w:cs="Arial"/>
                <w:b/>
                <w:sz w:val="22"/>
                <w:szCs w:val="22"/>
              </w:rPr>
            </w:r>
          </w:p>
        </w:tc>
      </w:tr>
      <w:tr>
        <w:trPr>
          <w:trHeight w:val="255" w:hRule="atLeast"/>
        </w:trPr>
        <w:tc>
          <w:tcPr>
            <w:tcW w:w="522" w:type="dxa"/>
            <w:tcBorders>
              <w:left w:val="single" w:sz="4" w:space="0" w:color="000000"/>
              <w:bottom w:val="single" w:sz="4" w:space="0" w:color="000000"/>
            </w:tcBorders>
          </w:tcPr>
          <w:p>
            <w:pPr>
              <w:pStyle w:val="Normal"/>
              <w:jc w:val="both"/>
              <w:rPr>
                <w:rFonts w:cs="Arial"/>
                <w:sz w:val="22"/>
                <w:szCs w:val="22"/>
              </w:rPr>
            </w:pPr>
            <w:r>
              <w:rPr>
                <w:rFonts w:cs="Arial"/>
                <w:sz w:val="22"/>
                <w:szCs w:val="22"/>
              </w:rPr>
              <w:t>5.</w:t>
            </w:r>
          </w:p>
        </w:tc>
        <w:tc>
          <w:tcPr>
            <w:tcW w:w="9917" w:type="dxa"/>
            <w:tcBorders>
              <w:bottom w:val="single" w:sz="4" w:space="0" w:color="000000"/>
              <w:right w:val="single" w:sz="4" w:space="0" w:color="000000"/>
            </w:tcBorders>
          </w:tcPr>
          <w:p>
            <w:pPr>
              <w:pStyle w:val="Normal"/>
              <w:jc w:val="both"/>
              <w:rPr>
                <w:rFonts w:cs="Arial"/>
                <w:sz w:val="22"/>
                <w:szCs w:val="22"/>
              </w:rPr>
            </w:pPr>
            <w:r>
              <w:rPr>
                <w:rFonts w:cs="Arial"/>
                <w:sz w:val="22"/>
                <w:szCs w:val="22"/>
              </w:rPr>
              <w:t>Undertake any additional duties commensurate with the level of the post.</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jc w:val="both"/>
              <w:rPr/>
            </w:pPr>
            <w:r>
              <w:rPr>
                <w:rFonts w:cs="Arial"/>
                <w:b/>
                <w:sz w:val="22"/>
                <w:szCs w:val="22"/>
              </w:rPr>
              <w:t>Contacts:</w:t>
            </w:r>
            <w:r>
              <w:rPr>
                <w:rFonts w:cs="Arial"/>
                <w:sz w:val="22"/>
                <w:szCs w:val="22"/>
              </w:rPr>
              <w:t xml:space="preserve"> </w:t>
            </w:r>
          </w:p>
          <w:p>
            <w:pPr>
              <w:pStyle w:val="Normal"/>
              <w:jc w:val="both"/>
              <w:rPr>
                <w:rFonts w:cs="Arial"/>
                <w:sz w:val="22"/>
                <w:szCs w:val="22"/>
              </w:rPr>
            </w:pPr>
            <w:r>
              <w:rPr>
                <w:rFonts w:cs="Arial"/>
                <w:sz w:val="22"/>
                <w:szCs w:val="22"/>
              </w:rPr>
              <w:t>Colleagues within the financial service, colleagues within the council, its partners, trade union representatives, elected members, inspectors and external organisations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bookmarkStart w:id="0" w:name="_Hlk95121094"/>
      <w:bookmarkStart w:id="1" w:name="_Hlk95121094"/>
      <w:bookmarkEnd w:id="1"/>
    </w:p>
    <w:tbl>
      <w:tblPr>
        <w:tblW w:w="10439" w:type="dxa"/>
        <w:jc w:val="left"/>
        <w:tblInd w:w="-504" w:type="dxa"/>
        <w:tblLayout w:type="fixed"/>
        <w:tblCellMar>
          <w:top w:w="0" w:type="dxa"/>
          <w:left w:w="108" w:type="dxa"/>
          <w:bottom w:w="0" w:type="dxa"/>
          <w:right w:w="108" w:type="dxa"/>
        </w:tblCellMar>
      </w:tblPr>
      <w:tblGrid>
        <w:gridCol w:w="2106"/>
        <w:gridCol w:w="8333"/>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BodyText"/>
              <w:rPr>
                <w:rFonts w:cs="Arial"/>
                <w:color w:val="FFFFFF"/>
                <w:szCs w:val="22"/>
              </w:rPr>
            </w:pPr>
            <w:r>
              <w:rPr>
                <w:rFonts w:cs="Arial"/>
                <w:color w:val="FFFFFF"/>
                <w:szCs w:val="22"/>
              </w:rPr>
              <w:t>Relationship To Other Posts In The Department:</w:t>
            </w:r>
          </w:p>
          <w:p>
            <w:pPr>
              <w:pStyle w:val="Normal"/>
              <w:rPr>
                <w:rFonts w:cs="Arial"/>
                <w:color w:val="FFFFFF"/>
                <w:sz w:val="22"/>
                <w:szCs w:val="22"/>
              </w:rPr>
            </w:pPr>
            <w:r>
              <w:rPr>
                <w:rFonts w:cs="Arial"/>
                <w:color w:val="FFFFFF"/>
                <w:sz w:val="22"/>
                <w:szCs w:val="22"/>
              </w:rPr>
            </w:r>
          </w:p>
        </w:tc>
      </w:tr>
      <w:tr>
        <w:trPr>
          <w:trHeight w:val="518" w:hRule="atLeast"/>
        </w:trPr>
        <w:tc>
          <w:tcPr>
            <w:tcW w:w="2106" w:type="dxa"/>
            <w:tcBorders>
              <w:top w:val="single" w:sz="4" w:space="0" w:color="000000"/>
              <w:left w:val="single" w:sz="4" w:space="0" w:color="000000"/>
            </w:tcBorders>
          </w:tcPr>
          <w:p>
            <w:pPr>
              <w:pStyle w:val="Normal"/>
              <w:rPr>
                <w:rFonts w:cs="Arial"/>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33" w:type="dxa"/>
            <w:tcBorders>
              <w:top w:val="single" w:sz="4" w:space="0" w:color="000000"/>
              <w:right w:val="single" w:sz="4" w:space="0" w:color="000000"/>
            </w:tcBorders>
          </w:tcPr>
          <w:p>
            <w:pPr>
              <w:pStyle w:val="BodyText"/>
              <w:rPr>
                <w:rFonts w:cs="Arial"/>
                <w:b w:val="false"/>
                <w:bCs/>
                <w:szCs w:val="22"/>
              </w:rPr>
            </w:pPr>
            <w:r>
              <w:rPr>
                <w:rFonts w:cs="Arial"/>
                <w:b w:val="false"/>
                <w:bCs/>
                <w:szCs w:val="22"/>
              </w:rPr>
              <w:t>Finance Manager</w:t>
            </w:r>
          </w:p>
        </w:tc>
      </w:tr>
      <w:tr>
        <w:trPr>
          <w:trHeight w:val="517" w:hRule="atLeast"/>
        </w:trPr>
        <w:tc>
          <w:tcPr>
            <w:tcW w:w="2106" w:type="dxa"/>
            <w:tcBorders>
              <w:left w:val="single" w:sz="4" w:space="0" w:color="000000"/>
              <w:bottom w:val="single" w:sz="4" w:space="0" w:color="000000"/>
            </w:tcBorders>
          </w:tcPr>
          <w:p>
            <w:pPr>
              <w:pStyle w:val="Normal"/>
              <w:rPr>
                <w:rFonts w:cs="Arial"/>
                <w:b/>
                <w:sz w:val="22"/>
                <w:szCs w:val="22"/>
              </w:rPr>
            </w:pPr>
            <w:r>
              <w:rPr>
                <w:rFonts w:cs="Arial"/>
                <w:b/>
                <w:sz w:val="22"/>
                <w:szCs w:val="22"/>
              </w:rPr>
              <w:t>Responsible for:</w:t>
            </w:r>
          </w:p>
        </w:tc>
        <w:tc>
          <w:tcPr>
            <w:tcW w:w="8333" w:type="dxa"/>
            <w:tcBorders>
              <w:bottom w:val="single" w:sz="4" w:space="0" w:color="000000"/>
              <w:right w:val="single" w:sz="4" w:space="0" w:color="000000"/>
            </w:tcBorders>
          </w:tcPr>
          <w:p>
            <w:pPr>
              <w:pStyle w:val="Normal"/>
              <w:rPr>
                <w:rFonts w:cs="Arial"/>
                <w:sz w:val="22"/>
                <w:szCs w:val="22"/>
              </w:rPr>
            </w:pPr>
            <w:r>
              <w:rPr>
                <w:rFonts w:cs="Arial"/>
                <w:sz w:val="22"/>
                <w:szCs w:val="22"/>
              </w:rPr>
              <w:t>Accountants / Assistant Accountants</w:t>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 xml:space="preserve">Special Conditions: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Politically Restricted Post</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color w:val="FFFFFF"/>
                <w:sz w:val="22"/>
                <w:szCs w:val="22"/>
              </w:rPr>
            </w:pPr>
            <w:r>
              <w:rPr>
                <w:rFonts w:cs="Arial"/>
                <w:b/>
                <w:color w:val="FFFFFF"/>
                <w:sz w:val="22"/>
                <w:szCs w:val="22"/>
              </w:rPr>
              <w:t>Values and Behaviours:</w:t>
            </w:r>
          </w:p>
          <w:p>
            <w:pPr>
              <w:pStyle w:val="Normal"/>
              <w:rPr>
                <w:rFonts w:cs="Arial"/>
                <w:b/>
                <w:color w:val="FFFFFF"/>
                <w:sz w:val="22"/>
                <w:szCs w:val="22"/>
              </w:rPr>
            </w:pPr>
            <w:r>
              <w:rPr>
                <w:rFonts w:cs="Arial"/>
                <w:b/>
                <w:color w:val="FFFFFF"/>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56" w:before="0" w:after="379"/>
              <w:jc w:val="both"/>
              <w:rPr/>
            </w:pPr>
            <w:r>
              <w:rPr>
                <w:rFonts w:eastAsia="Helvetica;Arial" w:cs="Arial"/>
                <w:sz w:val="22"/>
                <w:szCs w:val="22"/>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Together</w:t>
            </w:r>
          </w:p>
          <w:p>
            <w:pPr>
              <w:pStyle w:val="Normal"/>
              <w:spacing w:before="280" w:after="0"/>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2"/>
              </w:numPr>
              <w:rPr/>
            </w:pPr>
            <w:r>
              <w:rPr>
                <w:rFonts w:eastAsia="Arial" w:cs="Arial" w:ascii="Arial" w:hAnsi="Arial"/>
              </w:rPr>
              <w:t>Work with a Resident Focus</w:t>
            </w:r>
          </w:p>
          <w:p>
            <w:pPr>
              <w:pStyle w:val="ListParagraph"/>
              <w:numPr>
                <w:ilvl w:val="0"/>
                <w:numId w:val="2"/>
              </w:numPr>
              <w:rPr/>
            </w:pPr>
            <w:r>
              <w:rPr>
                <w:rFonts w:eastAsia="Arial" w:cs="Arial" w:ascii="Arial" w:hAnsi="Arial"/>
              </w:rPr>
              <w:t>Support Local Leaders</w:t>
            </w:r>
          </w:p>
          <w:p>
            <w:pPr>
              <w:pStyle w:val="ListParagraph"/>
              <w:numPr>
                <w:ilvl w:val="0"/>
                <w:numId w:val="2"/>
              </w:numPr>
              <w:rPr/>
            </w:pPr>
            <w:r>
              <w:rPr>
                <w:rFonts w:eastAsia="Arial" w:cs="Arial" w:ascii="Arial" w:hAnsi="Arial"/>
              </w:rPr>
              <w:t>Committed to the Borough</w:t>
            </w:r>
          </w:p>
          <w:p>
            <w:pPr>
              <w:pStyle w:val="ListParagraph"/>
              <w:numPr>
                <w:ilvl w:val="0"/>
                <w:numId w:val="2"/>
              </w:numPr>
              <w:rPr/>
            </w:pPr>
            <w:r>
              <w:rPr>
                <w:rFonts w:eastAsia="Arial" w:cs="Arial" w:ascii="Arial" w:hAnsi="Arial"/>
              </w:rPr>
              <w:t>Take Ownership and Drive Change</w:t>
            </w:r>
          </w:p>
          <w:p>
            <w:pPr>
              <w:pStyle w:val="ListParagraph"/>
              <w:numPr>
                <w:ilvl w:val="0"/>
                <w:numId w:val="2"/>
              </w:numPr>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pPr>
            <w:r>
              <w:rPr>
                <w:rFonts w:eastAsia="Arial" w:cs="Arial"/>
                <w:sz w:val="22"/>
                <w:szCs w:val="22"/>
              </w:rPr>
              <w:t xml:space="preserve">More information about our Corporate Plan and our Values and Behaviours can be found on our </w:t>
            </w:r>
            <w:r>
              <w:rPr>
                <w:rStyle w:val="Hyperlink"/>
                <w:rFonts w:eastAsia="Arial" w:cs="Arial"/>
                <w:sz w:val="22"/>
                <w:szCs w:val="22"/>
              </w:rPr>
              <w:t>Greater. Jobs pages</w:t>
            </w:r>
            <w:r>
              <w:rPr>
                <w:rFonts w:eastAsia="Arial" w:cs="Arial"/>
                <w:sz w:val="22"/>
                <w:szCs w:val="22"/>
              </w:rPr>
              <w:t xml:space="preserve"> together with information about the staff benefits we offer.</w:t>
            </w:r>
          </w:p>
          <w:p>
            <w:pPr>
              <w:pStyle w:val="Normal"/>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color w:val="FFFFFF"/>
                <w:szCs w:val="22"/>
              </w:rPr>
            </w:pPr>
            <w:r>
              <w:rPr>
                <w:rFonts w:cs="Arial"/>
                <w:color w:val="FFFFFF"/>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color w:val="FFFFFF"/>
                <w:sz w:val="22"/>
                <w:szCs w:val="22"/>
              </w:rPr>
            </w:pPr>
            <w:r>
              <w:rPr>
                <w:rFonts w:cs="Arial"/>
                <w:b/>
                <w:color w:val="FFFFFF"/>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color w:val="FFFFFF"/>
                <w:sz w:val="22"/>
                <w:szCs w:val="22"/>
              </w:rPr>
            </w:pPr>
            <w:r>
              <w:rPr>
                <w:rFonts w:cs="Arial"/>
                <w:b/>
                <w:color w:val="FFFFFF"/>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color w:val="FFFFFF"/>
                <w:sz w:val="22"/>
                <w:szCs w:val="22"/>
              </w:rPr>
            </w:pPr>
            <w:r>
              <w:rPr>
                <w:rFonts w:cs="Arial"/>
                <w:b/>
                <w:color w:val="FFFFFF"/>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Cs/>
          <w:sz w:val="22"/>
          <w:szCs w:val="22"/>
          <w:u w:val="single"/>
        </w:rPr>
      </w:pPr>
      <w:r>
        <w:br w:type="page"/>
      </w: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mc:AlternateContent>
          <mc:Choice Requires="wps">
            <w:drawing>
              <wp:anchor behindDoc="0" distT="0" distB="0" distL="114935" distR="114300" simplePos="0" locked="0" layoutInCell="1" allowOverlap="1" relativeHeight="3">
                <wp:simplePos x="0" y="0"/>
                <wp:positionH relativeFrom="column">
                  <wp:posOffset>5143500</wp:posOffset>
                </wp:positionH>
                <wp:positionV relativeFrom="paragraph">
                  <wp:posOffset>-605790</wp:posOffset>
                </wp:positionV>
                <wp:extent cx="1148715" cy="1187450"/>
                <wp:effectExtent l="635" t="0" r="0" b="0"/>
                <wp:wrapNone/>
                <wp:docPr id="5" name="Text Box 3"/>
                <a:graphic xmlns:a="http://schemas.openxmlformats.org/drawingml/2006/main">
                  <a:graphicData uri="http://schemas.microsoft.com/office/word/2010/wordprocessingShape">
                    <wps:wsp>
                      <wps:cNvSpPr/>
                      <wps:spPr>
                        <a:xfrm>
                          <a:off x="0" y="0"/>
                          <a:ext cx="11487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3" path="m0,0l-2147483645,0l-2147483645,-2147483646l0,-2147483646xe" fillcolor="white" stroked="f" o:allowincell="f" style="position:absolute;margin-left:405pt;margin-top:-47.7pt;width:90.4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3810" simplePos="0" locked="0" layoutInCell="1" allowOverlap="1" relativeHeight="6">
                <wp:simplePos x="0" y="0"/>
                <wp:positionH relativeFrom="column">
                  <wp:posOffset>5143500</wp:posOffset>
                </wp:positionH>
                <wp:positionV relativeFrom="paragraph">
                  <wp:posOffset>-605790</wp:posOffset>
                </wp:positionV>
                <wp:extent cx="1148715" cy="1187450"/>
                <wp:effectExtent l="0" t="0" r="0" b="0"/>
                <wp:wrapNone/>
                <wp:docPr id="6" name="Frame2"/>
                <a:graphic xmlns:a="http://schemas.openxmlformats.org/drawingml/2006/main">
                  <a:graphicData uri="http://schemas.microsoft.com/office/word/2010/wordprocessingShape">
                    <wps:wsp>
                      <wps:cNvSpPr txBox="1"/>
                      <wps:spPr>
                        <a:xfrm>
                          <a:off x="0" y="0"/>
                          <a:ext cx="1148715" cy="1187450"/>
                        </a:xfrm>
                        <a:prstGeom prst="rect"/>
                        <a:solidFill>
                          <a:srgbClr val="FFFFFF"/>
                        </a:solidFill>
                      </wps:spPr>
                      <wps:txbx>
                        <w:txbxContent>
                          <w:p>
                            <w:pPr>
                              <w:pStyle w:val="FrameContents"/>
                              <w:rPr/>
                            </w:pPr>
                            <w:r>
                              <w:rPr/>
                              <w:drawing>
                                <wp:inline distT="0" distB="0" distL="0" distR="0">
                                  <wp:extent cx="961390" cy="1094740"/>
                                  <wp:effectExtent l="0" t="0" r="0" b="0"/>
                                  <wp:docPr id="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pic:cNvPicPr>
                                            <a:picLocks noChangeAspect="1" noChangeArrowheads="1"/>
                                          </pic:cNvPicPr>
                                        </pic:nvPicPr>
                                        <pic:blipFill>
                                          <a:blip r:embed="rId4"/>
                                          <a:srcRect l="-40" t="-35" r="-40" b="-35"/>
                                          <a:stretch>
                                            <a:fillRect/>
                                          </a:stretch>
                                        </pic:blipFill>
                                        <pic:spPr bwMode="auto">
                                          <a:xfrm>
                                            <a:off x="0" y="0"/>
                                            <a:ext cx="961390" cy="109474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45pt;height:93.5pt;mso-wrap-distance-left:0pt;mso-wrap-distance-right:0.3pt;mso-wrap-distance-top:5.7pt;mso-wrap-distance-bottom:5.7pt;margin-top:-47.7pt;mso-position-vertical-relative:text;margin-left:405pt;mso-position-horizontal-relative:text">
                <v:textbox inset="0.100694444444444in,0.0506944444444444in,0.100694444444444in,0.0506944444444444in">
                  <w:txbxContent>
                    <w:p>
                      <w:pPr>
                        <w:pStyle w:val="FrameContents"/>
                        <w:rPr/>
                      </w:pPr>
                      <w:r>
                        <w:rPr/>
                        <w:drawing>
                          <wp:inline distT="0" distB="0" distL="0" distR="0">
                            <wp:extent cx="961390" cy="1094740"/>
                            <wp:effectExtent l="0" t="0" r="0" b="0"/>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5"/>
                                    <a:srcRect l="-40" t="-35" r="-40" b="-35"/>
                                    <a:stretch>
                                      <a:fillRect/>
                                    </a:stretch>
                                  </pic:blipFill>
                                  <pic:spPr bwMode="auto">
                                    <a:xfrm>
                                      <a:off x="0" y="0"/>
                                      <a:ext cx="961390" cy="1094740"/>
                                    </a:xfrm>
                                    <a:prstGeom prst="rect">
                                      <a:avLst/>
                                    </a:prstGeom>
                                  </pic:spPr>
                                </pic:pic>
                              </a:graphicData>
                            </a:graphic>
                          </wp:inline>
                        </w:drawing>
                      </w:r>
                    </w:p>
                  </w:txbxContent>
                </v:textbox>
                <w10:wrap type="none"/>
              </v:rect>
            </w:pict>
          </mc:Fallback>
        </mc:AlternateContent>
      </w:r>
    </w:p>
    <w:p>
      <w:pPr>
        <w:pStyle w:val="Normal"/>
        <w:jc w:val="center"/>
        <w:rPr>
          <w:rFonts w:cs="Arial"/>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Text"/>
        <w:rPr/>
      </w:pPr>
      <w:r>
        <w:rPr>
          <w:rFonts w:cs="Arial" w:ascii="Arial" w:hAnsi="Arial"/>
          <w:b/>
          <w:bCs/>
          <w:sz w:val="22"/>
          <w:szCs w:val="22"/>
        </w:rPr>
        <w:t xml:space="preserve">Job Title:    </w:t>
      </w:r>
      <w:r>
        <w:rPr>
          <w:rFonts w:cs="Arial" w:ascii="Arial" w:hAnsi="Arial"/>
          <w:sz w:val="22"/>
          <w:szCs w:val="22"/>
        </w:rPr>
        <w:t xml:space="preserve">  Senior Accountant</w:t>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799"/>
        <w:gridCol w:w="3960"/>
        <w:gridCol w:w="3060"/>
        <w:gridCol w:w="1620"/>
      </w:tblGrid>
      <w:tr>
        <w:trPr>
          <w:trHeight w:val="1000" w:hRule="atLeast"/>
          <w:cantSplit w:val="true"/>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color w:val="FFFFFF"/>
                <w:sz w:val="22"/>
                <w:szCs w:val="22"/>
              </w:rPr>
            </w:pPr>
            <w:r>
              <w:rPr>
                <w:rFonts w:cs="Arial"/>
                <w:b/>
                <w:bCs/>
                <w:color w:val="FFFFFF"/>
                <w:sz w:val="22"/>
                <w:szCs w:val="22"/>
              </w:rPr>
            </w:r>
          </w:p>
          <w:p>
            <w:pPr>
              <w:pStyle w:val="Normal"/>
              <w:jc w:val="center"/>
              <w:rPr>
                <w:rFonts w:cs="Arial"/>
                <w:b/>
                <w:bCs/>
                <w:color w:val="FFFFFF"/>
                <w:sz w:val="22"/>
                <w:szCs w:val="22"/>
              </w:rPr>
            </w:pPr>
            <w:r>
              <w:rPr>
                <w:rFonts w:cs="Arial"/>
                <w:b/>
                <w:bCs/>
                <w:color w:val="FFFFFF"/>
                <w:sz w:val="22"/>
                <w:szCs w:val="22"/>
              </w:rPr>
              <w:t xml:space="preserve">Selection criteria </w:t>
            </w:r>
          </w:p>
          <w:p>
            <w:pPr>
              <w:pStyle w:val="Normal"/>
              <w:jc w:val="center"/>
              <w:rPr>
                <w:rFonts w:cs="Arial"/>
                <w:b/>
                <w:bCs/>
                <w:color w:val="FFFFFF"/>
                <w:sz w:val="22"/>
                <w:szCs w:val="22"/>
              </w:rPr>
            </w:pPr>
            <w:r>
              <w:rPr>
                <w:rFonts w:cs="Arial"/>
                <w:b/>
                <w:bCs/>
                <w:color w:val="FFFFFF"/>
                <w:sz w:val="22"/>
                <w:szCs w:val="22"/>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color w:val="FFFFFF"/>
                <w:sz w:val="22"/>
                <w:szCs w:val="22"/>
              </w:rPr>
            </w:pPr>
            <w:r>
              <w:rPr>
                <w:rFonts w:cs="Arial"/>
                <w:b/>
                <w:bCs/>
                <w:color w:val="FFFFFF"/>
                <w:sz w:val="22"/>
                <w:szCs w:val="22"/>
              </w:rPr>
            </w:r>
          </w:p>
          <w:p>
            <w:pPr>
              <w:pStyle w:val="Normal"/>
              <w:jc w:val="center"/>
              <w:rPr>
                <w:rFonts w:cs="Arial"/>
                <w:b/>
                <w:bCs/>
                <w:color w:val="FFFFFF"/>
                <w:sz w:val="22"/>
                <w:szCs w:val="22"/>
              </w:rPr>
            </w:pPr>
            <w:r>
              <w:rPr>
                <w:rFonts w:cs="Arial"/>
                <w:b/>
                <w:bCs/>
                <w:color w:val="FFFFFF"/>
                <w:sz w:val="22"/>
                <w:szCs w:val="22"/>
              </w:rPr>
              <w:t xml:space="preserve">Selection criteria </w:t>
            </w:r>
          </w:p>
          <w:p>
            <w:pPr>
              <w:pStyle w:val="Normal"/>
              <w:jc w:val="center"/>
              <w:rPr>
                <w:rFonts w:cs="Arial"/>
                <w:b/>
                <w:bCs/>
                <w:color w:val="FFFFFF"/>
                <w:sz w:val="22"/>
                <w:szCs w:val="22"/>
              </w:rPr>
            </w:pPr>
            <w:r>
              <w:rPr>
                <w:rFonts w:cs="Arial"/>
                <w:b/>
                <w:bCs/>
                <w:color w:val="FFFFFF"/>
                <w:sz w:val="22"/>
                <w:szCs w:val="22"/>
              </w:rPr>
              <w:t>(Desirable)</w:t>
            </w:r>
          </w:p>
          <w:p>
            <w:pPr>
              <w:pStyle w:val="Normal"/>
              <w:jc w:val="center"/>
              <w:rPr>
                <w:rFonts w:cs="Arial"/>
                <w:b/>
                <w:bCs/>
                <w:color w:val="FFFFFF"/>
                <w:sz w:val="22"/>
                <w:szCs w:val="22"/>
              </w:rPr>
            </w:pPr>
            <w:r>
              <w:rPr>
                <w:rFonts w:cs="Arial"/>
                <w:b/>
                <w:bCs/>
                <w:color w:val="FFFFFF"/>
                <w:sz w:val="22"/>
                <w:szCs w:val="22"/>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color w:val="FFFFFF"/>
                <w:sz w:val="22"/>
                <w:szCs w:val="22"/>
              </w:rPr>
            </w:pPr>
            <w:r>
              <w:rPr>
                <w:rFonts w:cs="Arial"/>
                <w:b/>
                <w:bCs/>
                <w:color w:val="FFFFFF"/>
                <w:sz w:val="22"/>
                <w:szCs w:val="22"/>
              </w:rPr>
            </w:r>
          </w:p>
          <w:p>
            <w:pPr>
              <w:pStyle w:val="Normal"/>
              <w:jc w:val="center"/>
              <w:rPr>
                <w:rFonts w:cs="Arial"/>
                <w:b/>
                <w:bCs/>
                <w:color w:val="FFFFFF"/>
                <w:sz w:val="22"/>
                <w:szCs w:val="22"/>
              </w:rPr>
            </w:pPr>
            <w:r>
              <w:rPr>
                <w:rFonts w:cs="Arial"/>
                <w:b/>
                <w:bCs/>
                <w:color w:val="FFFFFF"/>
                <w:sz w:val="22"/>
                <w:szCs w:val="22"/>
              </w:rPr>
              <w:t>How Assessed</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p>
            <w:pPr>
              <w:pStyle w:val="BodyText"/>
              <w:rPr>
                <w:rFonts w:cs="Arial"/>
                <w:bCs/>
                <w:color w:val="FFFFFF"/>
                <w:szCs w:val="22"/>
              </w:rPr>
            </w:pPr>
            <w:r>
              <w:rPr>
                <w:rFonts w:cs="Arial"/>
                <w:bCs/>
                <w:color w:val="FFFFFF"/>
                <w:szCs w:val="22"/>
              </w:rPr>
              <w:t>Education &amp; Qualifications</w:t>
            </w:r>
          </w:p>
          <w:p>
            <w:pPr>
              <w:pStyle w:val="Normal"/>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lang w:eastAsia="en-GB"/>
              </w:rPr>
            </w:pPr>
            <w:r>
              <w:rPr>
                <w:rFonts w:cs="Arial"/>
                <w:sz w:val="22"/>
                <w:szCs w:val="22"/>
                <w:lang w:eastAsia="en-GB"/>
              </w:rPr>
              <w:t>CCAB or CIMA qualified accountant or extensive experience at a Senior Accountant level</w:t>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t>Commitment to Continued Professional Development</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EndnoteText"/>
              <w:jc w:val="center"/>
              <w:rPr>
                <w:rFonts w:ascii="Arial" w:hAnsi="Arial" w:cs="Arial"/>
                <w:sz w:val="22"/>
                <w:szCs w:val="22"/>
              </w:rPr>
            </w:pPr>
            <w:r>
              <w:rPr>
                <w:rFonts w:cs="Arial" w:ascii="Arial" w:hAnsi="Arial"/>
                <w:sz w:val="22"/>
                <w:szCs w:val="22"/>
              </w:rPr>
              <w:t>AF</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p>
            <w:pPr>
              <w:pStyle w:val="Normal"/>
              <w:rPr>
                <w:rFonts w:cs="Arial"/>
                <w:b/>
                <w:bCs/>
                <w:color w:val="FFFFFF"/>
                <w:sz w:val="22"/>
                <w:szCs w:val="22"/>
              </w:rPr>
            </w:pPr>
            <w:r>
              <w:rPr>
                <w:rFonts w:cs="Arial"/>
                <w:b/>
                <w:bCs/>
                <w:color w:val="FFFFFF"/>
                <w:sz w:val="22"/>
                <w:szCs w:val="22"/>
              </w:rPr>
              <w:t>Experience</w:t>
            </w:r>
          </w:p>
          <w:p>
            <w:pPr>
              <w:pStyle w:val="Normal"/>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ind w:left="72" w:right="0"/>
              <w:rPr>
                <w:rFonts w:cs="Arial"/>
                <w:sz w:val="22"/>
                <w:szCs w:val="22"/>
                <w:lang w:eastAsia="en-GB"/>
              </w:rPr>
            </w:pPr>
            <w:r>
              <w:rPr>
                <w:rFonts w:cs="Arial"/>
                <w:sz w:val="22"/>
                <w:szCs w:val="22"/>
                <w:lang w:eastAsia="en-GB"/>
              </w:rPr>
              <w:t>A proven track record of working within a finance team, understanding and addressing the issues facing  services within Local Government or similar organisation.</w:t>
            </w:r>
          </w:p>
          <w:p>
            <w:pPr>
              <w:pStyle w:val="Normal"/>
              <w:rPr>
                <w:rFonts w:cs="Arial"/>
                <w:sz w:val="22"/>
                <w:szCs w:val="22"/>
                <w:lang w:eastAsia="en-GB"/>
              </w:rPr>
            </w:pPr>
            <w:r>
              <w:rPr>
                <w:rFonts w:cs="Arial"/>
                <w:sz w:val="22"/>
                <w:szCs w:val="22"/>
                <w:lang w:eastAsia="en-GB"/>
              </w:rPr>
            </w:r>
          </w:p>
          <w:p>
            <w:pPr>
              <w:pStyle w:val="Normal"/>
              <w:ind w:left="72" w:right="0"/>
              <w:rPr>
                <w:rFonts w:cs="Arial"/>
                <w:sz w:val="22"/>
                <w:szCs w:val="22"/>
                <w:lang w:eastAsia="en-GB"/>
              </w:rPr>
            </w:pPr>
            <w:r>
              <w:rPr>
                <w:rFonts w:cs="Arial"/>
                <w:sz w:val="22"/>
                <w:szCs w:val="22"/>
                <w:lang w:eastAsia="en-GB"/>
              </w:rPr>
              <w:t>A proven track record in assisting and participating in the establishment and delivery of effective performance delivering high quality work to deadlines.</w:t>
            </w:r>
          </w:p>
          <w:p>
            <w:pPr>
              <w:pStyle w:val="Normal"/>
              <w:ind w:left="72" w:right="0"/>
              <w:rPr>
                <w:rFonts w:cs="Arial"/>
                <w:sz w:val="22"/>
                <w:szCs w:val="22"/>
                <w:lang w:eastAsia="en-GB"/>
              </w:rPr>
            </w:pPr>
            <w:r>
              <w:rPr>
                <w:rFonts w:cs="Arial"/>
                <w:sz w:val="22"/>
                <w:szCs w:val="22"/>
                <w:lang w:eastAsia="en-GB"/>
              </w:rPr>
            </w:r>
          </w:p>
          <w:p>
            <w:pPr>
              <w:pStyle w:val="Normal"/>
              <w:ind w:left="88" w:right="0"/>
              <w:rPr>
                <w:rFonts w:cs="Arial"/>
                <w:sz w:val="22"/>
                <w:szCs w:val="22"/>
                <w:lang w:eastAsia="en-GB"/>
              </w:rPr>
            </w:pPr>
            <w:r>
              <w:rPr>
                <w:rFonts w:cs="Arial"/>
                <w:sz w:val="22"/>
                <w:szCs w:val="22"/>
                <w:lang w:eastAsia="en-GB"/>
              </w:rPr>
              <w:t>A proven track record of successfully managing, setting and monitoring budgets for services, including the development of integrated costings systems and methodologies, and working with budget holders to rebalance overspends.</w:t>
            </w:r>
          </w:p>
          <w:p>
            <w:pPr>
              <w:pStyle w:val="Normal"/>
              <w:ind w:left="88" w:right="0"/>
              <w:rPr>
                <w:rFonts w:cs="Arial"/>
                <w:sz w:val="22"/>
                <w:szCs w:val="22"/>
                <w:lang w:eastAsia="en-GB"/>
              </w:rPr>
            </w:pPr>
            <w:r>
              <w:rPr>
                <w:rFonts w:cs="Arial"/>
                <w:sz w:val="22"/>
                <w:szCs w:val="22"/>
                <w:lang w:eastAsia="en-GB"/>
              </w:rPr>
            </w:r>
          </w:p>
          <w:p>
            <w:pPr>
              <w:pStyle w:val="Normal"/>
              <w:ind w:left="88" w:right="0"/>
              <w:rPr>
                <w:rFonts w:cs="Arial"/>
                <w:sz w:val="22"/>
                <w:szCs w:val="22"/>
                <w:lang w:eastAsia="en-GB"/>
              </w:rPr>
            </w:pPr>
            <w:r>
              <w:rPr>
                <w:rFonts w:cs="Arial"/>
                <w:sz w:val="22"/>
                <w:szCs w:val="22"/>
                <w:lang w:eastAsia="en-GB"/>
              </w:rPr>
              <w:t>A proven track record of dealing with budgets for a capital project including costing for an initial scheme for inclusion in business cases and external applications for funding</w:t>
            </w:r>
          </w:p>
          <w:p>
            <w:pPr>
              <w:pStyle w:val="Normal"/>
              <w:ind w:left="88" w:right="0"/>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ind w:left="72" w:right="0"/>
              <w:rPr>
                <w:rFonts w:cs="Arial"/>
                <w:sz w:val="22"/>
                <w:szCs w:val="22"/>
                <w:lang w:eastAsia="en-GB"/>
              </w:rPr>
            </w:pPr>
            <w:r>
              <w:rPr>
                <w:rFonts w:cs="Arial"/>
                <w:sz w:val="22"/>
                <w:szCs w:val="22"/>
                <w:lang w:eastAsia="en-GB"/>
              </w:rPr>
              <w:t xml:space="preserve">A proven track record of researching and  preparing reports on financial issues and financial implications for reports, which are analytical, present clear options and are accessible to lay people. </w:t>
            </w:r>
          </w:p>
          <w:p>
            <w:pPr>
              <w:pStyle w:val="Normal"/>
              <w:ind w:left="72" w:right="0"/>
              <w:rPr>
                <w:rFonts w:cs="Arial"/>
                <w:sz w:val="22"/>
                <w:szCs w:val="22"/>
                <w:lang w:eastAsia="en-GB"/>
              </w:rPr>
            </w:pPr>
            <w:r>
              <w:rPr>
                <w:rFonts w:cs="Arial"/>
                <w:sz w:val="22"/>
                <w:szCs w:val="22"/>
                <w:lang w:eastAsia="en-GB"/>
              </w:rPr>
            </w:r>
          </w:p>
          <w:p>
            <w:pPr>
              <w:pStyle w:val="Normal"/>
              <w:ind w:left="72" w:right="0"/>
              <w:rPr>
                <w:rFonts w:cs="Arial"/>
                <w:sz w:val="22"/>
                <w:szCs w:val="22"/>
                <w:lang w:eastAsia="en-GB"/>
              </w:rPr>
            </w:pPr>
            <w:r>
              <w:rPr>
                <w:rFonts w:cs="Arial"/>
                <w:sz w:val="22"/>
                <w:szCs w:val="22"/>
                <w:lang w:eastAsia="en-GB"/>
              </w:rPr>
              <w:t>A proven track record of assisting in the successful delivery work programmes to meet objectives and achieve planned results through a combination of direct management and working with others.</w:t>
            </w:r>
          </w:p>
          <w:p>
            <w:pPr>
              <w:pStyle w:val="Normal"/>
              <w:ind w:left="72" w:right="0"/>
              <w:rPr>
                <w:rFonts w:cs="Arial"/>
                <w:sz w:val="22"/>
                <w:szCs w:val="22"/>
                <w:lang w:eastAsia="en-GB"/>
              </w:rPr>
            </w:pPr>
            <w:r>
              <w:rPr>
                <w:rFonts w:cs="Arial"/>
                <w:sz w:val="22"/>
                <w:szCs w:val="22"/>
                <w:lang w:eastAsia="en-GB"/>
              </w:rPr>
            </w:r>
          </w:p>
          <w:p>
            <w:pPr>
              <w:pStyle w:val="Normal"/>
              <w:ind w:left="72" w:right="0"/>
              <w:rPr>
                <w:rFonts w:cs="Arial"/>
                <w:sz w:val="22"/>
                <w:szCs w:val="22"/>
                <w:lang w:eastAsia="en-GB"/>
              </w:rPr>
            </w:pPr>
            <w:r>
              <w:rPr>
                <w:rFonts w:cs="Arial"/>
                <w:sz w:val="22"/>
                <w:szCs w:val="22"/>
                <w:lang w:eastAsia="en-GB"/>
              </w:rPr>
              <w:t>A proven track record of successfully building relationships and partnership working with a range of internal stakeholders, and customers.</w:t>
            </w:r>
          </w:p>
          <w:p>
            <w:pPr>
              <w:pStyle w:val="Normal"/>
              <w:rPr>
                <w:rFonts w:cs="Arial"/>
                <w:sz w:val="22"/>
                <w:szCs w:val="22"/>
                <w:lang w:eastAsia="en-GB"/>
              </w:rPr>
            </w:pPr>
            <w:r>
              <w:rPr>
                <w:rFonts w:cs="Arial"/>
                <w:sz w:val="22"/>
                <w:szCs w:val="22"/>
                <w:lang w:eastAsia="en-GB"/>
              </w:rPr>
            </w:r>
          </w:p>
          <w:p>
            <w:pPr>
              <w:pStyle w:val="Normal"/>
              <w:spacing w:before="0" w:after="120"/>
              <w:ind w:left="88" w:right="0"/>
              <w:rPr>
                <w:rFonts w:cs="Arial"/>
                <w:sz w:val="22"/>
                <w:szCs w:val="22"/>
                <w:lang w:eastAsia="en-GB"/>
              </w:rPr>
            </w:pPr>
            <w:r>
              <w:rPr>
                <w:rFonts w:cs="Arial"/>
                <w:sz w:val="22"/>
                <w:szCs w:val="22"/>
                <w:lang w:eastAsia="en-GB"/>
              </w:rPr>
              <w:t>Evidence of assisting in service planning and implementing measures to promote continuous service improvement.</w:t>
            </w:r>
          </w:p>
          <w:p>
            <w:pPr>
              <w:pStyle w:val="Normal"/>
              <w:spacing w:before="0" w:after="120"/>
              <w:ind w:left="88" w:right="0"/>
              <w:rPr>
                <w:rFonts w:cs="Arial"/>
                <w:sz w:val="22"/>
                <w:szCs w:val="22"/>
                <w:lang w:eastAsia="en-GB"/>
              </w:rPr>
            </w:pPr>
            <w:r>
              <w:rPr>
                <w:rFonts w:cs="Arial"/>
                <w:sz w:val="22"/>
                <w:szCs w:val="22"/>
                <w:lang w:eastAsia="en-GB"/>
              </w:rPr>
            </w:r>
          </w:p>
          <w:p>
            <w:pPr>
              <w:pStyle w:val="Normal"/>
              <w:ind w:left="88" w:right="0"/>
              <w:rPr>
                <w:rFonts w:cs="Arial"/>
                <w:sz w:val="22"/>
                <w:szCs w:val="22"/>
                <w:lang w:eastAsia="en-GB"/>
              </w:rPr>
            </w:pPr>
            <w:r>
              <w:rPr>
                <w:rFonts w:cs="Arial"/>
                <w:sz w:val="22"/>
                <w:szCs w:val="22"/>
                <w:lang w:eastAsia="en-GB"/>
              </w:rPr>
              <w:t xml:space="preserve">A proven track record of successfully  assisting in the technical accounting preparation of the closure of the accounts  including interpretation of accounting developments such as IFRS and capital accounting procedures </w:t>
            </w:r>
          </w:p>
          <w:p>
            <w:pPr>
              <w:pStyle w:val="Normal"/>
              <w:ind w:left="88" w:right="0"/>
              <w:rPr>
                <w:rFonts w:cs="Arial"/>
                <w:sz w:val="22"/>
                <w:szCs w:val="22"/>
                <w:lang w:eastAsia="en-GB"/>
              </w:rPr>
            </w:pPr>
            <w:r>
              <w:rPr>
                <w:rFonts w:cs="Arial"/>
                <w:sz w:val="22"/>
                <w:szCs w:val="22"/>
                <w:lang w:eastAsia="en-GB"/>
              </w:rPr>
            </w:r>
          </w:p>
          <w:p>
            <w:pPr>
              <w:pStyle w:val="Normal"/>
              <w:ind w:left="88" w:right="0"/>
              <w:rPr>
                <w:rFonts w:cs="Arial"/>
                <w:sz w:val="22"/>
                <w:szCs w:val="22"/>
                <w:lang w:eastAsia="en-GB"/>
              </w:rPr>
            </w:pPr>
            <w:r>
              <w:rPr>
                <w:rFonts w:cs="Arial"/>
                <w:sz w:val="22"/>
                <w:szCs w:val="22"/>
                <w:lang w:eastAsia="en-GB"/>
              </w:rPr>
              <w:t>A proven track record of working with and improving a financial ledger system such as Agresso.</w:t>
            </w:r>
          </w:p>
          <w:p>
            <w:pPr>
              <w:pStyle w:val="Normal"/>
              <w:ind w:left="88" w:right="0"/>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ind w:left="360" w:right="0"/>
              <w:jc w:val="center"/>
              <w:rPr>
                <w:rFonts w:cs="Arial"/>
                <w:sz w:val="22"/>
                <w:szCs w:val="22"/>
              </w:rPr>
            </w:pPr>
            <w:r>
              <w:rPr>
                <w:rFonts w:cs="Arial"/>
                <w:sz w:val="22"/>
                <w:szCs w:val="22"/>
              </w:rPr>
              <w:t>AF / I</w:t>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t>AF / I</w:t>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t>AF / I</w:t>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t>AF / I</w:t>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t>AF / I</w:t>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t>AF / I</w:t>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t>AF / I</w:t>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t>AF / I</w:t>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t>AF / I</w:t>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r>
          </w:p>
          <w:p>
            <w:pPr>
              <w:pStyle w:val="Normal"/>
              <w:ind w:left="360" w:right="0"/>
              <w:jc w:val="center"/>
              <w:rPr>
                <w:rFonts w:cs="Arial"/>
                <w:sz w:val="22"/>
                <w:szCs w:val="22"/>
              </w:rPr>
            </w:pPr>
            <w:r>
              <w:rPr>
                <w:rFonts w:cs="Arial"/>
                <w:sz w:val="22"/>
                <w:szCs w:val="22"/>
              </w:rPr>
              <w:t>AF / I</w:t>
            </w:r>
          </w:p>
          <w:p>
            <w:pPr>
              <w:pStyle w:val="Normal"/>
              <w:ind w:left="360" w:right="0"/>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p>
            <w:pPr>
              <w:pStyle w:val="Normal"/>
              <w:rPr>
                <w:rFonts w:cs="Arial"/>
                <w:b/>
                <w:bCs/>
                <w:color w:val="FFFFFF"/>
                <w:sz w:val="22"/>
                <w:szCs w:val="22"/>
              </w:rPr>
            </w:pPr>
            <w:r>
              <w:rPr>
                <w:rFonts w:cs="Arial"/>
                <w:b/>
                <w:bCs/>
                <w:color w:val="FFFFFF"/>
                <w:sz w:val="22"/>
                <w:szCs w:val="22"/>
              </w:rPr>
              <w:t>Skills &amp; Abilities</w:t>
            </w:r>
          </w:p>
          <w:p>
            <w:pPr>
              <w:pStyle w:val="Normal"/>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lang w:eastAsia="en-GB"/>
              </w:rPr>
            </w:pPr>
            <w:r>
              <w:rPr>
                <w:rFonts w:cs="Arial"/>
                <w:sz w:val="22"/>
                <w:szCs w:val="22"/>
                <w:lang w:eastAsia="en-GB"/>
              </w:rPr>
              <w:t xml:space="preserve">Ability to motivate, enthuse, inform, and develop people, both within the team, and those in other departments. </w:t>
            </w:r>
          </w:p>
          <w:p>
            <w:pPr>
              <w:pStyle w:val="Normal"/>
              <w:rPr>
                <w:rFonts w:cs="Arial"/>
                <w:b/>
                <w:sz w:val="22"/>
                <w:szCs w:val="22"/>
                <w:lang w:eastAsia="en-GB"/>
              </w:rPr>
            </w:pPr>
            <w:r>
              <w:rPr>
                <w:rFonts w:cs="Arial"/>
                <w:b/>
                <w:sz w:val="22"/>
                <w:szCs w:val="22"/>
                <w:lang w:eastAsia="en-GB"/>
              </w:rPr>
            </w:r>
          </w:p>
          <w:p>
            <w:pPr>
              <w:pStyle w:val="Normal"/>
              <w:rPr>
                <w:rFonts w:cs="Arial"/>
                <w:sz w:val="22"/>
                <w:szCs w:val="22"/>
                <w:lang w:eastAsia="en-GB"/>
              </w:rPr>
            </w:pPr>
            <w:r>
              <w:rPr>
                <w:rFonts w:cs="Arial"/>
                <w:sz w:val="22"/>
                <w:szCs w:val="22"/>
                <w:lang w:eastAsia="en-GB"/>
              </w:rPr>
              <w:t>Understands the impact of change on staff and is able to assist in creating a supportive environment, where team members feel able to share knowledge and innovative ideas and challenge current procedures</w:t>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t>Ability to use persuading and influencing skills to bring about behavioural change and achieve desired results/outcomes as necessary</w:t>
            </w:r>
          </w:p>
          <w:p>
            <w:pPr>
              <w:pStyle w:val="Normal"/>
              <w:rPr>
                <w:rFonts w:cs="Arial"/>
                <w:b/>
                <w:sz w:val="22"/>
                <w:szCs w:val="22"/>
                <w:lang w:eastAsia="en-GB"/>
              </w:rPr>
            </w:pPr>
            <w:r>
              <w:rPr>
                <w:rFonts w:cs="Arial"/>
                <w:b/>
                <w:sz w:val="22"/>
                <w:szCs w:val="22"/>
                <w:lang w:eastAsia="en-GB"/>
              </w:rPr>
            </w:r>
          </w:p>
          <w:p>
            <w:pPr>
              <w:pStyle w:val="Normal"/>
              <w:rPr>
                <w:rFonts w:cs="Arial"/>
                <w:sz w:val="22"/>
                <w:szCs w:val="22"/>
                <w:lang w:eastAsia="en-GB"/>
              </w:rPr>
            </w:pPr>
            <w:r>
              <w:rPr>
                <w:rFonts w:cs="Arial"/>
                <w:sz w:val="22"/>
                <w:szCs w:val="22"/>
                <w:lang w:eastAsia="en-GB"/>
              </w:rPr>
              <w:t xml:space="preserve">Able to work through problems, evaluate risks and offer practical solutions </w:t>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t>Effective presentation, communication and interpersonal skills and ability to apply these effectively to a variety of audiences including the ability to chair and facilitate meetings with officers.</w:t>
            </w:r>
          </w:p>
          <w:p>
            <w:pPr>
              <w:pStyle w:val="Normal"/>
              <w:rPr>
                <w:rFonts w:cs="Arial"/>
                <w:b/>
                <w:sz w:val="22"/>
                <w:szCs w:val="22"/>
                <w:lang w:eastAsia="en-GB"/>
              </w:rPr>
            </w:pPr>
            <w:r>
              <w:rPr>
                <w:rFonts w:cs="Arial"/>
                <w:b/>
                <w:sz w:val="22"/>
                <w:szCs w:val="22"/>
                <w:lang w:eastAsia="en-GB"/>
              </w:rPr>
            </w:r>
          </w:p>
          <w:p>
            <w:pPr>
              <w:pStyle w:val="Normal"/>
              <w:rPr>
                <w:rFonts w:cs="Arial"/>
                <w:sz w:val="22"/>
                <w:szCs w:val="22"/>
                <w:lang w:eastAsia="en-GB"/>
              </w:rPr>
            </w:pPr>
            <w:r>
              <w:rPr>
                <w:rFonts w:cs="Arial"/>
                <w:sz w:val="22"/>
                <w:szCs w:val="22"/>
                <w:lang w:eastAsia="en-GB"/>
              </w:rPr>
              <w:t>Demonstrates relentless drive for efficiency, improvement and high standards of excellence including actively seeking customer feedback and responding to it effectively by implementing changes where necessary.</w:t>
            </w:r>
          </w:p>
          <w:p>
            <w:pPr>
              <w:pStyle w:val="Normal"/>
              <w:rPr>
                <w:rFonts w:cs="Arial"/>
                <w:strike/>
                <w:sz w:val="22"/>
                <w:szCs w:val="22"/>
                <w:lang w:eastAsia="en-GB"/>
              </w:rPr>
            </w:pPr>
            <w:r>
              <w:rPr>
                <w:rFonts w:cs="Arial"/>
                <w:strike/>
                <w:sz w:val="22"/>
                <w:szCs w:val="22"/>
                <w:lang w:eastAsia="en-GB"/>
              </w:rPr>
            </w:r>
          </w:p>
          <w:p>
            <w:pPr>
              <w:pStyle w:val="Normal"/>
              <w:rPr>
                <w:rFonts w:cs="Arial"/>
                <w:sz w:val="22"/>
                <w:szCs w:val="22"/>
                <w:lang w:eastAsia="en-GB"/>
              </w:rPr>
            </w:pPr>
            <w:r>
              <w:rPr>
                <w:rFonts w:cs="Arial"/>
                <w:sz w:val="22"/>
                <w:szCs w:val="22"/>
                <w:lang w:eastAsia="en-GB"/>
              </w:rPr>
              <w:t>An ability to plan ahead, to challenge processes, procedures and reports and to continually improve the standard of operations.</w:t>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t>Able to use new technologies in improving services, and modernising working processes</w:t>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t>High personal standards, organised and able to work to deadlines and plan ahead</w:t>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t>Able to interpret a wide range of financial and performance data</w:t>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t>The ability to work with the customer  in developing creative solutions to budgetary and operational  issues.</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t>.</w:t>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r>
          </w:p>
          <w:p>
            <w:pPr>
              <w:pStyle w:val="Normal"/>
              <w:ind w:left="360" w:right="0"/>
              <w:rPr>
                <w:rFonts w:cs="Arial"/>
                <w:sz w:val="22"/>
                <w:szCs w:val="22"/>
                <w:lang w:eastAsia="en-GB"/>
              </w:rPr>
            </w:pPr>
            <w:r>
              <w:rPr>
                <w:rFonts w:cs="Arial"/>
                <w:sz w:val="22"/>
                <w:szCs w:val="22"/>
                <w:lang w:eastAsia="en-GB"/>
              </w:rPr>
            </w:r>
          </w:p>
        </w:tc>
        <w:tc>
          <w:tcPr>
            <w:tcW w:w="1620" w:type="dxa"/>
            <w:tcBorders>
              <w:top w:val="single" w:sz="4" w:space="0" w:color="000000"/>
              <w:left w:val="single" w:sz="4" w:space="0" w:color="000000"/>
              <w:bottom w:val="single" w:sz="4" w:space="0" w:color="000000"/>
              <w:right w:val="single" w:sz="4" w:space="0" w:color="000000"/>
            </w:tcBorders>
          </w:tcPr>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r>
          </w:p>
          <w:p>
            <w:pPr>
              <w:pStyle w:val="EndnoteText"/>
              <w:jc w:val="center"/>
              <w:rPr>
                <w:rFonts w:ascii="Arial" w:hAnsi="Arial" w:cs="Arial"/>
                <w:sz w:val="22"/>
                <w:szCs w:val="22"/>
              </w:rPr>
            </w:pPr>
            <w:r>
              <w:rPr>
                <w:rFonts w:cs="Arial" w:ascii="Arial" w:hAnsi="Arial"/>
                <w:sz w:val="22"/>
                <w:szCs w:val="22"/>
              </w:rPr>
              <w:t>AF / I</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p>
            <w:pPr>
              <w:pStyle w:val="Normal"/>
              <w:rPr>
                <w:rFonts w:cs="Arial"/>
                <w:b/>
                <w:bCs/>
                <w:color w:val="FFFFFF"/>
                <w:sz w:val="22"/>
                <w:szCs w:val="22"/>
              </w:rPr>
            </w:pPr>
            <w:r>
              <w:rPr>
                <w:rFonts w:cs="Arial"/>
                <w:b/>
                <w:bCs/>
                <w:color w:val="FFFFFF"/>
                <w:sz w:val="22"/>
                <w:szCs w:val="22"/>
              </w:rPr>
              <w:t>Knowledge</w:t>
            </w:r>
          </w:p>
          <w:p>
            <w:pPr>
              <w:pStyle w:val="Normal"/>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lang w:eastAsia="en-GB"/>
              </w:rPr>
            </w:pPr>
            <w:r>
              <w:rPr>
                <w:rFonts w:cs="Arial"/>
                <w:sz w:val="22"/>
                <w:szCs w:val="22"/>
                <w:lang w:eastAsia="en-GB"/>
              </w:rPr>
              <w:t>Knowledge of key national policy drivers, legislation and broader influences related to the role.</w:t>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t>A clear understanding and knowledge of the workings of local government and including its legal, financial, social and political context, political processes and the current issues faced in a multi-cultural area</w:t>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t>Knowledge of risk management practices.</w:t>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t>Wide understanding of financial planning.</w:t>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t>Knowledge of Performance Indicators National &amp; Local</w:t>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t>Knowledge of research techniques, leading to the preparation and presentation of reports on complex issues presenting clear, concise options</w:t>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t>Knowledge of up to date relevant costing, project evaluation, budgeting.</w:t>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t>Knowledge of up to date financial reporting standards and relevant CIPFA guidance and accounting procedures.</w:t>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t>Knowledge of relevant tax legislation with which a local authority and its associated bodies must comply.</w:t>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lang w:val="en-US"/>
              </w:rPr>
            </w:pPr>
            <w:r>
              <w:rPr>
                <w:rFonts w:cs="Arial"/>
                <w:sz w:val="22"/>
                <w:szCs w:val="22"/>
                <w:lang w:val="en-US"/>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lang w:eastAsia="en-GB"/>
              </w:rPr>
            </w:pPr>
            <w:r>
              <w:rPr>
                <w:rFonts w:cs="Arial"/>
                <w:sz w:val="22"/>
                <w:szCs w:val="22"/>
                <w:lang w:eastAsia="en-GB"/>
              </w:rPr>
              <w:t>AF / I</w:t>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t>AF / I</w:t>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t>AF / I</w:t>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t>AF / I</w:t>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t>AF / I</w:t>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t>AF / I</w:t>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t>AF / I</w:t>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t>AF / I</w:t>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r>
          </w:p>
          <w:p>
            <w:pPr>
              <w:pStyle w:val="Normal"/>
              <w:jc w:val="center"/>
              <w:rPr>
                <w:rFonts w:cs="Arial"/>
                <w:sz w:val="22"/>
                <w:szCs w:val="22"/>
                <w:lang w:eastAsia="en-GB"/>
              </w:rPr>
            </w:pPr>
            <w:r>
              <w:rPr>
                <w:rFonts w:cs="Arial"/>
                <w:sz w:val="22"/>
                <w:szCs w:val="22"/>
                <w:lang w:eastAsia="en-GB"/>
              </w:rPr>
              <w:t>AF / I</w:t>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color w:val="FFFFFF"/>
                <w:sz w:val="22"/>
                <w:szCs w:val="22"/>
              </w:rPr>
            </w:pPr>
            <w:r>
              <w:rPr>
                <w:rFonts w:cs="Arial"/>
                <w:b/>
                <w:bCs/>
                <w:color w:val="FFFFFF"/>
                <w:sz w:val="22"/>
                <w:szCs w:val="22"/>
              </w:rPr>
            </w:r>
          </w:p>
          <w:p>
            <w:pPr>
              <w:pStyle w:val="BodyText"/>
              <w:rPr>
                <w:rFonts w:cs="Arial"/>
                <w:bCs/>
                <w:color w:val="FFFFFF"/>
                <w:szCs w:val="22"/>
              </w:rPr>
            </w:pPr>
            <w:r>
              <w:rPr>
                <w:rFonts w:cs="Arial"/>
                <w:bCs/>
                <w:color w:val="FFFFFF"/>
                <w:szCs w:val="22"/>
              </w:rPr>
              <w:t>Work Circumstances</w:t>
            </w:r>
          </w:p>
          <w:p>
            <w:pPr>
              <w:pStyle w:val="Normal"/>
              <w:rPr>
                <w:rFonts w:cs="Arial"/>
                <w:b/>
                <w:bCs/>
                <w:color w:val="FFFFFF"/>
                <w:sz w:val="22"/>
                <w:szCs w:val="22"/>
              </w:rPr>
            </w:pPr>
            <w:r>
              <w:rPr>
                <w:rFonts w:cs="Arial"/>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lang w:eastAsia="en-GB"/>
              </w:rPr>
            </w:pPr>
            <w:r>
              <w:rPr>
                <w:rFonts w:cs="Arial"/>
                <w:sz w:val="22"/>
                <w:szCs w:val="22"/>
                <w:lang w:eastAsia="en-GB"/>
              </w:rPr>
              <w:t>Must be prepared to work flexibly to meet deadlines and to attend evening meetings as required.</w:t>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t>Must be able to visit all of the Directorate’s premises and sites.</w:t>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t>Willingness to travel outside the Borough</w:t>
            </w:r>
          </w:p>
          <w:p>
            <w:pPr>
              <w:pStyle w:val="Normal"/>
              <w:ind w:left="360" w:right="0"/>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ind w:left="360" w:right="0"/>
              <w:jc w:val="center"/>
              <w:rPr>
                <w:rFonts w:cs="Arial"/>
                <w:sz w:val="22"/>
                <w:szCs w:val="22"/>
                <w:lang w:eastAsia="en-GB"/>
              </w:rPr>
            </w:pPr>
            <w:r>
              <w:rPr>
                <w:rFonts w:cs="Arial"/>
                <w:sz w:val="22"/>
                <w:szCs w:val="22"/>
                <w:lang w:eastAsia="en-GB"/>
              </w:rPr>
              <w:t>I</w:t>
            </w:r>
          </w:p>
          <w:p>
            <w:pPr>
              <w:pStyle w:val="Normal"/>
              <w:ind w:left="360" w:right="0"/>
              <w:jc w:val="center"/>
              <w:rPr>
                <w:rFonts w:cs="Arial"/>
                <w:sz w:val="22"/>
                <w:szCs w:val="22"/>
                <w:lang w:eastAsia="en-GB"/>
              </w:rPr>
            </w:pPr>
            <w:r>
              <w:rPr>
                <w:rFonts w:cs="Arial"/>
                <w:sz w:val="22"/>
                <w:szCs w:val="22"/>
                <w:lang w:eastAsia="en-GB"/>
              </w:rPr>
            </w:r>
          </w:p>
          <w:p>
            <w:pPr>
              <w:pStyle w:val="Normal"/>
              <w:ind w:left="360" w:right="0"/>
              <w:jc w:val="center"/>
              <w:rPr>
                <w:rFonts w:cs="Arial"/>
                <w:sz w:val="22"/>
                <w:szCs w:val="22"/>
                <w:lang w:eastAsia="en-GB"/>
              </w:rPr>
            </w:pPr>
            <w:r>
              <w:rPr>
                <w:rFonts w:cs="Arial"/>
                <w:sz w:val="22"/>
                <w:szCs w:val="22"/>
                <w:lang w:eastAsia="en-GB"/>
              </w:rPr>
            </w:r>
          </w:p>
          <w:p>
            <w:pPr>
              <w:pStyle w:val="Normal"/>
              <w:ind w:left="360" w:right="0"/>
              <w:jc w:val="center"/>
              <w:rPr>
                <w:rFonts w:cs="Arial"/>
                <w:sz w:val="22"/>
                <w:szCs w:val="22"/>
                <w:lang w:eastAsia="en-GB"/>
              </w:rPr>
            </w:pPr>
            <w:r>
              <w:rPr>
                <w:rFonts w:cs="Arial"/>
                <w:sz w:val="22"/>
                <w:szCs w:val="22"/>
                <w:lang w:eastAsia="en-GB"/>
              </w:rPr>
            </w:r>
          </w:p>
          <w:p>
            <w:pPr>
              <w:pStyle w:val="Normal"/>
              <w:ind w:left="360" w:right="0"/>
              <w:jc w:val="center"/>
              <w:rPr>
                <w:rFonts w:cs="Arial"/>
                <w:sz w:val="22"/>
                <w:szCs w:val="22"/>
                <w:lang w:eastAsia="en-GB"/>
              </w:rPr>
            </w:pPr>
            <w:r>
              <w:rPr>
                <w:rFonts w:cs="Arial"/>
                <w:sz w:val="22"/>
                <w:szCs w:val="22"/>
                <w:lang w:eastAsia="en-GB"/>
              </w:rPr>
              <w:t>I</w:t>
            </w:r>
          </w:p>
          <w:p>
            <w:pPr>
              <w:pStyle w:val="Normal"/>
              <w:ind w:left="360" w:right="0"/>
              <w:jc w:val="center"/>
              <w:rPr>
                <w:rFonts w:cs="Arial"/>
                <w:sz w:val="22"/>
                <w:szCs w:val="22"/>
                <w:lang w:eastAsia="en-GB"/>
              </w:rPr>
            </w:pPr>
            <w:r>
              <w:rPr>
                <w:rFonts w:cs="Arial"/>
                <w:sz w:val="22"/>
                <w:szCs w:val="22"/>
                <w:lang w:eastAsia="en-GB"/>
              </w:rPr>
            </w:r>
          </w:p>
          <w:p>
            <w:pPr>
              <w:pStyle w:val="Normal"/>
              <w:ind w:left="360" w:right="0"/>
              <w:jc w:val="center"/>
              <w:rPr>
                <w:rFonts w:cs="Arial"/>
                <w:sz w:val="22"/>
                <w:szCs w:val="22"/>
                <w:lang w:eastAsia="en-GB"/>
              </w:rPr>
            </w:pPr>
            <w:r>
              <w:rPr>
                <w:rFonts w:cs="Arial"/>
                <w:sz w:val="22"/>
                <w:szCs w:val="22"/>
                <w:lang w:eastAsia="en-GB"/>
              </w:rPr>
            </w:r>
          </w:p>
          <w:p>
            <w:pPr>
              <w:pStyle w:val="Normal"/>
              <w:ind w:left="360" w:right="0"/>
              <w:jc w:val="center"/>
              <w:rPr>
                <w:rFonts w:cs="Arial"/>
                <w:sz w:val="22"/>
                <w:szCs w:val="22"/>
                <w:lang w:eastAsia="en-GB"/>
              </w:rPr>
            </w:pPr>
            <w:r>
              <w:rPr>
                <w:rFonts w:cs="Arial"/>
                <w:sz w:val="22"/>
                <w:szCs w:val="22"/>
                <w:lang w:eastAsia="en-GB"/>
              </w:rPr>
              <w:t>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those who have previously been in or currently in care, those that are carers, and those who have served in the Armed Forces as a regular, reserve or cadet.</w:t>
      </w:r>
    </w:p>
    <w:p>
      <w:pPr>
        <w:pStyle w:val="Normal"/>
        <w:rPr/>
      </w:pPr>
      <w:r>
        <w:rPr/>
      </w:r>
    </w:p>
    <w:sectPr>
      <w:headerReference w:type="default" r:id="rId6"/>
      <w:headerReference w:type="first" r:id="rId7"/>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paragraph" w:styleId="Heading2">
    <w:name w:val="Heading 2"/>
    <w:basedOn w:val="Normal"/>
    <w:next w:val="Normal"/>
    <w:qFormat/>
    <w:pPr>
      <w:keepNext w:val="true"/>
      <w:numPr>
        <w:ilvl w:val="1"/>
        <w:numId w:val="1"/>
      </w:numPr>
      <w:spacing w:before="240" w:after="60"/>
      <w:outlineLvl w:val="1"/>
    </w:pPr>
    <w:rPr>
      <w:rFonts w:cs="Arial"/>
      <w:b/>
      <w:bCs/>
      <w:i/>
      <w:iCs/>
      <w:sz w:val="28"/>
      <w:szCs w:val="28"/>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Heading2Char">
    <w:name w:val="Heading 2 Char"/>
    <w:qFormat/>
    <w:rPr>
      <w:rFonts w:ascii="Arial" w:hAnsi="Arial" w:cs="Arial"/>
      <w:b/>
      <w:bCs/>
      <w:i/>
      <w:iCs/>
      <w:sz w:val="28"/>
      <w:szCs w:val="28"/>
      <w:lang w:eastAsia="en-US"/>
    </w:rPr>
  </w:style>
  <w:style w:type="character" w:styleId="Hyperlink">
    <w:name w:val="Hyperlink"/>
    <w:rPr>
      <w:color w:val="0563C1"/>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1.wmf"/><Relationship Id="rId4" Type="http://schemas.openxmlformats.org/officeDocument/2006/relationships/image" Target="media/image1.wmf"/><Relationship Id="rId5" Type="http://schemas.openxmlformats.org/officeDocument/2006/relationships/image" Target="media/image1.wmf"/><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