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cs="Arial"/>
          <w:sz w:val="22"/>
          <w:szCs w:val="22"/>
        </w:rPr>
      </w:pPr>
      <w:r>
        <w:rPr>
          <w:rFonts w:cs="Arial"/>
          <w:sz w:val="22"/>
          <w:szCs w:val="22"/>
        </w:rPr>
      </w:r>
    </w:p>
    <w:p>
      <w:pPr>
        <w:pStyle w:val="Heading1"/>
        <w:spacing w:lineRule="auto" w:line="240"/>
        <w:rPr>
          <w:rFonts w:cs="Arial"/>
          <w:sz w:val="22"/>
          <w:szCs w:val="22"/>
        </w:rPr>
      </w:pPr>
      <w:r>
        <w:rPr>
          <w:rFonts w:cs="Arial"/>
          <w:sz w:val="22"/>
          <w:szCs w:val="22"/>
        </w:rPr>
      </w:r>
    </w:p>
    <w:p>
      <w:pPr>
        <w:pStyle w:val="Normal"/>
        <w:jc w:val="center"/>
        <w:rPr>
          <w:rFonts w:cs="Arial"/>
          <w:b/>
          <w:b/>
          <w:bCs/>
          <w:sz w:val="22"/>
          <w:szCs w:val="22"/>
          <w:u w:val="single"/>
        </w:rPr>
      </w:pP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JOB DESCRIPTION</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r>
    </w:p>
    <w:tbl>
      <w:tblPr>
        <w:tblW w:w="10449" w:type="dxa"/>
        <w:jc w:val="left"/>
        <w:tblInd w:w="-617" w:type="dxa"/>
        <w:tblCellMar>
          <w:top w:w="0" w:type="dxa"/>
          <w:left w:w="108" w:type="dxa"/>
          <w:bottom w:w="0" w:type="dxa"/>
          <w:right w:w="108" w:type="dxa"/>
        </w:tblCellMar>
      </w:tblPr>
      <w:tblGrid>
        <w:gridCol w:w="1451"/>
        <w:gridCol w:w="2869"/>
        <w:gridCol w:w="2179"/>
        <w:gridCol w:w="3950"/>
      </w:tblGrid>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98" w:type="dxa"/>
            <w:gridSpan w:val="3"/>
            <w:tcBorders>
              <w:top w:val="single" w:sz="4" w:space="0" w:color="000000"/>
              <w:left w:val="single" w:sz="4" w:space="0" w:color="000000"/>
              <w:bottom w:val="single" w:sz="4" w:space="0" w:color="000000"/>
              <w:right w:val="single" w:sz="4" w:space="0" w:color="000000"/>
            </w:tcBorders>
            <w:shd w:fill="auto" w:val="clear"/>
          </w:tcPr>
          <w:p>
            <w:pPr>
              <w:pStyle w:val="Endnote"/>
              <w:rPr>
                <w:rFonts w:ascii="Arial" w:hAnsi="Arial" w:cs="Arial"/>
                <w:sz w:val="22"/>
                <w:szCs w:val="22"/>
              </w:rPr>
            </w:pPr>
            <w:r>
              <w:rPr>
                <w:rFonts w:cs="Arial" w:ascii="Arial" w:hAnsi="Arial"/>
                <w:sz w:val="22"/>
                <w:szCs w:val="22"/>
              </w:rPr>
              <w:t>Expert at Hand – Early Years Advisory Teacher</w:t>
            </w:r>
          </w:p>
        </w:tc>
      </w:tr>
      <w:tr>
        <w:trPr>
          <w:trHeight w:val="675" w:hRule="atLeast"/>
          <w:cantSplit w:val="true"/>
        </w:trPr>
        <w:tc>
          <w:tcPr>
            <w:tcW w:w="1451"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869"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Children’s Service</w:t>
            </w:r>
          </w:p>
        </w:tc>
        <w:tc>
          <w:tcPr>
            <w:tcW w:w="2179" w:type="dxa"/>
            <w:tcBorders>
              <w:top w:val="single" w:sz="4" w:space="0" w:color="000000"/>
              <w:left w:val="single" w:sz="4" w:space="0" w:color="000000"/>
              <w:bottom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sz w:val="22"/>
                <w:szCs w:val="22"/>
              </w:rPr>
            </w:pPr>
            <w:r>
              <w:rPr>
                <w:rFonts w:cs="Arial"/>
                <w:sz w:val="22"/>
                <w:szCs w:val="22"/>
              </w:rPr>
              <w:t>Education, Skills and Early Years</w:t>
            </w:r>
          </w:p>
        </w:tc>
      </w:tr>
      <w:tr>
        <w:trPr>
          <w:cantSplit w:val="true"/>
        </w:trPr>
        <w:tc>
          <w:tcPr>
            <w:tcW w:w="1451" w:type="dxa"/>
            <w:tcBorders>
              <w:top w:val="single" w:sz="4" w:space="0" w:color="000000"/>
              <w:left w:val="single" w:sz="4" w:space="0" w:color="000000"/>
              <w:bottom w:val="single" w:sz="4" w:space="0" w:color="000000"/>
            </w:tcBorders>
            <w:shd w:fill="00B3BE" w:val="clear"/>
          </w:tcPr>
          <w:p>
            <w:pPr>
              <w:pStyle w:val="Normal"/>
              <w:rPr>
                <w:rFonts w:cs="Arial"/>
                <w:b/>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869"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7</w:t>
            </w:r>
          </w:p>
        </w:tc>
        <w:tc>
          <w:tcPr>
            <w:tcW w:w="2179"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rPr>
                <w:rFonts w:cs="Arial"/>
                <w:b/>
                <w:b/>
                <w:szCs w:val="22"/>
              </w:rPr>
            </w:pPr>
            <w:r>
              <w:rPr>
                <w:rFonts w:cs="Arial"/>
                <w:b/>
                <w:szCs w:val="22"/>
              </w:rPr>
              <w:t>JE Reference:</w:t>
            </w:r>
          </w:p>
        </w:tc>
        <w:tc>
          <w:tcPr>
            <w:tcW w:w="3950" w:type="dxa"/>
            <w:tcBorders>
              <w:top w:val="single" w:sz="4" w:space="0" w:color="000000"/>
              <w:left w:val="single" w:sz="4" w:space="0" w:color="000000"/>
              <w:bottom w:val="single" w:sz="4" w:space="0" w:color="000000"/>
              <w:right w:val="single" w:sz="4" w:space="0" w:color="000000"/>
            </w:tcBorders>
            <w:shd w:fill="auto" w:val="clear"/>
          </w:tcPr>
          <w:p>
            <w:pPr>
              <w:pStyle w:val="Header"/>
              <w:tabs>
                <w:tab w:val="clear" w:pos="4153"/>
                <w:tab w:val="clear" w:pos="8306"/>
              </w:tabs>
              <w:rPr>
                <w:rFonts w:cs="Arial"/>
                <w:szCs w:val="22"/>
              </w:rPr>
            </w:pPr>
            <w:r>
              <w:rPr>
                <w:rFonts w:cs="Arial"/>
                <w:szCs w:val="22"/>
              </w:rPr>
              <w:t>11259</w:t>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58" w:type="dxa"/>
        <w:jc w:val="left"/>
        <w:tblInd w:w="-606" w:type="dxa"/>
        <w:tblCellMar>
          <w:top w:w="0" w:type="dxa"/>
          <w:left w:w="108" w:type="dxa"/>
          <w:bottom w:w="0" w:type="dxa"/>
          <w:right w:w="108" w:type="dxa"/>
        </w:tblCellMar>
      </w:tblPr>
      <w:tblGrid>
        <w:gridCol w:w="10358"/>
      </w:tblGrid>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rHeight w:val="721"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Cs/>
                <w:sz w:val="22"/>
                <w:szCs w:val="22"/>
              </w:rPr>
            </w:pPr>
            <w:r>
              <w:rPr>
                <w:rFonts w:cs="Arial"/>
                <w:bCs/>
                <w:sz w:val="22"/>
                <w:szCs w:val="22"/>
              </w:rPr>
              <w:t>To support the delivery of Oldham's Best Start in Life Strategy, SEND Reform Programme and Early Years Improvement priorities by working collaboratively with schools, academies, maintained nursery schools, private, voluntary and independent (PVI) providers, childminders and multi-agency partners.</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The postholder will drive improvements in outcomes for children from birth to five through the provision of high-quality support, challenge, advice, training and workforce development. The role will promote inclusive practice, strengthen early identification and intervention, support implementation of SEND reforms and improve school readiness and child development outcomes.</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t>The role will lead the development of district-based Early Years Networks across Oldham, facilitating collaboration, professional learning and the sharing of effective practice between providers and partners. Through quality improvement activity, coaching, training and partnership working, the postholder will support settings to improve provision and ensure all children, particularly those facing disadvantage or requiring additional support, can achieve their full potential.</w:t>
            </w:r>
          </w:p>
          <w:p>
            <w:pPr>
              <w:pStyle w:val="Normal"/>
              <w:rPr>
                <w:rFonts w:cs="Arial"/>
                <w:bCs/>
                <w:sz w:val="22"/>
                <w:szCs w:val="22"/>
              </w:rPr>
            </w:pPr>
            <w:r>
              <w:rPr>
                <w:rFonts w:cs="Arial"/>
                <w:bCs/>
                <w:sz w:val="22"/>
                <w:szCs w:val="22"/>
              </w:rPr>
            </w:r>
          </w:p>
          <w:p>
            <w:pPr>
              <w:pStyle w:val="Normal"/>
              <w:rPr>
                <w:rFonts w:cs="Arial"/>
                <w:bCs/>
                <w:sz w:val="22"/>
                <w:szCs w:val="22"/>
              </w:rPr>
            </w:pPr>
            <w:r>
              <w:rPr>
                <w:rFonts w:cs="Arial"/>
                <w:bCs/>
                <w:sz w:val="22"/>
                <w:szCs w:val="22"/>
              </w:rPr>
            </w:r>
          </w:p>
        </w:tc>
      </w:tr>
      <w:tr>
        <w:trPr/>
        <w:tc>
          <w:tcPr>
            <w:tcW w:w="10358" w:type="dxa"/>
            <w:tcBorders>
              <w:top w:val="single" w:sz="4" w:space="0" w:color="000000"/>
              <w:left w:val="single" w:sz="4" w:space="0" w:color="000000"/>
              <w:bottom w:val="single" w:sz="4" w:space="0" w:color="000000"/>
              <w:right w:val="single" w:sz="4" w:space="0" w:color="000000"/>
            </w:tcBorders>
            <w:shd w:fill="33CCCC" w:val="clear"/>
          </w:tcPr>
          <w:p>
            <w:pPr>
              <w:pStyle w:val="Normal"/>
              <w:rPr>
                <w:rFonts w:cs="Arial"/>
                <w:b/>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rHeight w:val="1020" w:hRule="atLeast"/>
        </w:trPr>
        <w:tc>
          <w:tcPr>
            <w:tcW w:w="10358" w:type="dxa"/>
            <w:tcBorders>
              <w:top w:val="single" w:sz="4" w:space="0" w:color="000000"/>
              <w:left w:val="single" w:sz="4" w:space="0" w:color="000000"/>
              <w:bottom w:val="single" w:sz="4" w:space="0" w:color="000000"/>
              <w:right w:val="single" w:sz="4" w:space="0" w:color="000000"/>
            </w:tcBorders>
            <w:shd w:fill="auto" w:val="clear"/>
          </w:tcPr>
          <w:p>
            <w:pPr>
              <w:pStyle w:val="ListParagraph"/>
              <w:numPr>
                <w:ilvl w:val="0"/>
                <w:numId w:val="2"/>
              </w:numPr>
              <w:rPr>
                <w:rFonts w:ascii="Arial" w:hAnsi="Arial" w:cs="Arial"/>
              </w:rPr>
            </w:pPr>
            <w:r>
              <w:rPr>
                <w:rFonts w:cs="Arial" w:ascii="Arial" w:hAnsi="Arial"/>
              </w:rPr>
              <w:t>Support the implementation of the Best Start in Life Strategy, SEND Reform Programme and Early Years Improvement priorities across Oldham.</w:t>
            </w:r>
          </w:p>
          <w:p>
            <w:pPr>
              <w:pStyle w:val="ListParagraph"/>
              <w:numPr>
                <w:ilvl w:val="0"/>
                <w:numId w:val="2"/>
              </w:numPr>
              <w:rPr>
                <w:rFonts w:ascii="Arial" w:hAnsi="Arial" w:cs="Arial"/>
              </w:rPr>
            </w:pPr>
            <w:r>
              <w:rPr>
                <w:rFonts w:cs="Arial" w:ascii="Arial" w:hAnsi="Arial"/>
              </w:rPr>
              <w:t>Lead and develop district-based Early Years Networks to promote collaboration, workforce development and continuous improvement.</w:t>
            </w:r>
          </w:p>
          <w:p>
            <w:pPr>
              <w:pStyle w:val="ListParagraph"/>
              <w:numPr>
                <w:ilvl w:val="0"/>
                <w:numId w:val="2"/>
              </w:numPr>
              <w:rPr>
                <w:rFonts w:ascii="Arial" w:hAnsi="Arial" w:cs="Arial"/>
              </w:rPr>
            </w:pPr>
            <w:r>
              <w:rPr>
                <w:rFonts w:cs="Arial" w:ascii="Arial" w:hAnsi="Arial"/>
              </w:rPr>
              <w:t>Provide challenge, support and advice to Early Years settings to improve quality, inclusion and outcomes for children.</w:t>
            </w:r>
          </w:p>
          <w:p>
            <w:pPr>
              <w:pStyle w:val="ListParagraph"/>
              <w:numPr>
                <w:ilvl w:val="0"/>
                <w:numId w:val="2"/>
              </w:numPr>
              <w:rPr>
                <w:rFonts w:ascii="Arial" w:hAnsi="Arial" w:cs="Arial"/>
              </w:rPr>
            </w:pPr>
            <w:r>
              <w:rPr>
                <w:rFonts w:cs="Arial" w:ascii="Arial" w:hAnsi="Arial"/>
              </w:rPr>
              <w:t>Deliver training, coaching and professional development to practitioners and leaders.</w:t>
            </w:r>
          </w:p>
          <w:p>
            <w:pPr>
              <w:pStyle w:val="ListParagraph"/>
              <w:numPr>
                <w:ilvl w:val="0"/>
                <w:numId w:val="2"/>
              </w:numPr>
              <w:rPr>
                <w:rFonts w:ascii="Arial" w:hAnsi="Arial" w:cs="Arial"/>
              </w:rPr>
            </w:pPr>
            <w:r>
              <w:rPr>
                <w:rFonts w:cs="Arial" w:ascii="Arial" w:hAnsi="Arial"/>
              </w:rPr>
              <w:t>Support effective partnership working across education, health, Family Hubs and children's services.</w:t>
            </w:r>
          </w:p>
          <w:p>
            <w:pPr>
              <w:pStyle w:val="ListParagraph"/>
              <w:numPr>
                <w:ilvl w:val="0"/>
                <w:numId w:val="2"/>
              </w:numPr>
              <w:rPr>
                <w:rFonts w:ascii="Arial" w:hAnsi="Arial" w:cs="Arial"/>
              </w:rPr>
            </w:pPr>
            <w:r>
              <w:rPr>
                <w:rFonts w:cs="Arial" w:ascii="Arial" w:hAnsi="Arial"/>
              </w:rPr>
              <w:t>Use data, intelligence and quality assurance activity to identify priorities and target support.</w:t>
            </w:r>
          </w:p>
          <w:p>
            <w:pPr>
              <w:pStyle w:val="ListParagraph"/>
              <w:numPr>
                <w:ilvl w:val="0"/>
                <w:numId w:val="2"/>
              </w:numPr>
              <w:rPr>
                <w:rFonts w:ascii="Arial" w:hAnsi="Arial" w:cs="Arial"/>
              </w:rPr>
            </w:pPr>
            <w:r>
              <w:rPr>
                <w:rFonts w:cs="Arial" w:ascii="Arial" w:hAnsi="Arial"/>
              </w:rPr>
              <w:t>Contribute to the monitoring and evaluation of improvement activity and service impact.</w:t>
            </w:r>
          </w:p>
          <w:p>
            <w:pPr>
              <w:pStyle w:val="ListParagraph"/>
              <w:spacing w:before="0" w:after="200"/>
              <w:contextualSpacing/>
              <w:rPr>
                <w:rFonts w:ascii="Arial" w:hAnsi="Arial" w:cs="Arial"/>
              </w:rPr>
            </w:pPr>
            <w:r>
              <w:rPr>
                <w:rFonts w:cs="Arial" w:ascii="Arial" w:hAnsi="Arial"/>
              </w:rPr>
            </w:r>
          </w:p>
        </w:tc>
      </w:tr>
    </w:tbl>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522"/>
        <w:gridCol w:w="9927"/>
      </w:tblGrid>
      <w:tr>
        <w:trPr/>
        <w:tc>
          <w:tcPr>
            <w:tcW w:w="1044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tcBorders>
            <w:shd w:fill="auto" w:val="clear"/>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r>
          </w:p>
        </w:tc>
        <w:tc>
          <w:tcPr>
            <w:tcW w:w="9927" w:type="dxa"/>
            <w:tcBorders>
              <w:top w:val="single" w:sz="4" w:space="0" w:color="000000"/>
              <w:right w:val="single" w:sz="4" w:space="0" w:color="000000"/>
            </w:tcBorders>
            <w:shd w:fill="auto" w:val="clear"/>
          </w:tcPr>
          <w:p>
            <w:pPr>
              <w:pStyle w:val="Normal"/>
              <w:jc w:val="both"/>
              <w:rPr>
                <w:rFonts w:cs="Arial"/>
                <w:sz w:val="22"/>
                <w:szCs w:val="22"/>
              </w:rPr>
            </w:pPr>
            <w:r>
              <w:rPr>
                <w:rFonts w:cs="Arial"/>
                <w:sz w:val="22"/>
                <w:szCs w:val="22"/>
              </w:rPr>
              <w:t>Strategic Quality Improvement</w:t>
            </w:r>
          </w:p>
          <w:p>
            <w:pPr>
              <w:pStyle w:val="ListParagraph"/>
              <w:numPr>
                <w:ilvl w:val="0"/>
                <w:numId w:val="3"/>
              </w:numPr>
              <w:jc w:val="both"/>
              <w:rPr>
                <w:rFonts w:ascii="Arial" w:hAnsi="Arial" w:cs="Arial"/>
              </w:rPr>
            </w:pPr>
            <w:r>
              <w:rPr>
                <w:rFonts w:cs="Arial" w:ascii="Arial" w:hAnsi="Arial"/>
              </w:rPr>
              <w:t>Lead and coordinate quality improvement activity across early years settings, schools and partner agencies to improve outcomes for children aged 0-5.</w:t>
            </w:r>
          </w:p>
          <w:p>
            <w:pPr>
              <w:pStyle w:val="ListParagraph"/>
              <w:numPr>
                <w:ilvl w:val="0"/>
                <w:numId w:val="3"/>
              </w:numPr>
              <w:jc w:val="both"/>
              <w:rPr>
                <w:rFonts w:ascii="Arial" w:hAnsi="Arial" w:cs="Arial"/>
              </w:rPr>
            </w:pPr>
            <w:r>
              <w:rPr>
                <w:rFonts w:cs="Arial" w:ascii="Arial" w:hAnsi="Arial"/>
              </w:rPr>
              <w:t>Provide challenge, support and intervention to settings where outcomes, quality of provision, attendance or inclusion require improvement.</w:t>
            </w:r>
          </w:p>
          <w:p>
            <w:pPr>
              <w:pStyle w:val="ListParagraph"/>
              <w:numPr>
                <w:ilvl w:val="0"/>
                <w:numId w:val="3"/>
              </w:numPr>
              <w:jc w:val="both"/>
              <w:rPr>
                <w:rFonts w:ascii="Arial" w:hAnsi="Arial" w:cs="Arial"/>
              </w:rPr>
            </w:pPr>
            <w:r>
              <w:rPr>
                <w:rFonts w:cs="Arial" w:ascii="Arial" w:hAnsi="Arial"/>
              </w:rPr>
              <w:t>Support leaders to evaluate provision through self-assessment, data analysis, quality assurance and improvement planning.</w:t>
            </w:r>
          </w:p>
          <w:p>
            <w:pPr>
              <w:pStyle w:val="ListParagraph"/>
              <w:numPr>
                <w:ilvl w:val="0"/>
                <w:numId w:val="3"/>
              </w:numPr>
              <w:jc w:val="both"/>
              <w:rPr>
                <w:rFonts w:ascii="Arial" w:hAnsi="Arial" w:cs="Arial"/>
              </w:rPr>
            </w:pPr>
            <w:r>
              <w:rPr>
                <w:rFonts w:cs="Arial" w:ascii="Arial" w:hAnsi="Arial"/>
              </w:rPr>
              <w:t>Use district and borough intelligence, inspection outcomes, GLD data, child development measures and local performance information to identify priorities and target support.</w:t>
            </w:r>
          </w:p>
          <w:p>
            <w:pPr>
              <w:pStyle w:val="ListParagraph"/>
              <w:numPr>
                <w:ilvl w:val="0"/>
                <w:numId w:val="3"/>
              </w:numPr>
              <w:jc w:val="both"/>
              <w:rPr>
                <w:rFonts w:ascii="Arial" w:hAnsi="Arial" w:cs="Arial"/>
              </w:rPr>
            </w:pPr>
            <w:r>
              <w:rPr>
                <w:rFonts w:cs="Arial" w:ascii="Arial" w:hAnsi="Arial"/>
              </w:rPr>
              <w:t>Promote effective implementation of the EYFS Framework and best practice in teaching, learning, assessment and curriculum development.</w:t>
            </w:r>
          </w:p>
          <w:p>
            <w:pPr>
              <w:pStyle w:val="Normal"/>
              <w:jc w:val="both"/>
              <w:rPr>
                <w:rFonts w:cs="Arial"/>
                <w:sz w:val="22"/>
                <w:szCs w:val="22"/>
              </w:rPr>
            </w:pPr>
            <w:r>
              <w:rPr>
                <w:rFonts w:cs="Arial"/>
                <w:sz w:val="22"/>
                <w:szCs w:val="22"/>
              </w:rPr>
              <w:t>Outcomes and School Readiness</w:t>
            </w:r>
          </w:p>
          <w:p>
            <w:pPr>
              <w:pStyle w:val="ListParagraph"/>
              <w:numPr>
                <w:ilvl w:val="0"/>
                <w:numId w:val="4"/>
              </w:numPr>
              <w:jc w:val="both"/>
              <w:rPr>
                <w:rFonts w:ascii="Arial" w:hAnsi="Arial" w:cs="Arial"/>
              </w:rPr>
            </w:pPr>
            <w:r>
              <w:rPr>
                <w:rFonts w:cs="Arial" w:ascii="Arial" w:hAnsi="Arial"/>
              </w:rPr>
              <w:t>Drive improvements in children's communication and language, personal, social and emotional development, physical development, literacy and mathematics.</w:t>
            </w:r>
          </w:p>
          <w:p>
            <w:pPr>
              <w:pStyle w:val="ListParagraph"/>
              <w:numPr>
                <w:ilvl w:val="0"/>
                <w:numId w:val="4"/>
              </w:numPr>
              <w:jc w:val="both"/>
              <w:rPr>
                <w:rFonts w:ascii="Arial" w:hAnsi="Arial" w:cs="Arial"/>
              </w:rPr>
            </w:pPr>
            <w:r>
              <w:rPr>
                <w:rFonts w:cs="Arial" w:ascii="Arial" w:hAnsi="Arial"/>
              </w:rPr>
              <w:t>Support settings to implement evidence-based approaches that improve school readiness and early development outcomes.</w:t>
            </w:r>
          </w:p>
          <w:p>
            <w:pPr>
              <w:pStyle w:val="ListParagraph"/>
              <w:numPr>
                <w:ilvl w:val="0"/>
                <w:numId w:val="4"/>
              </w:numPr>
              <w:jc w:val="both"/>
              <w:rPr>
                <w:rFonts w:ascii="Arial" w:hAnsi="Arial" w:cs="Arial"/>
              </w:rPr>
            </w:pPr>
            <w:r>
              <w:rPr>
                <w:rFonts w:cs="Arial" w:ascii="Arial" w:hAnsi="Arial"/>
              </w:rPr>
              <w:t>Promote effective early intervention and prevention approaches that reduce inequalities in children's outcomes.</w:t>
            </w:r>
          </w:p>
          <w:p>
            <w:pPr>
              <w:pStyle w:val="ListParagraph"/>
              <w:numPr>
                <w:ilvl w:val="0"/>
                <w:numId w:val="4"/>
              </w:numPr>
              <w:jc w:val="both"/>
              <w:rPr>
                <w:rFonts w:ascii="Arial" w:hAnsi="Arial" w:cs="Arial"/>
              </w:rPr>
            </w:pPr>
            <w:r>
              <w:rPr>
                <w:rFonts w:cs="Arial" w:ascii="Arial" w:hAnsi="Arial"/>
              </w:rPr>
              <w:t>Work with settings to identify barriers to achievement and develop targeted strategies that accelerate progress for vulnerable groups.</w:t>
            </w:r>
          </w:p>
          <w:p>
            <w:pPr>
              <w:pStyle w:val="ListParagraph"/>
              <w:numPr>
                <w:ilvl w:val="0"/>
                <w:numId w:val="4"/>
              </w:numPr>
              <w:jc w:val="both"/>
              <w:rPr>
                <w:rFonts w:ascii="Arial" w:hAnsi="Arial" w:cs="Arial"/>
              </w:rPr>
            </w:pPr>
            <w:r>
              <w:rPr>
                <w:rFonts w:cs="Arial" w:ascii="Arial" w:hAnsi="Arial"/>
              </w:rPr>
              <w:t>Contribute to borough-wide initiatives designed to increase the proportion of children achieving a Good Level of Development.</w:t>
            </w:r>
          </w:p>
          <w:p>
            <w:pPr>
              <w:pStyle w:val="Normal"/>
              <w:jc w:val="both"/>
              <w:rPr>
                <w:rFonts w:cs="Arial"/>
                <w:sz w:val="22"/>
                <w:szCs w:val="22"/>
              </w:rPr>
            </w:pPr>
            <w:r>
              <w:rPr>
                <w:rFonts w:cs="Arial"/>
                <w:sz w:val="22"/>
                <w:szCs w:val="22"/>
              </w:rPr>
              <w:t>Workforce Development and Capacity Building</w:t>
            </w:r>
          </w:p>
          <w:p>
            <w:pPr>
              <w:pStyle w:val="ListParagraph"/>
              <w:numPr>
                <w:ilvl w:val="0"/>
                <w:numId w:val="5"/>
              </w:numPr>
              <w:jc w:val="both"/>
              <w:rPr>
                <w:rFonts w:ascii="Arial" w:hAnsi="Arial" w:cs="Arial"/>
              </w:rPr>
            </w:pPr>
            <w:r>
              <w:rPr>
                <w:rFonts w:cs="Arial" w:ascii="Arial" w:hAnsi="Arial"/>
              </w:rPr>
              <w:t>Design, deliver and evaluate high-quality training, coaching and professional development programmes for leaders, practitioners and multi-agency partners.</w:t>
            </w:r>
          </w:p>
          <w:p>
            <w:pPr>
              <w:pStyle w:val="ListParagraph"/>
              <w:numPr>
                <w:ilvl w:val="0"/>
                <w:numId w:val="5"/>
              </w:numPr>
              <w:jc w:val="both"/>
              <w:rPr>
                <w:rFonts w:ascii="Arial" w:hAnsi="Arial" w:cs="Arial"/>
              </w:rPr>
            </w:pPr>
            <w:r>
              <w:rPr>
                <w:rFonts w:cs="Arial" w:ascii="Arial" w:hAnsi="Arial"/>
              </w:rPr>
              <w:t>Develop practitioner confidence and capability in child development, inclusive practice, early identification, parental engagement and quality first teaching.</w:t>
            </w:r>
          </w:p>
          <w:p>
            <w:pPr>
              <w:pStyle w:val="ListParagraph"/>
              <w:numPr>
                <w:ilvl w:val="0"/>
                <w:numId w:val="5"/>
              </w:numPr>
              <w:jc w:val="both"/>
              <w:rPr>
                <w:rFonts w:ascii="Arial" w:hAnsi="Arial" w:cs="Arial"/>
              </w:rPr>
            </w:pPr>
            <w:r>
              <w:rPr>
                <w:rFonts w:cs="Arial" w:ascii="Arial" w:hAnsi="Arial"/>
              </w:rPr>
              <w:t>Support leaders to embed reflective practice, peer review and continuous improvement processes.</w:t>
            </w:r>
          </w:p>
          <w:p>
            <w:pPr>
              <w:pStyle w:val="ListParagraph"/>
              <w:numPr>
                <w:ilvl w:val="0"/>
                <w:numId w:val="5"/>
              </w:numPr>
              <w:jc w:val="both"/>
              <w:rPr>
                <w:rFonts w:ascii="Arial" w:hAnsi="Arial" w:cs="Arial"/>
              </w:rPr>
            </w:pPr>
            <w:r>
              <w:rPr>
                <w:rFonts w:cs="Arial" w:ascii="Arial" w:hAnsi="Arial"/>
              </w:rPr>
              <w:t>Facilitate professional networks, learning communities and communities of practice across the sector.</w:t>
            </w:r>
          </w:p>
          <w:p>
            <w:pPr>
              <w:pStyle w:val="ListParagraph"/>
              <w:numPr>
                <w:ilvl w:val="0"/>
                <w:numId w:val="5"/>
              </w:numPr>
              <w:jc w:val="both"/>
              <w:rPr>
                <w:rFonts w:ascii="Arial" w:hAnsi="Arial" w:cs="Arial"/>
              </w:rPr>
            </w:pPr>
            <w:r>
              <w:rPr>
                <w:rFonts w:cs="Arial" w:ascii="Arial" w:hAnsi="Arial"/>
              </w:rPr>
              <w:t>Develop sustainable models that enable settings to build internal capacity and expertise.</w:t>
            </w:r>
          </w:p>
          <w:p>
            <w:pPr>
              <w:pStyle w:val="Normal"/>
              <w:jc w:val="both"/>
              <w:rPr>
                <w:rFonts w:cs="Arial"/>
                <w:sz w:val="22"/>
                <w:szCs w:val="22"/>
              </w:rPr>
            </w:pPr>
            <w:r>
              <w:rPr>
                <w:rFonts w:cs="Arial"/>
                <w:sz w:val="22"/>
                <w:szCs w:val="22"/>
              </w:rPr>
              <w:t>Inclusion, SEND and Early Intervention</w:t>
            </w:r>
          </w:p>
          <w:p>
            <w:pPr>
              <w:pStyle w:val="ListParagraph"/>
              <w:numPr>
                <w:ilvl w:val="0"/>
                <w:numId w:val="6"/>
              </w:numPr>
              <w:jc w:val="both"/>
              <w:rPr>
                <w:rFonts w:ascii="Arial" w:hAnsi="Arial" w:cs="Arial"/>
              </w:rPr>
            </w:pPr>
            <w:r>
              <w:rPr>
                <w:rFonts w:cs="Arial" w:ascii="Arial" w:hAnsi="Arial"/>
              </w:rPr>
              <w:t>Support settings to identify emerging developmental concerns and additional needs at the earliest opportunity.</w:t>
            </w:r>
          </w:p>
          <w:p>
            <w:pPr>
              <w:pStyle w:val="ListParagraph"/>
              <w:numPr>
                <w:ilvl w:val="0"/>
                <w:numId w:val="6"/>
              </w:numPr>
              <w:jc w:val="both"/>
              <w:rPr>
                <w:rFonts w:ascii="Arial" w:hAnsi="Arial" w:cs="Arial"/>
              </w:rPr>
            </w:pPr>
            <w:r>
              <w:rPr>
                <w:rFonts w:cs="Arial" w:ascii="Arial" w:hAnsi="Arial"/>
              </w:rPr>
              <w:t>Advise leaders and practitioners on graduated approaches, inclusive practice and effective support for children with SEND.</w:t>
            </w:r>
          </w:p>
          <w:p>
            <w:pPr>
              <w:pStyle w:val="ListParagraph"/>
              <w:numPr>
                <w:ilvl w:val="0"/>
                <w:numId w:val="6"/>
              </w:numPr>
              <w:jc w:val="both"/>
              <w:rPr>
                <w:rFonts w:ascii="Arial" w:hAnsi="Arial" w:cs="Arial"/>
              </w:rPr>
            </w:pPr>
            <w:r>
              <w:rPr>
                <w:rFonts w:cs="Arial" w:ascii="Arial" w:hAnsi="Arial"/>
              </w:rPr>
              <w:t>Promote effective partnership working between education, health, early help and social care services.</w:t>
            </w:r>
          </w:p>
          <w:p>
            <w:pPr>
              <w:pStyle w:val="ListParagraph"/>
              <w:numPr>
                <w:ilvl w:val="0"/>
                <w:numId w:val="6"/>
              </w:numPr>
              <w:jc w:val="both"/>
              <w:rPr>
                <w:rFonts w:ascii="Arial" w:hAnsi="Arial" w:cs="Arial"/>
              </w:rPr>
            </w:pPr>
            <w:r>
              <w:rPr>
                <w:rFonts w:cs="Arial" w:ascii="Arial" w:hAnsi="Arial"/>
              </w:rPr>
              <w:t>Support implementation of early identification pathways and referral processes.</w:t>
            </w:r>
          </w:p>
          <w:p>
            <w:pPr>
              <w:pStyle w:val="ListParagraph"/>
              <w:numPr>
                <w:ilvl w:val="0"/>
                <w:numId w:val="6"/>
              </w:numPr>
              <w:jc w:val="both"/>
              <w:rPr>
                <w:rFonts w:ascii="Arial" w:hAnsi="Arial" w:cs="Arial"/>
              </w:rPr>
            </w:pPr>
            <w:r>
              <w:rPr>
                <w:rFonts w:cs="Arial" w:ascii="Arial" w:hAnsi="Arial"/>
              </w:rPr>
              <w:t>Ensure children facing disadvantage receive timely and appropriate support.</w:t>
            </w:r>
          </w:p>
          <w:p>
            <w:pPr>
              <w:pStyle w:val="Normal"/>
              <w:jc w:val="both"/>
              <w:rPr>
                <w:rFonts w:cs="Arial"/>
                <w:sz w:val="22"/>
                <w:szCs w:val="22"/>
              </w:rPr>
            </w:pPr>
            <w:r>
              <w:rPr>
                <w:rFonts w:cs="Arial"/>
                <w:sz w:val="22"/>
                <w:szCs w:val="22"/>
              </w:rPr>
              <w:t>Partnership and System Leadership</w:t>
            </w:r>
          </w:p>
          <w:p>
            <w:pPr>
              <w:pStyle w:val="ListParagraph"/>
              <w:numPr>
                <w:ilvl w:val="0"/>
                <w:numId w:val="7"/>
              </w:numPr>
              <w:jc w:val="both"/>
              <w:rPr>
                <w:rFonts w:ascii="Arial" w:hAnsi="Arial" w:cs="Arial"/>
              </w:rPr>
            </w:pPr>
            <w:r>
              <w:rPr>
                <w:rFonts w:cs="Arial" w:ascii="Arial" w:hAnsi="Arial"/>
              </w:rPr>
              <w:t>Develop and maintain strong partnerships with schools, PVI providers, childminders, health professionals, Family Hubs, voluntary organisations and community partners.</w:t>
            </w:r>
          </w:p>
          <w:p>
            <w:pPr>
              <w:pStyle w:val="ListParagraph"/>
              <w:numPr>
                <w:ilvl w:val="0"/>
                <w:numId w:val="7"/>
              </w:numPr>
              <w:jc w:val="both"/>
              <w:rPr>
                <w:rFonts w:ascii="Arial" w:hAnsi="Arial" w:cs="Arial"/>
              </w:rPr>
            </w:pPr>
            <w:r>
              <w:rPr>
                <w:rFonts w:cs="Arial" w:ascii="Arial" w:hAnsi="Arial"/>
              </w:rPr>
              <w:t>Facilitate collaborative approaches that improve joined-up support for children and families.</w:t>
            </w:r>
          </w:p>
          <w:p>
            <w:pPr>
              <w:pStyle w:val="ListParagraph"/>
              <w:numPr>
                <w:ilvl w:val="0"/>
                <w:numId w:val="7"/>
              </w:numPr>
              <w:jc w:val="both"/>
              <w:rPr>
                <w:rFonts w:ascii="Arial" w:hAnsi="Arial" w:cs="Arial"/>
              </w:rPr>
            </w:pPr>
            <w:r>
              <w:rPr>
                <w:rFonts w:cs="Arial" w:ascii="Arial" w:hAnsi="Arial"/>
              </w:rPr>
              <w:t>Contribute to the implementation of the Best Start for Life Strategy and wider Early Years priorities.</w:t>
            </w:r>
          </w:p>
          <w:p>
            <w:pPr>
              <w:pStyle w:val="ListParagraph"/>
              <w:numPr>
                <w:ilvl w:val="0"/>
                <w:numId w:val="7"/>
              </w:numPr>
              <w:jc w:val="both"/>
              <w:rPr>
                <w:rFonts w:ascii="Arial" w:hAnsi="Arial" w:cs="Arial"/>
              </w:rPr>
            </w:pPr>
            <w:r>
              <w:rPr>
                <w:rFonts w:cs="Arial" w:ascii="Arial" w:hAnsi="Arial"/>
              </w:rPr>
              <w:t>Promote a shared understanding of child development, school readiness and family-centred practice across the partnership.</w:t>
            </w:r>
          </w:p>
          <w:p>
            <w:pPr>
              <w:pStyle w:val="ListParagraph"/>
              <w:numPr>
                <w:ilvl w:val="0"/>
                <w:numId w:val="7"/>
              </w:numPr>
              <w:jc w:val="both"/>
              <w:rPr>
                <w:rFonts w:ascii="Arial" w:hAnsi="Arial" w:cs="Arial"/>
              </w:rPr>
            </w:pPr>
            <w:r>
              <w:rPr>
                <w:rFonts w:cs="Arial" w:ascii="Arial" w:hAnsi="Arial"/>
              </w:rPr>
              <w:t>Support effective transition arrangements between home, early years provisions and school.</w:t>
            </w:r>
          </w:p>
          <w:p>
            <w:pPr>
              <w:pStyle w:val="Normal"/>
              <w:jc w:val="both"/>
              <w:rPr>
                <w:rFonts w:cs="Arial"/>
                <w:sz w:val="22"/>
                <w:szCs w:val="22"/>
              </w:rPr>
            </w:pPr>
            <w:r>
              <w:rPr>
                <w:rFonts w:cs="Arial"/>
                <w:sz w:val="22"/>
                <w:szCs w:val="22"/>
              </w:rPr>
              <w:t>Monitoring, Evaluation and Impact</w:t>
            </w:r>
          </w:p>
          <w:p>
            <w:pPr>
              <w:pStyle w:val="ListParagraph"/>
              <w:numPr>
                <w:ilvl w:val="0"/>
                <w:numId w:val="8"/>
              </w:numPr>
              <w:jc w:val="both"/>
              <w:rPr>
                <w:rFonts w:ascii="Arial" w:hAnsi="Arial" w:cs="Arial"/>
              </w:rPr>
            </w:pPr>
            <w:r>
              <w:rPr>
                <w:rFonts w:cs="Arial" w:ascii="Arial" w:hAnsi="Arial"/>
              </w:rPr>
              <w:t>Measure and evaluate the impact of quality improvement activity and intervention programmes.</w:t>
            </w:r>
          </w:p>
          <w:p>
            <w:pPr>
              <w:pStyle w:val="ListParagraph"/>
              <w:numPr>
                <w:ilvl w:val="0"/>
                <w:numId w:val="8"/>
              </w:numPr>
              <w:jc w:val="both"/>
              <w:rPr>
                <w:rFonts w:ascii="Arial" w:hAnsi="Arial" w:cs="Arial"/>
              </w:rPr>
            </w:pPr>
            <w:r>
              <w:rPr>
                <w:rFonts w:cs="Arial" w:ascii="Arial" w:hAnsi="Arial"/>
              </w:rPr>
              <w:t>Support settings to use evidence, assessment information and outcomes data effectively.</w:t>
            </w:r>
          </w:p>
          <w:p>
            <w:pPr>
              <w:pStyle w:val="ListParagraph"/>
              <w:numPr>
                <w:ilvl w:val="0"/>
                <w:numId w:val="8"/>
              </w:numPr>
              <w:jc w:val="both"/>
              <w:rPr>
                <w:rFonts w:ascii="Arial" w:hAnsi="Arial" w:cs="Arial"/>
              </w:rPr>
            </w:pPr>
            <w:r>
              <w:rPr>
                <w:rFonts w:cs="Arial" w:ascii="Arial" w:hAnsi="Arial"/>
              </w:rPr>
              <w:t>Produce reports, impact assessments, case studies and recommendations for senior leaders and strategic boards.</w:t>
            </w:r>
          </w:p>
          <w:p>
            <w:pPr>
              <w:pStyle w:val="ListParagraph"/>
              <w:numPr>
                <w:ilvl w:val="0"/>
                <w:numId w:val="8"/>
              </w:numPr>
              <w:jc w:val="both"/>
              <w:rPr>
                <w:rFonts w:ascii="Arial" w:hAnsi="Arial" w:cs="Arial"/>
              </w:rPr>
            </w:pPr>
            <w:r>
              <w:rPr>
                <w:rFonts w:cs="Arial" w:ascii="Arial" w:hAnsi="Arial"/>
              </w:rPr>
              <w:t>Contribute to service planning and continuous improvement through analysis of local and national developments.</w:t>
            </w:r>
          </w:p>
          <w:p>
            <w:pPr>
              <w:pStyle w:val="ListParagraph"/>
              <w:numPr>
                <w:ilvl w:val="0"/>
                <w:numId w:val="8"/>
              </w:numPr>
              <w:jc w:val="both"/>
              <w:rPr>
                <w:rFonts w:ascii="Arial" w:hAnsi="Arial" w:cs="Arial"/>
              </w:rPr>
            </w:pPr>
            <w:r>
              <w:rPr>
                <w:rFonts w:cs="Arial" w:ascii="Arial" w:hAnsi="Arial"/>
              </w:rPr>
              <w:t>Monitor progress against agreed performance indicators and improvement objectives.</w:t>
            </w:r>
          </w:p>
          <w:p>
            <w:pPr>
              <w:pStyle w:val="Normal"/>
              <w:jc w:val="both"/>
              <w:rPr>
                <w:rFonts w:cs="Arial"/>
                <w:sz w:val="22"/>
                <w:szCs w:val="22"/>
              </w:rPr>
            </w:pPr>
            <w:r>
              <w:rPr>
                <w:rFonts w:cs="Arial"/>
                <w:sz w:val="22"/>
                <w:szCs w:val="22"/>
              </w:rPr>
              <w:t>Family and Community Engagement</w:t>
            </w:r>
          </w:p>
          <w:p>
            <w:pPr>
              <w:pStyle w:val="ListParagraph"/>
              <w:numPr>
                <w:ilvl w:val="0"/>
                <w:numId w:val="9"/>
              </w:numPr>
              <w:jc w:val="both"/>
              <w:rPr>
                <w:rFonts w:ascii="Arial" w:hAnsi="Arial" w:cs="Arial"/>
              </w:rPr>
            </w:pPr>
            <w:r>
              <w:rPr>
                <w:rFonts w:cs="Arial" w:ascii="Arial" w:hAnsi="Arial"/>
              </w:rPr>
              <w:t>Promote meaningful engagement with parents and carers to improve children's learning and development.</w:t>
            </w:r>
          </w:p>
          <w:p>
            <w:pPr>
              <w:pStyle w:val="ListParagraph"/>
              <w:numPr>
                <w:ilvl w:val="0"/>
                <w:numId w:val="9"/>
              </w:numPr>
              <w:jc w:val="both"/>
              <w:rPr>
                <w:rFonts w:ascii="Arial" w:hAnsi="Arial" w:cs="Arial"/>
              </w:rPr>
            </w:pPr>
            <w:r>
              <w:rPr>
                <w:rFonts w:cs="Arial" w:ascii="Arial" w:hAnsi="Arial"/>
              </w:rPr>
              <w:t>Support settings to develop effective family-centred approaches and strengthen home learning environments.</w:t>
            </w:r>
          </w:p>
          <w:p>
            <w:pPr>
              <w:pStyle w:val="ListParagraph"/>
              <w:numPr>
                <w:ilvl w:val="0"/>
                <w:numId w:val="9"/>
              </w:numPr>
              <w:jc w:val="both"/>
              <w:rPr>
                <w:rFonts w:ascii="Arial" w:hAnsi="Arial" w:cs="Arial"/>
              </w:rPr>
            </w:pPr>
            <w:r>
              <w:rPr>
                <w:rFonts w:cs="Arial" w:ascii="Arial" w:hAnsi="Arial"/>
              </w:rPr>
              <w:t>Work with communities to co-design solutions that meet local needs and improve outcomes.</w:t>
            </w:r>
          </w:p>
          <w:p>
            <w:pPr>
              <w:pStyle w:val="ListParagraph"/>
              <w:numPr>
                <w:ilvl w:val="0"/>
                <w:numId w:val="9"/>
              </w:numPr>
              <w:jc w:val="both"/>
              <w:rPr>
                <w:rFonts w:ascii="Arial" w:hAnsi="Arial" w:cs="Arial"/>
              </w:rPr>
            </w:pPr>
            <w:r>
              <w:rPr>
                <w:rFonts w:cs="Arial" w:ascii="Arial" w:hAnsi="Arial"/>
              </w:rPr>
              <w:t>Promote participation, inclusion and access to services for all families.</w:t>
            </w:r>
          </w:p>
          <w:p>
            <w:pPr>
              <w:pStyle w:val="Normal"/>
              <w:jc w:val="both"/>
              <w:rPr>
                <w:rFonts w:cs="Arial"/>
                <w:sz w:val="22"/>
                <w:szCs w:val="22"/>
              </w:rPr>
            </w:pPr>
            <w:r>
              <w:rPr>
                <w:rFonts w:cs="Arial"/>
                <w:sz w:val="22"/>
                <w:szCs w:val="22"/>
              </w:rPr>
              <w:t>Network Development and Partnership Working</w:t>
            </w:r>
          </w:p>
          <w:p>
            <w:pPr>
              <w:pStyle w:val="ListParagraph"/>
              <w:numPr>
                <w:ilvl w:val="0"/>
                <w:numId w:val="10"/>
              </w:numPr>
              <w:jc w:val="both"/>
              <w:rPr>
                <w:rFonts w:ascii="Arial" w:hAnsi="Arial" w:cs="Arial"/>
              </w:rPr>
            </w:pPr>
            <w:r>
              <w:rPr>
                <w:rFonts w:cs="Arial" w:ascii="Arial" w:hAnsi="Arial"/>
              </w:rPr>
              <w:t>Develop and facilitate locality-based Early Years Networks across Oldham.</w:t>
            </w:r>
          </w:p>
          <w:p>
            <w:pPr>
              <w:pStyle w:val="ListParagraph"/>
              <w:numPr>
                <w:ilvl w:val="0"/>
                <w:numId w:val="10"/>
              </w:numPr>
              <w:jc w:val="both"/>
              <w:rPr>
                <w:rFonts w:ascii="Arial" w:hAnsi="Arial" w:cs="Arial"/>
              </w:rPr>
            </w:pPr>
            <w:r>
              <w:rPr>
                <w:rFonts w:cs="Arial" w:ascii="Arial" w:hAnsi="Arial"/>
              </w:rPr>
              <w:t>Strengthen partnerships between Early Years providers, schools, Family Hubs, health services and other agencies.</w:t>
            </w:r>
          </w:p>
          <w:p>
            <w:pPr>
              <w:pStyle w:val="ListParagraph"/>
              <w:numPr>
                <w:ilvl w:val="0"/>
                <w:numId w:val="10"/>
              </w:numPr>
              <w:jc w:val="both"/>
              <w:rPr>
                <w:rFonts w:ascii="Arial" w:hAnsi="Arial" w:cs="Arial"/>
              </w:rPr>
            </w:pPr>
            <w:r>
              <w:rPr>
                <w:rFonts w:cs="Arial" w:ascii="Arial" w:hAnsi="Arial"/>
              </w:rPr>
              <w:t>Promote collaborative approaches to improving outcomes for children and families.</w:t>
            </w:r>
          </w:p>
          <w:p>
            <w:pPr>
              <w:pStyle w:val="ListParagraph"/>
              <w:numPr>
                <w:ilvl w:val="0"/>
                <w:numId w:val="10"/>
              </w:numPr>
              <w:jc w:val="both"/>
              <w:rPr>
                <w:rFonts w:ascii="Arial" w:hAnsi="Arial" w:cs="Arial"/>
              </w:rPr>
            </w:pPr>
            <w:r>
              <w:rPr>
                <w:rFonts w:cs="Arial" w:ascii="Arial" w:hAnsi="Arial"/>
              </w:rPr>
              <w:t>Support effective transition arrangements and integrated working practices.</w:t>
            </w:r>
          </w:p>
          <w:p>
            <w:pPr>
              <w:pStyle w:val="Normal"/>
              <w:jc w:val="both"/>
              <w:rPr>
                <w:rFonts w:cs="Arial"/>
                <w:sz w:val="22"/>
                <w:szCs w:val="22"/>
              </w:rPr>
            </w:pPr>
            <w:r>
              <w:rPr>
                <w:rFonts w:cs="Arial"/>
                <w:sz w:val="22"/>
                <w:szCs w:val="22"/>
              </w:rPr>
              <w:t>Safeguarding and Professional Practice</w:t>
            </w:r>
          </w:p>
          <w:p>
            <w:pPr>
              <w:pStyle w:val="ListParagraph"/>
              <w:numPr>
                <w:ilvl w:val="0"/>
                <w:numId w:val="11"/>
              </w:numPr>
              <w:jc w:val="both"/>
              <w:rPr>
                <w:rFonts w:ascii="Arial" w:hAnsi="Arial" w:cs="Arial"/>
              </w:rPr>
            </w:pPr>
            <w:r>
              <w:rPr>
                <w:rFonts w:cs="Arial" w:ascii="Arial" w:hAnsi="Arial"/>
              </w:rPr>
              <w:t>Ensure safeguarding responsibilities are undertaken in accordance with local and national requirements.</w:t>
            </w:r>
          </w:p>
          <w:p>
            <w:pPr>
              <w:pStyle w:val="ListParagraph"/>
              <w:numPr>
                <w:ilvl w:val="0"/>
                <w:numId w:val="11"/>
              </w:numPr>
              <w:jc w:val="both"/>
              <w:rPr>
                <w:rFonts w:ascii="Arial" w:hAnsi="Arial" w:cs="Arial"/>
              </w:rPr>
            </w:pPr>
            <w:r>
              <w:rPr>
                <w:rFonts w:cs="Arial" w:ascii="Arial" w:hAnsi="Arial"/>
              </w:rPr>
              <w:t>Promote equality, diversity and inclusion in all aspects of service delivery.</w:t>
            </w:r>
          </w:p>
          <w:p>
            <w:pPr>
              <w:pStyle w:val="ListParagraph"/>
              <w:numPr>
                <w:ilvl w:val="0"/>
                <w:numId w:val="11"/>
              </w:numPr>
              <w:jc w:val="both"/>
              <w:rPr>
                <w:rFonts w:ascii="Arial" w:hAnsi="Arial" w:cs="Arial"/>
              </w:rPr>
            </w:pPr>
            <w:r>
              <w:rPr>
                <w:rFonts w:cs="Arial" w:ascii="Arial" w:hAnsi="Arial"/>
              </w:rPr>
              <w:t>Maintain knowledge of current legislation, policy and best practice relating to early years, SEND, safeguarding and child development.</w:t>
            </w:r>
          </w:p>
          <w:p>
            <w:pPr>
              <w:pStyle w:val="ListParagraph"/>
              <w:numPr>
                <w:ilvl w:val="0"/>
                <w:numId w:val="11"/>
              </w:numPr>
              <w:jc w:val="both"/>
              <w:rPr>
                <w:rFonts w:ascii="Arial" w:hAnsi="Arial" w:cs="Arial"/>
              </w:rPr>
            </w:pPr>
            <w:r>
              <w:rPr>
                <w:rFonts w:cs="Arial" w:ascii="Arial" w:hAnsi="Arial"/>
              </w:rPr>
              <w:t>Represent the service professionally in multi-agency forums and meetings.</w:t>
            </w:r>
          </w:p>
          <w:p>
            <w:pPr>
              <w:pStyle w:val="Normal"/>
              <w:jc w:val="both"/>
              <w:rPr>
                <w:rFonts w:cs="Arial"/>
                <w:sz w:val="22"/>
                <w:szCs w:val="22"/>
              </w:rPr>
            </w:pPr>
            <w:r>
              <w:rPr>
                <w:rFonts w:cs="Arial"/>
                <w:sz w:val="22"/>
                <w:szCs w:val="22"/>
              </w:rPr>
            </w:r>
          </w:p>
          <w:p>
            <w:pPr>
              <w:pStyle w:val="Normal"/>
              <w:jc w:val="both"/>
              <w:rPr>
                <w:rFonts w:cs="Arial"/>
                <w:b/>
                <w:b/>
                <w:bCs/>
                <w:sz w:val="22"/>
                <w:szCs w:val="22"/>
              </w:rPr>
            </w:pPr>
            <w:r>
              <w:rPr>
                <w:rFonts w:cs="Arial"/>
                <w:b/>
                <w:bCs/>
                <w:sz w:val="22"/>
                <w:szCs w:val="22"/>
              </w:rPr>
              <w:t>GENERAL DUTIES</w:t>
            </w:r>
          </w:p>
          <w:p>
            <w:pPr>
              <w:pStyle w:val="Normal"/>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Actively promote the equalities and diversity agenda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snapToGrid w:val="false"/>
              <w:jc w:val="both"/>
              <w:rPr>
                <w:rFonts w:cs="Arial"/>
                <w:sz w:val="22"/>
                <w:szCs w:val="22"/>
              </w:rPr>
            </w:pPr>
            <w:r>
              <w:rPr>
                <w:rFonts w:cs="Arial"/>
                <w:sz w:val="22"/>
                <w:szCs w:val="22"/>
              </w:rPr>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snapToGrid w:val="false"/>
              <w:jc w:val="both"/>
              <w:rPr>
                <w:rFonts w:cs="Arial"/>
                <w:sz w:val="22"/>
                <w:szCs w:val="22"/>
              </w:rPr>
            </w:pPr>
            <w:r>
              <w:rPr>
                <w:rFonts w:cs="Arial"/>
                <w:sz w:val="22"/>
                <w:szCs w:val="22"/>
              </w:rPr>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Actively engage with the behaviours and values of the Council to promote and support our Co-operative Agenda.</w:t>
            </w:r>
          </w:p>
          <w:p>
            <w:pPr>
              <w:pStyle w:val="Normal"/>
              <w:jc w:val="both"/>
              <w:rPr>
                <w:rFonts w:cs="Arial"/>
                <w:sz w:val="22"/>
                <w:szCs w:val="22"/>
              </w:rPr>
            </w:pPr>
            <w:r>
              <w:rPr>
                <w:rFonts w:cs="Arial"/>
                <w:sz w:val="22"/>
                <w:szCs w:val="22"/>
              </w:rPr>
            </w:r>
          </w:p>
        </w:tc>
      </w:tr>
      <w:tr>
        <w:trPr>
          <w:trHeight w:val="255" w:hRule="atLeast"/>
        </w:trPr>
        <w:tc>
          <w:tcPr>
            <w:tcW w:w="522" w:type="dxa"/>
            <w:tcBorders>
              <w:left w:val="single" w:sz="4" w:space="0" w:color="000000"/>
            </w:tcBorders>
            <w:shd w:fill="auto" w:val="clear"/>
          </w:tcPr>
          <w:p>
            <w:pPr>
              <w:pStyle w:val="Normal"/>
              <w:snapToGrid w:val="false"/>
              <w:jc w:val="both"/>
              <w:rPr>
                <w:rFonts w:cs="Arial"/>
                <w:sz w:val="22"/>
                <w:szCs w:val="22"/>
              </w:rPr>
            </w:pPr>
            <w:r>
              <w:rPr>
                <w:rFonts w:cs="Arial"/>
                <w:sz w:val="22"/>
                <w:szCs w:val="22"/>
              </w:rPr>
            </w:r>
          </w:p>
        </w:tc>
        <w:tc>
          <w:tcPr>
            <w:tcW w:w="9927" w:type="dxa"/>
            <w:tcBorders>
              <w:right w:val="single" w:sz="4" w:space="0" w:color="000000"/>
            </w:tcBorders>
            <w:shd w:fill="auto" w:val="clear"/>
          </w:tcPr>
          <w:p>
            <w:pPr>
              <w:pStyle w:val="Normal"/>
              <w:jc w:val="both"/>
              <w:rPr>
                <w:rFonts w:cs="Arial"/>
                <w:sz w:val="22"/>
                <w:szCs w:val="22"/>
              </w:rPr>
            </w:pPr>
            <w:r>
              <w:rPr>
                <w:rFonts w:cs="Arial"/>
                <w:sz w:val="22"/>
                <w:szCs w:val="22"/>
              </w:rPr>
              <w:t xml:space="preserve">Undertake continuous professional development and to be aware of new developments, legislation, initiatives, guidelines, policies and procedures as appropriate to the role. </w:t>
            </w:r>
          </w:p>
          <w:p>
            <w:pPr>
              <w:pStyle w:val="Normal"/>
              <w:jc w:val="both"/>
              <w:rPr>
                <w:rFonts w:cs="Arial"/>
                <w:b/>
                <w:b/>
                <w:sz w:val="22"/>
                <w:szCs w:val="22"/>
              </w:rPr>
            </w:pPr>
            <w:r>
              <w:rPr>
                <w:rFonts w:cs="Arial"/>
                <w:b/>
                <w:sz w:val="22"/>
                <w:szCs w:val="22"/>
              </w:rPr>
            </w:r>
          </w:p>
        </w:tc>
      </w:tr>
      <w:tr>
        <w:trPr>
          <w:trHeight w:val="255" w:hRule="atLeast"/>
        </w:trPr>
        <w:tc>
          <w:tcPr>
            <w:tcW w:w="522" w:type="dxa"/>
            <w:tcBorders>
              <w:left w:val="single" w:sz="4" w:space="0" w:color="000000"/>
              <w:bottom w:val="single" w:sz="4" w:space="0" w:color="000000"/>
            </w:tcBorders>
            <w:shd w:fill="auto" w:val="clear"/>
          </w:tcPr>
          <w:p>
            <w:pPr>
              <w:pStyle w:val="Normal"/>
              <w:snapToGrid w:val="false"/>
              <w:jc w:val="both"/>
              <w:rPr>
                <w:rFonts w:cs="Arial"/>
                <w:b/>
                <w:b/>
                <w:sz w:val="22"/>
                <w:szCs w:val="22"/>
              </w:rPr>
            </w:pPr>
            <w:r>
              <w:rPr>
                <w:rFonts w:cs="Arial"/>
                <w:b/>
                <w:sz w:val="22"/>
                <w:szCs w:val="22"/>
              </w:rPr>
            </w:r>
          </w:p>
        </w:tc>
        <w:tc>
          <w:tcPr>
            <w:tcW w:w="9927" w:type="dxa"/>
            <w:tcBorders>
              <w:bottom w:val="single" w:sz="4" w:space="0" w:color="000000"/>
              <w:right w:val="single" w:sz="4" w:space="0" w:color="000000"/>
            </w:tcBorders>
            <w:shd w:fill="auto" w:val="clear"/>
          </w:tcPr>
          <w:p>
            <w:pPr>
              <w:pStyle w:val="Normal"/>
              <w:jc w:val="both"/>
              <w:rPr>
                <w:rFonts w:cs="Arial"/>
                <w:sz w:val="22"/>
                <w:szCs w:val="22"/>
              </w:rPr>
            </w:pPr>
            <w:r>
              <w:rPr>
                <w:rFonts w:cs="Arial"/>
                <w:sz w:val="22"/>
                <w:szCs w:val="22"/>
              </w:rPr>
              <w:t>Any additional duties commensurate with the level of the post.</w:t>
            </w:r>
            <w:bookmarkStart w:id="0" w:name="_Hlk168670942"/>
            <w:bookmarkEnd w:id="0"/>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Assistant Director of Education and Early Years, Assistant Director Early Help, Early Years team, Family Hubs team, schools, early years providers, Early Help Service.</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TextBody"/>
              <w:rPr>
                <w:rFonts w:cs="Arial"/>
                <w:szCs w:val="22"/>
              </w:rPr>
            </w:pPr>
            <w:r>
              <w:rPr>
                <w:rFonts w:cs="Arial"/>
                <w:szCs w:val="22"/>
              </w:rPr>
              <w:t>Relationship To Other Posts In The Department:</w:t>
            </w:r>
          </w:p>
          <w:p>
            <w:pPr>
              <w:pStyle w:val="Normal"/>
              <w:jc w:val="both"/>
              <w:rPr>
                <w:rFonts w:cs="Arial"/>
                <w:sz w:val="22"/>
                <w:szCs w:val="22"/>
              </w:rPr>
            </w:pPr>
            <w:r>
              <w:rPr>
                <w:rFonts w:cs="Arial"/>
                <w:sz w:val="22"/>
                <w:szCs w:val="22"/>
              </w:rPr>
            </w:r>
          </w:p>
        </w:tc>
      </w:tr>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TextBody"/>
              <w:rPr>
                <w:rFonts w:cs="Arial"/>
                <w:szCs w:val="22"/>
              </w:rPr>
            </w:pPr>
            <w:r>
              <w:rPr>
                <w:rFonts w:cs="Arial"/>
                <w:szCs w:val="22"/>
              </w:rPr>
              <w:t>Responsible to: Integrated Team Manager</w:t>
            </w:r>
          </w:p>
          <w:p>
            <w:pPr>
              <w:pStyle w:val="TextBody"/>
              <w:rPr>
                <w:rFonts w:cs="Arial"/>
                <w:szCs w:val="22"/>
              </w:rPr>
            </w:pPr>
            <w:r>
              <w:rPr>
                <w:rFonts w:cs="Arial"/>
                <w:szCs w:val="22"/>
              </w:rPr>
            </w:r>
          </w:p>
          <w:p>
            <w:pPr>
              <w:pStyle w:val="TextBody"/>
              <w:rPr>
                <w:rFonts w:cs="Arial"/>
                <w:szCs w:val="22"/>
              </w:rPr>
            </w:pPr>
            <w:r>
              <w:rPr>
                <w:rFonts w:cs="Arial"/>
                <w:szCs w:val="22"/>
              </w:rPr>
              <w:t>Responsible for: N/A</w:t>
            </w:r>
          </w:p>
        </w:tc>
      </w:tr>
    </w:tbl>
    <w:p>
      <w:pPr>
        <w:pStyle w:val="Normal"/>
        <w:rPr>
          <w:rFonts w:cs="Arial"/>
          <w:sz w:val="22"/>
          <w:szCs w:val="22"/>
        </w:rPr>
      </w:pPr>
      <w:r>
        <w:rPr>
          <w:rFonts w:cs="Arial"/>
          <w:sz w:val="22"/>
          <w:szCs w:val="22"/>
        </w:rPr>
      </w:r>
      <w:bookmarkStart w:id="1" w:name="_Hlk95121094"/>
      <w:bookmarkStart w:id="2" w:name="_Hlk95121094"/>
      <w:bookmarkEnd w:id="2"/>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rFonts w:cs="Arial"/>
                <w:b/>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ind w:left="-20" w:right="0" w:hanging="0"/>
              <w:rPr>
                <w:sz w:val="22"/>
                <w:szCs w:val="22"/>
              </w:rPr>
            </w:pPr>
            <w:r>
              <w:rPr>
                <w:sz w:val="22"/>
                <w:szCs w:val="22"/>
              </w:rPr>
              <w:t>Enhanced DBS</w:t>
            </w:r>
          </w:p>
          <w:p>
            <w:pPr>
              <w:pStyle w:val="Normal"/>
              <w:ind w:left="-20" w:right="0" w:hanging="0"/>
              <w:rPr>
                <w:sz w:val="22"/>
                <w:szCs w:val="22"/>
              </w:rPr>
            </w:pPr>
            <w:r>
              <w:rPr>
                <w:sz w:val="22"/>
                <w:szCs w:val="22"/>
              </w:rPr>
            </w:r>
          </w:p>
          <w:p>
            <w:pPr>
              <w:pStyle w:val="Normal"/>
              <w:ind w:left="-20" w:right="0" w:hanging="0"/>
              <w:rPr>
                <w:sz w:val="22"/>
                <w:szCs w:val="22"/>
              </w:rPr>
            </w:pPr>
            <w:r>
              <w:rPr>
                <w:sz w:val="22"/>
                <w:szCs w:val="22"/>
              </w:rPr>
              <w:t>Working flexibly which will include occasional evenings and weekends</w:t>
            </w:r>
          </w:p>
          <w:p>
            <w:pPr>
              <w:pStyle w:val="Normal"/>
              <w:ind w:left="-20" w:right="0" w:hanging="0"/>
              <w:rPr>
                <w:sz w:val="22"/>
                <w:szCs w:val="22"/>
              </w:rPr>
            </w:pPr>
            <w:r>
              <w:rPr>
                <w:sz w:val="22"/>
                <w:szCs w:val="22"/>
              </w:rPr>
            </w:r>
          </w:p>
          <w:p>
            <w:pPr>
              <w:pStyle w:val="Normal"/>
              <w:ind w:left="-20" w:right="0" w:hanging="0"/>
              <w:rPr>
                <w:sz w:val="22"/>
                <w:szCs w:val="22"/>
              </w:rPr>
            </w:pPr>
            <w:r>
              <w:rPr>
                <w:sz w:val="22"/>
                <w:szCs w:val="22"/>
              </w:rPr>
              <w:t xml:space="preserve">Casual car user </w:t>
            </w:r>
          </w:p>
        </w:tc>
      </w:tr>
    </w:tbl>
    <w:p>
      <w:pPr>
        <w:pStyle w:val="Normal"/>
        <w:rPr>
          <w:rFonts w:cs="Arial"/>
          <w:sz w:val="22"/>
          <w:szCs w:val="22"/>
        </w:rPr>
      </w:pPr>
      <w:r>
        <w:rPr>
          <w:rFonts w:cs="Arial"/>
          <w:sz w:val="22"/>
          <w:szCs w:val="22"/>
        </w:rPr>
      </w:r>
    </w:p>
    <w:tbl>
      <w:tblPr>
        <w:tblW w:w="10450" w:type="dxa"/>
        <w:jc w:val="left"/>
        <w:tblInd w:w="-617" w:type="dxa"/>
        <w:tblCellMar>
          <w:top w:w="0" w:type="dxa"/>
          <w:left w:w="108" w:type="dxa"/>
          <w:bottom w:w="0" w:type="dxa"/>
          <w:right w:w="108" w:type="dxa"/>
        </w:tblCellMar>
      </w:tblPr>
      <w:tblGrid>
        <w:gridCol w:w="10450"/>
      </w:tblGrid>
      <w:tr>
        <w:trPr/>
        <w:tc>
          <w:tcPr>
            <w:tcW w:w="1045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
                <w:sz w:val="22"/>
                <w:szCs w:val="22"/>
              </w:rPr>
            </w:pPr>
            <w:r>
              <w:rPr>
                <w:rFonts w:cs="Arial"/>
                <w:b/>
                <w:sz w:val="22"/>
                <w:szCs w:val="22"/>
              </w:rPr>
              <w:t>Values and Behaviours:</w:t>
            </w:r>
          </w:p>
          <w:p>
            <w:pPr>
              <w:pStyle w:val="Normal"/>
              <w:rPr>
                <w:rFonts w:cs="Arial"/>
                <w:b/>
                <w:b/>
                <w:sz w:val="22"/>
                <w:szCs w:val="22"/>
              </w:rPr>
            </w:pPr>
            <w:r>
              <w:rPr>
                <w:rFonts w:cs="Arial"/>
                <w:b/>
                <w:sz w:val="22"/>
                <w:szCs w:val="22"/>
              </w:rPr>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
                <w:bCs/>
                <w:sz w:val="22"/>
                <w:szCs w:val="22"/>
                <w:lang w:val="en-US"/>
              </w:rPr>
            </w:pPr>
            <w:r>
              <w:rPr>
                <w:rFonts w:eastAsia="Arial" w:cs="Arial"/>
                <w:b/>
                <w:bCs/>
                <w:sz w:val="22"/>
                <w:szCs w:val="22"/>
                <w:lang w:val="en-US"/>
              </w:rPr>
              <w:t>Together</w:t>
            </w:r>
          </w:p>
          <w:p>
            <w:pPr>
              <w:pStyle w:val="Normal"/>
              <w:spacing w:before="280" w:after="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50" w:type="dxa"/>
            <w:tcBorders>
              <w:top w:val="single" w:sz="4" w:space="0" w:color="000000"/>
              <w:left w:val="single" w:sz="4" w:space="0" w:color="000000"/>
              <w:bottom w:val="single" w:sz="4" w:space="0" w:color="000000"/>
              <w:right w:val="single" w:sz="4" w:space="0" w:color="000000"/>
            </w:tcBorders>
            <w:shd w:fill="auto" w:val="clear"/>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12"/>
              </w:numPr>
              <w:rPr>
                <w:rFonts w:ascii="Arial" w:hAnsi="Arial" w:eastAsia="Arial" w:cs="Arial"/>
              </w:rPr>
            </w:pPr>
            <w:r>
              <w:rPr>
                <w:rFonts w:eastAsia="Arial" w:cs="Arial" w:ascii="Arial" w:hAnsi="Arial"/>
              </w:rPr>
              <w:t>Work with a Resident Focus</w:t>
            </w:r>
          </w:p>
          <w:p>
            <w:pPr>
              <w:pStyle w:val="ListParagraph"/>
              <w:numPr>
                <w:ilvl w:val="0"/>
                <w:numId w:val="12"/>
              </w:numPr>
              <w:rPr>
                <w:rFonts w:ascii="Arial" w:hAnsi="Arial" w:eastAsia="Arial" w:cs="Arial"/>
              </w:rPr>
            </w:pPr>
            <w:r>
              <w:rPr>
                <w:rFonts w:eastAsia="Arial" w:cs="Arial" w:ascii="Arial" w:hAnsi="Arial"/>
              </w:rPr>
              <w:t>Support Local Leaders</w:t>
            </w:r>
          </w:p>
          <w:p>
            <w:pPr>
              <w:pStyle w:val="ListParagraph"/>
              <w:numPr>
                <w:ilvl w:val="0"/>
                <w:numId w:val="12"/>
              </w:numPr>
              <w:rPr>
                <w:rFonts w:ascii="Arial" w:hAnsi="Arial" w:eastAsia="Arial" w:cs="Arial"/>
              </w:rPr>
            </w:pPr>
            <w:r>
              <w:rPr>
                <w:rFonts w:eastAsia="Arial" w:cs="Arial" w:ascii="Arial" w:hAnsi="Arial"/>
              </w:rPr>
              <w:t>Committed to the Borough</w:t>
            </w:r>
          </w:p>
          <w:p>
            <w:pPr>
              <w:pStyle w:val="ListParagraph"/>
              <w:numPr>
                <w:ilvl w:val="0"/>
                <w:numId w:val="12"/>
              </w:numPr>
              <w:rPr>
                <w:rFonts w:ascii="Arial" w:hAnsi="Arial" w:eastAsia="Arial" w:cs="Arial"/>
              </w:rPr>
            </w:pPr>
            <w:r>
              <w:rPr>
                <w:rFonts w:eastAsia="Arial" w:cs="Arial" w:ascii="Arial" w:hAnsi="Arial"/>
              </w:rPr>
              <w:t>Take Ownership and Drive Change</w:t>
            </w:r>
          </w:p>
          <w:p>
            <w:pPr>
              <w:pStyle w:val="ListParagraph"/>
              <w:numPr>
                <w:ilvl w:val="0"/>
                <w:numId w:val="12"/>
              </w:numPr>
              <w:rPr>
                <w:rFonts w:ascii="Arial" w:hAnsi="Arial" w:eastAsia="Arial" w:cs="Arial"/>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Internet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620"/>
        <w:gridCol w:w="1800"/>
        <w:gridCol w:w="2160"/>
        <w:gridCol w:w="4869"/>
      </w:tblGrid>
      <w:tr>
        <w:trPr/>
        <w:tc>
          <w:tcPr>
            <w:tcW w:w="1620" w:type="dxa"/>
            <w:tcBorders>
              <w:top w:val="single" w:sz="4" w:space="0" w:color="000000"/>
              <w:left w:val="single" w:sz="4" w:space="0" w:color="000000"/>
              <w:bottom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tcBorders>
            <w:shd w:fill="00B3BE" w:val="clear"/>
          </w:tcPr>
          <w:p>
            <w:pPr>
              <w:pStyle w:val="Normal"/>
              <w:spacing w:before="60" w:after="60"/>
              <w:jc w:val="center"/>
              <w:rPr>
                <w:rFonts w:cs="Arial"/>
                <w:b/>
                <w:b/>
                <w:sz w:val="22"/>
                <w:szCs w:val="22"/>
              </w:rPr>
            </w:pPr>
            <w:r>
              <w:rPr>
                <w:rFonts w:cs="Arial"/>
                <w:b/>
                <w:sz w:val="22"/>
                <w:szCs w:val="22"/>
              </w:rPr>
              <w:t>NAME</w:t>
            </w:r>
          </w:p>
        </w:tc>
        <w:tc>
          <w:tcPr>
            <w:tcW w:w="486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08.09.2023</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Paula Healey</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Head of Early Years</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23.08.2024</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Paula Healey</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Head of Early Years</w:t>
            </w:r>
          </w:p>
        </w:tc>
      </w:tr>
      <w:tr>
        <w:trPr/>
        <w:tc>
          <w:tcPr>
            <w:tcW w:w="1620" w:type="dxa"/>
            <w:tcBorders>
              <w:top w:val="single" w:sz="4" w:space="0" w:color="000000"/>
              <w:left w:val="single" w:sz="4" w:space="0" w:color="000000"/>
              <w:bottom w:val="single" w:sz="4" w:space="0" w:color="000000"/>
            </w:tcBorders>
            <w:shd w:fill="auto" w:val="clear"/>
          </w:tcPr>
          <w:p>
            <w:pPr>
              <w:pStyle w:val="Normal"/>
              <w:spacing w:before="60" w:after="60"/>
              <w:rPr>
                <w:rFonts w:cs="Arial"/>
                <w:b/>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20.08.2026</w:t>
            </w:r>
          </w:p>
        </w:tc>
        <w:tc>
          <w:tcPr>
            <w:tcW w:w="2160" w:type="dxa"/>
            <w:tcBorders>
              <w:top w:val="single" w:sz="4" w:space="0" w:color="000000"/>
              <w:left w:val="single" w:sz="4" w:space="0" w:color="000000"/>
              <w:bottom w:val="single" w:sz="4" w:space="0" w:color="000000"/>
            </w:tcBorders>
            <w:shd w:fill="auto" w:val="clear"/>
          </w:tcPr>
          <w:p>
            <w:pPr>
              <w:pStyle w:val="Normal"/>
              <w:spacing w:before="60" w:after="60"/>
              <w:rPr>
                <w:rFonts w:cs="Arial"/>
                <w:sz w:val="22"/>
                <w:szCs w:val="22"/>
              </w:rPr>
            </w:pPr>
            <w:r>
              <w:rPr>
                <w:rFonts w:cs="Arial"/>
                <w:sz w:val="22"/>
                <w:szCs w:val="22"/>
              </w:rPr>
              <w:t>Ailsa Burton</w:t>
            </w:r>
          </w:p>
        </w:tc>
        <w:tc>
          <w:tcPr>
            <w:tcW w:w="486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cs="Arial"/>
                <w:sz w:val="22"/>
                <w:szCs w:val="22"/>
              </w:rPr>
            </w:pPr>
            <w:r>
              <w:rPr>
                <w:rFonts w:cs="Arial"/>
                <w:sz w:val="22"/>
                <w:szCs w:val="22"/>
              </w:rPr>
              <w:t>Challenge and Intervention Officer</w:t>
            </w:r>
          </w:p>
        </w:tc>
      </w:tr>
    </w:tbl>
    <w:p>
      <w:pPr>
        <w:pStyle w:val="Normal"/>
        <w:jc w:val="center"/>
        <w:rPr>
          <w:rFonts w:cs="Arial"/>
          <w:b/>
          <w:b/>
          <w:bCs/>
          <w:sz w:val="22"/>
          <w:szCs w:val="22"/>
          <w:u w:val="single"/>
        </w:rPr>
      </w:pPr>
      <w:r>
        <w:br w:type="page"/>
      </w:r>
      <w:r>
        <w:rPr>
          <w:rFonts w:cs="Arial"/>
          <w:b/>
          <w:bCs/>
          <w:sz w:val="22"/>
          <w:szCs w:val="22"/>
          <w:u w:val="single"/>
        </w:rPr>
        <w:t>OLDHAM COUNCIL</w:t>
      </w:r>
    </w:p>
    <w:p>
      <w:pPr>
        <w:pStyle w:val="Normal"/>
        <w:jc w:val="center"/>
        <w:rPr>
          <w:rFonts w:cs="Arial"/>
          <w:b/>
          <w:b/>
          <w:bCs/>
          <w:sz w:val="22"/>
          <w:szCs w:val="22"/>
          <w:u w:val="single"/>
        </w:rPr>
      </w:pPr>
      <w:r>
        <w:rPr>
          <w:rFonts w:cs="Arial"/>
          <w:b/>
          <w:bCs/>
          <w:sz w:val="22"/>
          <w:szCs w:val="22"/>
          <w:u w:val="single"/>
        </w:rPr>
      </w:r>
    </w:p>
    <w:p>
      <w:pPr>
        <w:pStyle w:val="Normal"/>
        <w:jc w:val="center"/>
        <w:rPr>
          <w:rFonts w:cs="Arial"/>
          <w:b/>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
        <w:rPr/>
      </w:pPr>
      <w:r>
        <w:rPr>
          <w:rFonts w:cs="Arial" w:ascii="Arial" w:hAnsi="Arial"/>
          <w:b/>
          <w:bCs/>
          <w:sz w:val="22"/>
          <w:szCs w:val="22"/>
        </w:rPr>
        <w:t xml:space="preserve">Job Title:     </w:t>
      </w:r>
      <w:r>
        <w:rPr>
          <w:rFonts w:cs="Arial" w:ascii="Arial" w:hAnsi="Arial"/>
          <w:sz w:val="22"/>
          <w:szCs w:val="22"/>
        </w:rPr>
        <w:t>Expert at Hand – Early Years Advisory Practitioner</w:t>
      </w:r>
    </w:p>
    <w:p>
      <w:pPr>
        <w:pStyle w:val="Normal"/>
        <w:rPr>
          <w:rFonts w:cs="Arial"/>
          <w:sz w:val="22"/>
          <w:szCs w:val="22"/>
        </w:rPr>
      </w:pPr>
      <w:r>
        <w:rPr>
          <w:rFonts w:cs="Arial"/>
          <w:sz w:val="22"/>
          <w:szCs w:val="22"/>
        </w:rPr>
      </w:r>
    </w:p>
    <w:tbl>
      <w:tblPr>
        <w:tblW w:w="10449" w:type="dxa"/>
        <w:jc w:val="left"/>
        <w:tblInd w:w="-617" w:type="dxa"/>
        <w:tblCellMar>
          <w:top w:w="0" w:type="dxa"/>
          <w:left w:w="108" w:type="dxa"/>
          <w:bottom w:w="0" w:type="dxa"/>
          <w:right w:w="108" w:type="dxa"/>
        </w:tblCellMar>
      </w:tblPr>
      <w:tblGrid>
        <w:gridCol w:w="1799"/>
        <w:gridCol w:w="3960"/>
        <w:gridCol w:w="3060"/>
        <w:gridCol w:w="1630"/>
      </w:tblGrid>
      <w:tr>
        <w:trPr>
          <w:trHeight w:val="1000" w:hRule="atLeast"/>
          <w:cantSplit w:val="true"/>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 xml:space="preserve">Selection criteria </w:t>
            </w:r>
          </w:p>
          <w:p>
            <w:pPr>
              <w:pStyle w:val="Normal"/>
              <w:jc w:val="center"/>
              <w:rPr>
                <w:rFonts w:cs="Arial"/>
                <w:b/>
                <w:b/>
                <w:bCs/>
                <w:sz w:val="22"/>
                <w:szCs w:val="22"/>
              </w:rPr>
            </w:pPr>
            <w:r>
              <w:rPr>
                <w:rFonts w:cs="Arial"/>
                <w:b/>
                <w:bCs/>
                <w:sz w:val="22"/>
                <w:szCs w:val="22"/>
              </w:rPr>
              <w:t>(Desirable)</w:t>
            </w:r>
          </w:p>
          <w:p>
            <w:pPr>
              <w:pStyle w:val="Normal"/>
              <w:jc w:val="center"/>
              <w:rPr>
                <w:rFonts w:cs="Arial"/>
                <w:b/>
                <w:b/>
                <w:bCs/>
                <w:sz w:val="22"/>
                <w:szCs w:val="22"/>
              </w:rPr>
            </w:pPr>
            <w:r>
              <w:rPr>
                <w:rFonts w:cs="Arial"/>
                <w:b/>
                <w:bCs/>
                <w:sz w:val="22"/>
                <w:szCs w:val="22"/>
              </w:rPr>
            </w:r>
          </w:p>
        </w:tc>
        <w:tc>
          <w:tcPr>
            <w:tcW w:w="163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
                <w:bCs/>
                <w:sz w:val="22"/>
                <w:szCs w:val="22"/>
              </w:rPr>
            </w:pPr>
            <w:r>
              <w:rPr>
                <w:rFonts w:cs="Arial"/>
                <w:b/>
                <w:bCs/>
                <w:sz w:val="22"/>
                <w:szCs w:val="22"/>
              </w:rPr>
            </w:r>
          </w:p>
          <w:p>
            <w:pPr>
              <w:pStyle w:val="Normal"/>
              <w:jc w:val="center"/>
              <w:rPr>
                <w:rFonts w:cs="Arial"/>
                <w:b/>
                <w:b/>
                <w:bCs/>
                <w:sz w:val="22"/>
                <w:szCs w:val="22"/>
              </w:rPr>
            </w:pPr>
            <w:r>
              <w:rPr>
                <w:rFonts w:cs="Arial"/>
                <w:b/>
                <w:bCs/>
                <w:sz w:val="22"/>
                <w:szCs w:val="22"/>
              </w:rPr>
              <w:t>How Assessed</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Education &amp; Qualifications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Qualified Teacher Status (QTS), Early Years Teacher Status (EYTS) or equivalent professional qualification. Degree level qualification or equivalent.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Evidence of continuing professional development.</w:t>
            </w:r>
          </w:p>
        </w:tc>
        <w:tc>
          <w:tcPr>
            <w:tcW w:w="3060" w:type="dxa"/>
            <w:tcBorders>
              <w:top w:val="single" w:sz="4" w:space="0" w:color="000000"/>
              <w:left w:val="single" w:sz="4" w:space="0" w:color="000000"/>
              <w:bottom w:val="single" w:sz="4" w:space="0" w:color="000000"/>
            </w:tcBorders>
            <w:shd w:fill="auto" w:val="clear"/>
          </w:tcPr>
          <w:p>
            <w:pPr>
              <w:pStyle w:val="Header"/>
              <w:tabs>
                <w:tab w:val="clear" w:pos="4153"/>
                <w:tab w:val="clear" w:pos="8306"/>
              </w:tabs>
              <w:rPr>
                <w:rFonts w:cs="Arial"/>
                <w:szCs w:val="22"/>
              </w:rPr>
            </w:pPr>
            <w:r>
              <w:rPr>
                <w:rFonts w:cs="Arial"/>
                <w:szCs w:val="22"/>
              </w:rPr>
              <w:t>NPQ, leadership qualification or specialist Early Years/SEND qualification.</w:t>
            </w:r>
          </w:p>
          <w:p>
            <w:pPr>
              <w:pStyle w:val="Header"/>
              <w:tabs>
                <w:tab w:val="clear" w:pos="4153"/>
                <w:tab w:val="clear" w:pos="8306"/>
              </w:tabs>
              <w:rPr>
                <w:rFonts w:cs="Arial"/>
                <w:szCs w:val="22"/>
              </w:rPr>
            </w:pPr>
            <w:r>
              <w:rPr>
                <w:rFonts w:cs="Arial"/>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tc>
      </w:tr>
      <w:tr>
        <w:trPr>
          <w:trHeight w:val="6326" w:hRule="atLeast"/>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Experience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overflowPunct w:val="true"/>
              <w:textAlignment w:val="baseline"/>
              <w:rPr>
                <w:rFonts w:cs="Arial"/>
                <w:sz w:val="22"/>
                <w:szCs w:val="22"/>
              </w:rPr>
            </w:pPr>
            <w:r>
              <w:rPr>
                <w:rFonts w:cs="Arial"/>
                <w:sz w:val="22"/>
                <w:szCs w:val="22"/>
              </w:rPr>
              <w:t>Significant experience of working within the Early Years sector, including schools and/or PVI settings.</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 xml:space="preserve">Experience of improving outcomes for children aged 0-5. </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 xml:space="preserve">Experience of supporting leaders and practitioners to improve quality of provision and practice. </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 xml:space="preserve">Experience of delivering training, coaching and workforce development. </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 xml:space="preserve">Experience of supporting inclusive practice and children with additional needs. </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 xml:space="preserve">Experience of analysing data and using evidence to support improvement. </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 xml:space="preserve">Experience of partnership working across education, health and family services. </w:t>
            </w:r>
          </w:p>
          <w:p>
            <w:pPr>
              <w:pStyle w:val="Normal"/>
              <w:overflowPunct w:val="true"/>
              <w:textAlignment w:val="baseline"/>
              <w:rPr>
                <w:rFonts w:cs="Arial"/>
                <w:sz w:val="22"/>
                <w:szCs w:val="22"/>
              </w:rPr>
            </w:pPr>
            <w:r>
              <w:rPr>
                <w:rFonts w:cs="Arial"/>
                <w:sz w:val="22"/>
                <w:szCs w:val="22"/>
              </w:rPr>
            </w:r>
          </w:p>
          <w:p>
            <w:pPr>
              <w:pStyle w:val="Normal"/>
              <w:overflowPunct w:val="true"/>
              <w:textAlignment w:val="baseline"/>
              <w:rPr>
                <w:rFonts w:cs="Arial"/>
                <w:sz w:val="22"/>
                <w:szCs w:val="22"/>
              </w:rPr>
            </w:pPr>
            <w:r>
              <w:rPr>
                <w:rFonts w:cs="Arial"/>
                <w:sz w:val="22"/>
                <w:szCs w:val="22"/>
              </w:rPr>
              <w:t>Experience of leading or facilitating professional networks, forums or communities of practice.</w:t>
            </w:r>
          </w:p>
        </w:tc>
        <w:tc>
          <w:tcPr>
            <w:tcW w:w="30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Experience within a Local Authority advisory, improvement or leadership role.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Experience of implementing strategic programmes or national initiatives.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Experience of quality assurance and service evaluation.</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t>AF / I</w:t>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p>
            <w:pPr>
              <w:pStyle w:val="Normal"/>
              <w:ind w:left="48" w:right="0" w:hanging="0"/>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Skills &amp; Abilities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Ability to provide professional challenge, support and advice to school and Early Years leaders.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build effective relationships and influence practice across a range of settings and services.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Excellent communication, presentation and facilitation skills.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Strong coaching and mentoring skills.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analyse information and identify priorities for improvement.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use data and evidence to monitor impact and outcomes.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 xml:space="preserve">Ability to work strategically and operationally across multiple priorities.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Ability to produce clear reports and recommendations.</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tcBorders>
            <w:shd w:fill="auto" w:val="clear"/>
          </w:tcPr>
          <w:p>
            <w:pPr>
              <w:pStyle w:val="Normal"/>
              <w:ind w:left="0" w:right="0" w:hanging="15"/>
              <w:rPr>
                <w:rFonts w:cs="Arial"/>
                <w:sz w:val="22"/>
                <w:szCs w:val="22"/>
              </w:rPr>
            </w:pPr>
            <w:r>
              <w:rPr>
                <w:rFonts w:cs="Arial"/>
                <w:sz w:val="22"/>
                <w:szCs w:val="22"/>
              </w:rPr>
              <w:t>Experience of leading borough-wide improvement initiatives or collaborative projects.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t>AF / I</w:t>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p>
            <w:pPr>
              <w:pStyle w:val="Endnote"/>
              <w:jc w:val="center"/>
              <w:rPr>
                <w:rFonts w:ascii="Arial" w:hAnsi="Arial" w:cs="Arial"/>
                <w:sz w:val="22"/>
                <w:szCs w:val="22"/>
              </w:rPr>
            </w:pPr>
            <w:r>
              <w:rPr>
                <w:rFonts w:cs="Arial" w:ascii="Arial" w:hAnsi="Arial"/>
                <w:sz w:val="22"/>
                <w:szCs w:val="22"/>
              </w:rPr>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ascii="Arial" w:hAnsi="Arial"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t>Knowledge</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lang w:val="en-US"/>
              </w:rPr>
            </w:pPr>
            <w:r>
              <w:rPr>
                <w:rFonts w:cs="Arial"/>
                <w:sz w:val="22"/>
                <w:szCs w:val="22"/>
                <w:lang w:val="en-US"/>
              </w:rPr>
              <w:t xml:space="preserve">Thorough knowledge of the EYFS Framework and child development from birth to five. Knowledge of SEND legislation, the SEND Code of Practice and current SEND reforms.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 xml:space="preserve">Knowledge of Best Start in Life, Family Hubs and Early Years policy developments.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 xml:space="preserve">Understanding of inclusion, early intervention and graduated response approaches.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 xml:space="preserve">Knowledge of safeguarding legislation, policy and practice.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 xml:space="preserve">Understanding of the impact of disadvantage on children's outcomes and school readiness. </w:t>
            </w:r>
          </w:p>
          <w:p>
            <w:pPr>
              <w:pStyle w:val="Normal"/>
              <w:rPr>
                <w:rFonts w:cs="Arial"/>
                <w:sz w:val="22"/>
                <w:szCs w:val="22"/>
                <w:lang w:val="en-US"/>
              </w:rPr>
            </w:pPr>
            <w:r>
              <w:rPr>
                <w:rFonts w:cs="Arial"/>
                <w:sz w:val="22"/>
                <w:szCs w:val="22"/>
                <w:lang w:val="en-US"/>
              </w:rPr>
            </w:r>
          </w:p>
          <w:p>
            <w:pPr>
              <w:pStyle w:val="Normal"/>
              <w:rPr>
                <w:rFonts w:cs="Arial"/>
                <w:sz w:val="22"/>
                <w:szCs w:val="22"/>
                <w:lang w:val="en-US"/>
              </w:rPr>
            </w:pPr>
            <w:r>
              <w:rPr>
                <w:rFonts w:cs="Arial"/>
                <w:sz w:val="22"/>
                <w:szCs w:val="22"/>
                <w:lang w:val="en-US"/>
              </w:rPr>
              <w:t>Knowledge of evidence-informed approaches to quality improvement and professional development.</w:t>
            </w:r>
          </w:p>
        </w:tc>
        <w:tc>
          <w:tcPr>
            <w:tcW w:w="3060" w:type="dxa"/>
            <w:tcBorders>
              <w:top w:val="single" w:sz="4" w:space="0" w:color="000000"/>
              <w:left w:val="single" w:sz="4" w:space="0" w:color="000000"/>
              <w:bottom w:val="single" w:sz="4" w:space="0" w:color="000000"/>
            </w:tcBorders>
            <w:shd w:fill="auto" w:val="clear"/>
          </w:tcPr>
          <w:p>
            <w:pPr>
              <w:pStyle w:val="Normal"/>
              <w:rPr/>
            </w:pPr>
            <w:r>
              <w:rPr/>
              <w:t xml:space="preserve">Knowledge of Ofsted frameworks and inspection requirements. </w:t>
            </w:r>
          </w:p>
          <w:p>
            <w:pPr>
              <w:pStyle w:val="Normal"/>
              <w:rPr/>
            </w:pPr>
            <w:r>
              <w:rPr/>
            </w:r>
          </w:p>
          <w:p>
            <w:pPr>
              <w:pStyle w:val="Normal"/>
              <w:rPr/>
            </w:pPr>
            <w:r>
              <w:rPr/>
              <w:t>Knowledge of quality improvement methodologies and implementation approaches.</w:t>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jc w:val="center"/>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p>
            <w:pPr>
              <w:pStyle w:val="Normal"/>
              <w:jc w:val="center"/>
              <w:rPr>
                <w:rFonts w:cs="Arial"/>
                <w:sz w:val="22"/>
                <w:szCs w:val="22"/>
              </w:rPr>
            </w:pPr>
            <w:r>
              <w:rPr>
                <w:rFonts w:cs="Arial"/>
                <w:sz w:val="22"/>
                <w:szCs w:val="22"/>
              </w:rPr>
            </w:r>
          </w:p>
          <w:p>
            <w:pPr>
              <w:pStyle w:val="Normal"/>
              <w:jc w:val="center"/>
              <w:rPr>
                <w:rFonts w:cs="Arial"/>
                <w:sz w:val="22"/>
                <w:szCs w:val="22"/>
              </w:rPr>
            </w:pPr>
            <w:r>
              <w:rPr>
                <w:rFonts w:cs="Arial"/>
                <w:sz w:val="22"/>
                <w:szCs w:val="22"/>
              </w:rPr>
              <w:t>AF / I</w:t>
            </w:r>
          </w:p>
        </w:tc>
      </w:tr>
      <w:tr>
        <w:trPr/>
        <w:tc>
          <w:tcPr>
            <w:tcW w:w="1799" w:type="dxa"/>
            <w:tcBorders>
              <w:top w:val="single" w:sz="4" w:space="0" w:color="000000"/>
              <w:left w:val="single" w:sz="4" w:space="0" w:color="000000"/>
              <w:bottom w:val="single" w:sz="4" w:space="0" w:color="000000"/>
            </w:tcBorders>
            <w:shd w:fill="00B3BE" w:val="clear"/>
          </w:tcPr>
          <w:p>
            <w:pPr>
              <w:pStyle w:val="Normal"/>
              <w:snapToGrid w:val="false"/>
              <w:rPr>
                <w:rFonts w:cs="Arial"/>
                <w:b/>
                <w:b/>
                <w:bCs/>
                <w:sz w:val="22"/>
                <w:szCs w:val="22"/>
              </w:rPr>
            </w:pPr>
            <w:r>
              <w:rPr>
                <w:rFonts w:cs="Arial"/>
                <w:b/>
                <w:bCs/>
                <w:sz w:val="22"/>
                <w:szCs w:val="22"/>
              </w:rPr>
            </w:r>
          </w:p>
          <w:p>
            <w:pPr>
              <w:pStyle w:val="TextBody"/>
              <w:rPr>
                <w:rFonts w:cs="Arial"/>
                <w:bCs/>
                <w:szCs w:val="22"/>
              </w:rPr>
            </w:pPr>
            <w:r>
              <w:rPr>
                <w:rFonts w:cs="Arial"/>
                <w:bCs/>
                <w:szCs w:val="22"/>
              </w:rPr>
              <w:t>Work Circumstances</w:t>
            </w:r>
          </w:p>
          <w:p>
            <w:pPr>
              <w:pStyle w:val="Normal"/>
              <w:rPr>
                <w:rFonts w:cs="Arial"/>
                <w:b/>
                <w:b/>
                <w:bCs/>
                <w:sz w:val="22"/>
                <w:szCs w:val="22"/>
              </w:rPr>
            </w:pPr>
            <w:r>
              <w:rPr>
                <w:rFonts w:cs="Arial"/>
                <w:b/>
                <w:bCs/>
                <w:sz w:val="22"/>
                <w:szCs w:val="22"/>
              </w:rPr>
            </w:r>
          </w:p>
        </w:tc>
        <w:tc>
          <w:tcPr>
            <w:tcW w:w="3960" w:type="dxa"/>
            <w:tcBorders>
              <w:top w:val="single" w:sz="4" w:space="0" w:color="000000"/>
              <w:left w:val="single" w:sz="4" w:space="0" w:color="000000"/>
              <w:bottom w:val="single" w:sz="4" w:space="0" w:color="000000"/>
            </w:tcBorders>
            <w:shd w:fill="auto" w:val="clear"/>
          </w:tcPr>
          <w:p>
            <w:pPr>
              <w:pStyle w:val="Normal"/>
              <w:rPr>
                <w:rFonts w:cs="Arial"/>
                <w:sz w:val="22"/>
                <w:szCs w:val="22"/>
              </w:rPr>
            </w:pPr>
            <w:r>
              <w:rPr>
                <w:rFonts w:cs="Arial"/>
                <w:sz w:val="22"/>
                <w:szCs w:val="22"/>
              </w:rPr>
              <w:t xml:space="preserve">Ability to travel across the borough.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Willingness to work flexibly to meet service needs, including occasional evening meetings.</w:t>
            </w:r>
          </w:p>
        </w:tc>
        <w:tc>
          <w:tcPr>
            <w:tcW w:w="3060" w:type="dxa"/>
            <w:tcBorders>
              <w:top w:val="single" w:sz="4" w:space="0" w:color="000000"/>
              <w:left w:val="single" w:sz="4" w:space="0" w:color="000000"/>
              <w:bottom w:val="single" w:sz="4" w:space="0" w:color="000000"/>
            </w:tcBorders>
            <w:shd w:fill="auto" w:val="clear"/>
          </w:tcPr>
          <w:p>
            <w:pPr>
              <w:pStyle w:val="Normal"/>
              <w:snapToGrid w:val="false"/>
              <w:ind w:left="360" w:right="0" w:hanging="0"/>
              <w:rPr>
                <w:rFonts w:cs="Arial"/>
                <w:sz w:val="22"/>
                <w:szCs w:val="22"/>
              </w:rPr>
            </w:pPr>
            <w:r>
              <w:rPr>
                <w:rFonts w:cs="Arial"/>
                <w:sz w:val="22"/>
                <w:szCs w:val="22"/>
              </w:rPr>
            </w:r>
          </w:p>
        </w:tc>
        <w:tc>
          <w:tcPr>
            <w:tcW w:w="1630"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ind w:left="0" w:right="648" w:hanging="0"/>
              <w:rPr>
                <w:rFonts w:cs="Arial"/>
                <w:sz w:val="22"/>
                <w:szCs w:val="22"/>
              </w:rPr>
            </w:pPr>
            <w:r>
              <w:rPr>
                <w:rFonts w:cs="Arial"/>
                <w:sz w:val="22"/>
                <w:szCs w:val="22"/>
              </w:rPr>
            </w:r>
          </w:p>
          <w:p>
            <w:pPr>
              <w:pStyle w:val="Normal"/>
              <w:ind w:left="-94" w:right="648" w:hanging="0"/>
              <w:jc w:val="center"/>
              <w:rPr/>
            </w:pPr>
            <w:r>
              <w:rPr>
                <w:rFonts w:eastAsia="Arial" w:cs="Arial"/>
                <w:sz w:val="22"/>
                <w:szCs w:val="22"/>
              </w:rPr>
              <w:t xml:space="preserve">       </w:t>
            </w:r>
            <w:r>
              <w:rPr>
                <w:rFonts w:cs="Arial"/>
                <w:sz w:val="22"/>
                <w:szCs w:val="22"/>
              </w:rPr>
              <w:t>I</w:t>
            </w:r>
          </w:p>
          <w:p>
            <w:pPr>
              <w:pStyle w:val="Normal"/>
              <w:ind w:left="-94" w:right="648" w:hanging="0"/>
              <w:jc w:val="center"/>
              <w:rPr>
                <w:rFonts w:cs="Arial"/>
                <w:sz w:val="22"/>
                <w:szCs w:val="22"/>
              </w:rPr>
            </w:pPr>
            <w:r>
              <w:rPr>
                <w:rFonts w:cs="Arial"/>
                <w:sz w:val="22"/>
                <w:szCs w:val="22"/>
              </w:rPr>
            </w:r>
          </w:p>
          <w:p>
            <w:pPr>
              <w:pStyle w:val="Normal"/>
              <w:ind w:left="-94" w:right="648" w:hanging="0"/>
              <w:jc w:val="center"/>
              <w:rPr>
                <w:rFonts w:cs="Arial"/>
                <w:sz w:val="22"/>
                <w:szCs w:val="22"/>
              </w:rPr>
            </w:pPr>
            <w:r>
              <w:rPr>
                <w:rFonts w:cs="Arial"/>
                <w:sz w:val="22"/>
                <w:szCs w:val="22"/>
              </w:rPr>
            </w:r>
          </w:p>
          <w:p>
            <w:pPr>
              <w:pStyle w:val="Normal"/>
              <w:ind w:left="-94" w:right="648" w:hanging="0"/>
              <w:jc w:val="center"/>
              <w:rPr/>
            </w:pPr>
            <w:r>
              <w:rPr>
                <w:rFonts w:eastAsia="Arial" w:cs="Arial"/>
                <w:sz w:val="22"/>
                <w:szCs w:val="22"/>
              </w:rPr>
              <w:t xml:space="preserve">      </w:t>
            </w:r>
            <w:r>
              <w:rPr>
                <w:rFonts w:cs="Arial"/>
                <w:sz w:val="22"/>
                <w:szCs w:val="22"/>
              </w:rPr>
              <w:t>I</w:t>
            </w:r>
          </w:p>
          <w:p>
            <w:pPr>
              <w:pStyle w:val="Normal"/>
              <w:ind w:left="-94" w:right="648" w:hanging="0"/>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
          <w:bCs/>
          <w:sz w:val="22"/>
          <w:szCs w:val="22"/>
        </w:rPr>
      </w:pPr>
      <w:r>
        <w:rPr>
          <w:rFonts w:cs="Arial"/>
          <w:b/>
          <w:bCs/>
          <w:sz w:val="22"/>
          <w:szCs w:val="22"/>
        </w:rPr>
      </w:r>
    </w:p>
    <w:p>
      <w:pPr>
        <w:pStyle w:val="Normal"/>
        <w:jc w:val="both"/>
        <w:rPr>
          <w:rFonts w:cs="Arial"/>
          <w:b/>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3" w:name="_Hlk190765446"/>
      <w:bookmarkEnd w:id="3"/>
    </w:p>
    <w:p>
      <w:pPr>
        <w:pStyle w:val="Normal"/>
        <w:jc w:val="both"/>
        <w:rPr>
          <w:rFonts w:cs="Arial"/>
          <w:b/>
          <w:b/>
          <w:bCs/>
          <w:sz w:val="22"/>
          <w:szCs w:val="22"/>
        </w:rPr>
      </w:pPr>
      <w:r>
        <w:rPr>
          <w:rFonts w:cs="Arial"/>
          <w:b/>
          <w:bCs/>
          <w:sz w:val="22"/>
          <w:szCs w:val="22"/>
        </w:rPr>
      </w:r>
    </w:p>
    <w:p>
      <w:pPr>
        <w:pStyle w:val="Normal"/>
        <w:rPr>
          <w:rFonts w:cs="Arial"/>
          <w:b/>
          <w:b/>
          <w:bCs/>
          <w:sz w:val="22"/>
          <w:szCs w:val="22"/>
        </w:rPr>
      </w:pPr>
      <w:r>
        <w:rPr>
          <w:rFonts w:cs="Arial"/>
          <w:b/>
          <w:bCs/>
          <w:sz w:val="22"/>
          <w:szCs w:val="22"/>
        </w:rPr>
      </w:r>
    </w:p>
    <w:sectPr>
      <w:headerReference w:type="default" r:id="rId2"/>
      <w:headerReference w:type="first" r:id="rId3"/>
      <w:type w:val="nextPage"/>
      <w:pgSz w:w="11906" w:h="16838"/>
      <w:pgMar w:left="1440" w:right="1440" w:header="567" w:top="624" w:footer="0" w:bottom="1440"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0">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1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InternetLink">
    <w:name w:val="Internet Link"/>
    <w:basedOn w:val="DefaultParagraphFont"/>
    <w:rPr>
      <w:color w:val="0563C1"/>
      <w:u w:val="single"/>
    </w:rPr>
  </w:style>
  <w:style w:type="character" w:styleId="Annotationreference">
    <w:name w:val="annotation reference"/>
    <w:basedOn w:val="DefaultParagraphFont"/>
    <w:qFormat/>
    <w:rPr>
      <w:sz w:val="16"/>
      <w:szCs w:val="16"/>
    </w:rPr>
  </w:style>
  <w:style w:type="character" w:styleId="CommentSubjectChar">
    <w:name w:val="Comment Subject Char"/>
    <w:basedOn w:val="CommentTextChar"/>
    <w:qFormat/>
    <w:rPr>
      <w:rFonts w:ascii="Arial" w:hAnsi="Arial" w:cs="Arial"/>
      <w:b/>
      <w:bCs/>
      <w:lang w:eastAsia="en-US"/>
    </w:rPr>
  </w:style>
  <w:style w:type="character" w:styleId="UnresolvedMention">
    <w:name w:val="Unresolved Mention"/>
    <w:basedOn w:val="DefaultParagraphFont"/>
    <w:qFormat/>
    <w:rPr>
      <w:color w:val="605E5C"/>
      <w:shd w:fill="E1DFDD" w:val="clear"/>
    </w:rPr>
  </w:style>
  <w:style w:type="character" w:styleId="Emphasis">
    <w:name w:val="Emphasis"/>
    <w:basedOn w:val="DefaultParagraphFont"/>
    <w:qFormat/>
    <w:rPr>
      <w:i/>
      <w:iCs/>
    </w:rPr>
  </w:style>
  <w:style w:type="character" w:styleId="FooterChar">
    <w:name w:val="Footer Char"/>
    <w:basedOn w:val="DefaultParagraphFont"/>
    <w:qFormat/>
    <w:rPr>
      <w:rFonts w:ascii="Arial" w:hAnsi="Arial" w:cs="Arial"/>
      <w:sz w:val="24"/>
      <w:szCs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sz w:val="22"/>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TextBodyIndent">
    <w:name w:val="Body Text Indent"/>
    <w:basedOn w:val="Normal"/>
    <w:pPr>
      <w:spacing w:before="0" w:after="120"/>
      <w:ind w:left="283" w:right="0" w:hanging="0"/>
    </w:pPr>
    <w:rPr/>
  </w:style>
  <w:style w:type="paragraph" w:styleId="ListParagraph">
    <w:name w:val="List Paragraph"/>
    <w:basedOn w:val="Normal"/>
    <w:qFormat/>
    <w:pPr>
      <w:spacing w:lineRule="auto" w:line="276" w:before="0" w:after="200"/>
      <w:ind w:left="720" w:right="0" w:hanging="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Annotationsubject">
    <w:name w:val="annotation subject"/>
    <w:basedOn w:val="Annotationtext"/>
    <w:next w:val="Annotationtext"/>
    <w:qFormat/>
    <w:pPr/>
    <w:rPr>
      <w:rFonts w:ascii="Arial" w:hAnsi="Arial" w:cs="Arial"/>
      <w:b/>
      <w:bCs/>
    </w:rPr>
  </w:style>
  <w:style w:type="paragraph" w:styleId="Footer">
    <w:name w:val="Footer"/>
    <w:basedOn w:val="Normal"/>
    <w:pPr>
      <w:tabs>
        <w:tab w:val="clear" w:pos="720"/>
        <w:tab w:val="center" w:pos="4513" w:leader="none"/>
        <w:tab w:val="right" w:pos="9026" w:leader="none"/>
      </w:tabs>
    </w:pPr>
    <w:rPr/>
  </w:style>
  <w:style w:type="paragraph" w:styleId="Revision">
    <w:name w:val="Revision"/>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