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wmf" ContentType="image/x-wmf"/>
  <Override PartName="/word/media/image2.wmf" ContentType="image/x-wmf"/>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322705" cy="1277620"/>
                <wp:effectExtent l="0" t="0" r="0" b="0"/>
                <wp:wrapNone/>
                <wp:docPr id="1" name="Text Box 2"/>
                <a:graphic xmlns:a="http://schemas.openxmlformats.org/drawingml/2006/main">
                  <a:graphicData uri="http://schemas.microsoft.com/office/word/2010/wordprocessingShape">
                    <wps:wsp>
                      <wps:cNvSpPr/>
                      <wps:spPr>
                        <a:xfrm>
                          <a:off x="0" y="0"/>
                          <a:ext cx="1321920" cy="127692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396pt;margin-top:-9pt;width:104.05pt;height:100.5pt">
                <w10:wrap type="none"/>
                <v:fill o:detectmouseclick="t" type="solid" color2="black"/>
                <v:stroke color="#3465a4" joinstyle="round" endcap="flat"/>
              </v:rect>
            </w:pict>
          </mc:Fallback>
        </mc:AlternateContent>
      </w:r>
      <w:r>
        <mc:AlternateContent>
          <mc:Choice Requires="wps">
            <w:drawing>
              <wp:anchor behindDoc="0" distT="72390" distB="72390" distL="0" distR="1905" simplePos="0" locked="0" layoutInCell="1" allowOverlap="1" relativeHeight="4">
                <wp:simplePos x="0" y="0"/>
                <wp:positionH relativeFrom="column">
                  <wp:posOffset>5029200</wp:posOffset>
                </wp:positionH>
                <wp:positionV relativeFrom="paragraph">
                  <wp:posOffset>-114300</wp:posOffset>
                </wp:positionV>
                <wp:extent cx="1322070" cy="1186180"/>
                <wp:effectExtent l="0" t="0" r="0" b="0"/>
                <wp:wrapNone/>
                <wp:docPr id="2" name="Frame1"/>
                <a:graphic xmlns:a="http://schemas.openxmlformats.org/drawingml/2006/main">
                  <a:graphicData uri="http://schemas.microsoft.com/office/word/2010/wordprocessingShape">
                    <wps:wsp>
                      <wps:cNvSpPr txBox="1"/>
                      <wps:spPr>
                        <a:xfrm>
                          <a:off x="0" y="0"/>
                          <a:ext cx="1322070" cy="1186180"/>
                        </a:xfrm>
                        <a:prstGeom prst="rect"/>
                        <a:solidFill>
                          <a:srgbClr val="FFFFFF"/>
                        </a:solidFill>
                      </wps:spPr>
                      <wps:txbx>
                        <w:txbxContent>
                          <w:p>
                            <w:pPr>
                              <w:pStyle w:val="FrameContents"/>
                              <w:rPr/>
                            </w:pPr>
                            <w:r>
                              <w:rPr/>
                              <w:drawing>
                                <wp:inline distT="0" distB="0" distL="0" distR="0">
                                  <wp:extent cx="1142365" cy="1094740"/>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1142365" cy="10947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104.1pt;height:93.4pt;mso-wrap-distance-left:0pt;mso-wrap-distance-right:0.15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1142365" cy="109474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2"/>
                                    <a:srcRect l="-40" t="-35" r="-40" b="-35"/>
                                    <a:stretch>
                                      <a:fillRect/>
                                    </a:stretch>
                                  </pic:blipFill>
                                  <pic:spPr bwMode="auto">
                                    <a:xfrm>
                                      <a:off x="0" y="0"/>
                                      <a:ext cx="1142365" cy="1094740"/>
                                    </a:xfrm>
                                    <a:prstGeom prst="rect">
                                      <a:avLst/>
                                    </a:prstGeom>
                                  </pic:spPr>
                                </pic:pic>
                              </a:graphicData>
                            </a:graphic>
                          </wp:inline>
                        </w:drawing>
                      </w:r>
                    </w:p>
                  </w:txbxContent>
                </v:textbox>
              </v:rect>
            </w:pict>
          </mc:Fallback>
        </mc:AlternateContent>
      </w:r>
    </w:p>
    <w:p>
      <w:pPr>
        <w:pStyle w:val="Heading1"/>
        <w:spacing w:lineRule="auto" w:line="240"/>
        <w:rPr>
          <w:sz w:val="24"/>
          <w:szCs w:val="24"/>
        </w:rPr>
      </w:pPr>
      <w:r>
        <w:rPr>
          <w:sz w:val="24"/>
          <w:szCs w:val="24"/>
        </w:rPr>
      </w:r>
    </w:p>
    <w:p>
      <w:pPr>
        <w:pStyle w:val="Normal"/>
        <w:jc w:val="center"/>
        <w:rPr>
          <w:b/>
          <w:b/>
          <w:bCs/>
          <w:u w:val="single"/>
        </w:rPr>
      </w:pPr>
      <w:r>
        <w:rPr>
          <w:b/>
          <w:bCs/>
          <w:u w:val="single"/>
        </w:rPr>
        <w:t>OLDHAM COUNCIL</w:t>
      </w:r>
    </w:p>
    <w:p>
      <w:pPr>
        <w:pStyle w:val="Normal"/>
        <w:jc w:val="center"/>
        <w:rPr>
          <w:b/>
          <w:b/>
          <w:bCs/>
          <w:u w:val="single"/>
        </w:rPr>
      </w:pPr>
      <w:r>
        <w:rPr>
          <w:b/>
          <w:bCs/>
          <w:u w:val="single"/>
        </w:rPr>
      </w:r>
    </w:p>
    <w:p>
      <w:pPr>
        <w:pStyle w:val="Normal"/>
        <w:jc w:val="center"/>
        <w:rPr>
          <w:b/>
          <w:b/>
          <w:bCs/>
          <w:u w:val="single"/>
        </w:rPr>
      </w:pPr>
      <w:r>
        <w:rPr>
          <w:b/>
          <w:bCs/>
          <w:u w:val="single"/>
        </w:rPr>
        <w:t>JOB DESCRIPTION</w:t>
      </w:r>
    </w:p>
    <w:p>
      <w:pPr>
        <w:pStyle w:val="Normal"/>
        <w:jc w:val="center"/>
        <w:rPr>
          <w:b/>
          <w:b/>
          <w:bCs/>
          <w:u w:val="single"/>
        </w:rPr>
      </w:pPr>
      <w:r>
        <w:rPr>
          <w:b/>
          <w:bCs/>
          <w:u w:val="single"/>
        </w:rPr>
      </w:r>
    </w:p>
    <w:p>
      <w:pPr>
        <w:pStyle w:val="Normal"/>
        <w:jc w:val="center"/>
        <w:rPr>
          <w:b/>
          <w:b/>
          <w:bCs/>
          <w:color w:val="000000"/>
          <w:sz w:val="22"/>
          <w:szCs w:val="22"/>
          <w:u w:val="single"/>
        </w:rPr>
      </w:pPr>
      <w:r>
        <w:rPr>
          <w:b/>
          <w:bCs/>
          <w:color w:val="000000"/>
          <w:sz w:val="22"/>
          <w:szCs w:val="22"/>
          <w:u w:val="single"/>
        </w:rPr>
      </w:r>
    </w:p>
    <w:tbl>
      <w:tblPr>
        <w:tblW w:w="10214" w:type="dxa"/>
        <w:jc w:val="left"/>
        <w:tblInd w:w="-572" w:type="dxa"/>
        <w:tblCellMar>
          <w:top w:w="0" w:type="dxa"/>
          <w:left w:w="108" w:type="dxa"/>
          <w:bottom w:w="0" w:type="dxa"/>
          <w:right w:w="108" w:type="dxa"/>
        </w:tblCellMar>
      </w:tblPr>
      <w:tblGrid>
        <w:gridCol w:w="1701"/>
        <w:gridCol w:w="8513"/>
      </w:tblGrid>
      <w:tr>
        <w:trPr/>
        <w:tc>
          <w:tcPr>
            <w:tcW w:w="170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513" w:type="dxa"/>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color w:val="000000"/>
                <w:sz w:val="22"/>
                <w:szCs w:val="22"/>
              </w:rPr>
            </w:pPr>
            <w:r>
              <w:rPr>
                <w:rFonts w:cs="Arial" w:ascii="Arial" w:hAnsi="Arial"/>
                <w:color w:val="000000"/>
                <w:sz w:val="22"/>
                <w:szCs w:val="22"/>
              </w:rPr>
              <w:t>Early Help District Team Manager</w:t>
            </w:r>
          </w:p>
        </w:tc>
      </w:tr>
    </w:tbl>
    <w:p>
      <w:pPr>
        <w:pStyle w:val="Normal"/>
        <w:rPr>
          <w:rFonts w:cs="Arial"/>
          <w:b/>
          <w:b/>
          <w:bCs/>
          <w:sz w:val="22"/>
          <w:szCs w:val="22"/>
          <w:u w:val="single"/>
        </w:rPr>
      </w:pPr>
      <w:r>
        <w:rPr>
          <w:rFonts w:cs="Arial"/>
          <w:b/>
          <w:bCs/>
          <w:sz w:val="22"/>
          <w:szCs w:val="22"/>
          <w:u w:val="single"/>
        </w:rPr>
      </w:r>
    </w:p>
    <w:tbl>
      <w:tblPr>
        <w:tblW w:w="10215" w:type="dxa"/>
        <w:jc w:val="left"/>
        <w:tblInd w:w="-572" w:type="dxa"/>
        <w:tblCellMar>
          <w:top w:w="0" w:type="dxa"/>
          <w:left w:w="108" w:type="dxa"/>
          <w:bottom w:w="0" w:type="dxa"/>
          <w:right w:w="108" w:type="dxa"/>
        </w:tblCellMar>
      </w:tblPr>
      <w:tblGrid>
        <w:gridCol w:w="1700"/>
        <w:gridCol w:w="2835"/>
        <w:gridCol w:w="2269"/>
        <w:gridCol w:w="3411"/>
      </w:tblGrid>
      <w:tr>
        <w:trPr/>
        <w:tc>
          <w:tcPr>
            <w:tcW w:w="1700"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35"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Children &amp; Young People</w:t>
            </w:r>
          </w:p>
        </w:tc>
        <w:tc>
          <w:tcPr>
            <w:tcW w:w="226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rPr>
                <w:sz w:val="22"/>
                <w:szCs w:val="22"/>
              </w:rPr>
            </w:pPr>
            <w:r>
              <w:rPr>
                <w:sz w:val="22"/>
                <w:szCs w:val="22"/>
              </w:rPr>
              <w:t>Family Connect</w:t>
            </w:r>
          </w:p>
        </w:tc>
      </w:tr>
      <w:tr>
        <w:trPr/>
        <w:tc>
          <w:tcPr>
            <w:tcW w:w="1700"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3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8</w:t>
            </w:r>
          </w:p>
        </w:tc>
        <w:tc>
          <w:tcPr>
            <w:tcW w:w="226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szCs w:val="22"/>
              </w:rPr>
            </w:pPr>
            <w:r>
              <w:rPr>
                <w:szCs w:val="22"/>
              </w:rPr>
              <w:t>9875</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215" w:type="dxa"/>
        <w:jc w:val="left"/>
        <w:tblInd w:w="-572"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ListParagraph"/>
              <w:spacing w:lineRule="auto" w:line="276" w:before="0" w:after="120"/>
              <w:ind w:left="0" w:right="0" w:hanging="0"/>
              <w:rPr/>
            </w:pPr>
            <w:r>
              <w:rPr>
                <w:rFonts w:cs="Arial"/>
                <w:sz w:val="22"/>
                <w:szCs w:val="22"/>
              </w:rPr>
              <w:t xml:space="preserve">To be the Early Help strategic lead in a district, involved in the development and implementation of the district plan for children and young people, </w:t>
            </w:r>
            <w:r>
              <w:rPr>
                <w:rFonts w:eastAsia="Calibri" w:cs="Arial"/>
                <w:sz w:val="22"/>
                <w:szCs w:val="22"/>
              </w:rPr>
              <w:t xml:space="preserve">providing support and challenge to partners in order to develop early help practice and achieve positive outcomes for children and families. </w:t>
            </w:r>
          </w:p>
          <w:p>
            <w:pPr>
              <w:pStyle w:val="Normal"/>
              <w:jc w:val="both"/>
              <w:rPr>
                <w:rFonts w:cs="Arial"/>
                <w:sz w:val="22"/>
                <w:szCs w:val="22"/>
              </w:rPr>
            </w:pPr>
            <w:r>
              <w:rPr>
                <w:rFonts w:cs="Arial"/>
                <w:sz w:val="22"/>
                <w:szCs w:val="22"/>
              </w:rPr>
              <w:t xml:space="preserve">To lead and manage an Early Help district team including co-ordination of Early Help delivery in the district, allocation of cases, and management of staff and performance. </w:t>
            </w:r>
          </w:p>
          <w:p>
            <w:pPr>
              <w:pStyle w:val="Normal"/>
              <w:jc w:val="both"/>
              <w:rPr>
                <w:rFonts w:cs="Arial"/>
                <w:bCs/>
                <w:sz w:val="22"/>
                <w:szCs w:val="22"/>
              </w:rPr>
            </w:pPr>
            <w:r>
              <w:rPr>
                <w:rFonts w:cs="Arial"/>
                <w:bCs/>
                <w:sz w:val="22"/>
                <w:szCs w:val="22"/>
              </w:rPr>
            </w:r>
          </w:p>
        </w:tc>
      </w:tr>
      <w:tr>
        <w:trPr/>
        <w:tc>
          <w:tcPr>
            <w:tcW w:w="1021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Endnote"/>
              <w:spacing w:lineRule="auto" w:line="276" w:before="0" w:after="120"/>
              <w:jc w:val="both"/>
              <w:rPr>
                <w:rFonts w:ascii="Arial" w:hAnsi="Arial" w:eastAsia="Calibri" w:cs="Arial"/>
                <w:sz w:val="22"/>
                <w:szCs w:val="22"/>
              </w:rPr>
            </w:pPr>
            <w:r>
              <w:rPr>
                <w:rFonts w:eastAsia="Calibri" w:cs="Arial" w:ascii="Arial" w:hAnsi="Arial"/>
                <w:sz w:val="22"/>
                <w:szCs w:val="22"/>
              </w:rPr>
              <w:t>Key Tasks:</w:t>
            </w:r>
          </w:p>
          <w:p>
            <w:pPr>
              <w:pStyle w:val="Normal"/>
              <w:spacing w:lineRule="auto" w:line="276" w:before="0" w:after="120"/>
              <w:rPr>
                <w:rFonts w:eastAsia="Calibri" w:cs="Arial"/>
                <w:sz w:val="22"/>
                <w:szCs w:val="22"/>
              </w:rPr>
            </w:pPr>
            <w:r>
              <w:rPr>
                <w:rFonts w:eastAsia="Calibri" w:cs="Arial"/>
                <w:sz w:val="22"/>
                <w:szCs w:val="22"/>
              </w:rPr>
              <w:t>Strategic leadership</w:t>
            </w:r>
          </w:p>
          <w:p>
            <w:pPr>
              <w:pStyle w:val="ListParagraph"/>
              <w:numPr>
                <w:ilvl w:val="0"/>
                <w:numId w:val="2"/>
              </w:numPr>
              <w:spacing w:lineRule="auto" w:line="276" w:before="0" w:after="120"/>
              <w:ind w:left="757" w:right="0" w:hanging="397"/>
              <w:rPr>
                <w:rFonts w:eastAsia="Calibri" w:cs="Arial"/>
                <w:sz w:val="22"/>
                <w:szCs w:val="22"/>
              </w:rPr>
            </w:pPr>
            <w:r>
              <w:rPr>
                <w:rFonts w:eastAsia="Calibri" w:cs="Arial"/>
                <w:sz w:val="22"/>
                <w:szCs w:val="22"/>
              </w:rPr>
              <w:t>To be a member of the multi-agency district leadership team which develops and implements the district plan for children and young people.</w:t>
            </w:r>
          </w:p>
          <w:p>
            <w:pPr>
              <w:pStyle w:val="ListParagraph"/>
              <w:numPr>
                <w:ilvl w:val="0"/>
                <w:numId w:val="2"/>
              </w:numPr>
              <w:spacing w:lineRule="auto" w:line="276" w:before="0" w:after="120"/>
              <w:ind w:left="757" w:right="0" w:hanging="397"/>
              <w:rPr>
                <w:rFonts w:eastAsia="Calibri" w:cs="Arial"/>
                <w:sz w:val="22"/>
                <w:szCs w:val="22"/>
              </w:rPr>
            </w:pPr>
            <w:r>
              <w:rPr>
                <w:rFonts w:eastAsia="Calibri" w:cs="Arial"/>
                <w:sz w:val="22"/>
                <w:szCs w:val="22"/>
              </w:rPr>
              <w:t>To implement and further develop the agreed multi-agency model for early help delivery to children and families in the district, and to co-ordinate the team’s support for the operation of this.</w:t>
            </w:r>
          </w:p>
          <w:p>
            <w:pPr>
              <w:pStyle w:val="ListParagraph"/>
              <w:numPr>
                <w:ilvl w:val="0"/>
                <w:numId w:val="2"/>
              </w:numPr>
              <w:spacing w:lineRule="auto" w:line="276" w:before="0" w:after="120"/>
              <w:ind w:left="757" w:right="0" w:hanging="397"/>
              <w:rPr>
                <w:rFonts w:eastAsia="Calibri" w:cs="Arial"/>
                <w:sz w:val="22"/>
                <w:szCs w:val="22"/>
              </w:rPr>
            </w:pPr>
            <w:r>
              <w:rPr>
                <w:rFonts w:eastAsia="Calibri" w:cs="Arial"/>
                <w:sz w:val="22"/>
                <w:szCs w:val="22"/>
              </w:rPr>
              <w:t xml:space="preserve">To have oversight of early help performance in the district, providing support and challenge to partners in order to develop early help practice and achieve positive outcomes for children and families. </w:t>
            </w:r>
          </w:p>
          <w:p>
            <w:pPr>
              <w:pStyle w:val="ListParagraph"/>
              <w:numPr>
                <w:ilvl w:val="0"/>
                <w:numId w:val="2"/>
              </w:numPr>
              <w:spacing w:lineRule="auto" w:line="276" w:before="0" w:after="120"/>
              <w:ind w:left="757" w:right="0" w:hanging="397"/>
              <w:rPr>
                <w:rFonts w:eastAsia="Calibri" w:cs="Arial"/>
                <w:sz w:val="22"/>
                <w:szCs w:val="22"/>
              </w:rPr>
            </w:pPr>
            <w:r>
              <w:rPr>
                <w:rFonts w:eastAsia="Calibri" w:cs="Arial"/>
                <w:sz w:val="22"/>
                <w:szCs w:val="22"/>
              </w:rPr>
              <w:t xml:space="preserve">To contribute to development of the service plan, and oversee delivery of the team’s contribution, including regular monitoring of progress and ensuring action to address performance issues. </w:t>
            </w:r>
          </w:p>
          <w:p>
            <w:pPr>
              <w:pStyle w:val="Normal"/>
              <w:spacing w:lineRule="auto" w:line="276" w:before="0" w:after="120"/>
              <w:jc w:val="both"/>
              <w:rPr>
                <w:rFonts w:eastAsia="Calibri" w:cs="Arial"/>
                <w:sz w:val="22"/>
                <w:szCs w:val="22"/>
              </w:rPr>
            </w:pPr>
            <w:r>
              <w:rPr>
                <w:rFonts w:eastAsia="Calibri" w:cs="Arial"/>
                <w:sz w:val="22"/>
                <w:szCs w:val="22"/>
              </w:rPr>
              <w:t>Management and leadership</w:t>
            </w:r>
          </w:p>
          <w:p>
            <w:pPr>
              <w:pStyle w:val="Heading6"/>
              <w:keepNext w:val="true"/>
              <w:numPr>
                <w:ilvl w:val="0"/>
                <w:numId w:val="2"/>
              </w:numPr>
              <w:tabs>
                <w:tab w:val="clear" w:pos="720"/>
                <w:tab w:val="left" w:pos="757" w:leader="none"/>
              </w:tabs>
              <w:spacing w:lineRule="auto" w:line="276" w:before="0" w:after="120"/>
              <w:jc w:val="both"/>
              <w:rPr>
                <w:rFonts w:ascii="Arial" w:hAnsi="Arial" w:eastAsia="Calibri" w:cs="Arial"/>
                <w:b w:val="false"/>
                <w:b w:val="false"/>
                <w:bCs w:val="false"/>
              </w:rPr>
            </w:pPr>
            <w:r>
              <w:rPr>
                <w:rFonts w:eastAsia="Calibri" w:cs="Arial" w:ascii="Arial" w:hAnsi="Arial"/>
                <w:b w:val="false"/>
                <w:bCs w:val="false"/>
              </w:rPr>
              <w:t>To provide leadership to the team, modelling the corporate values and the Children’s Social Care and Early Help approach to practice, and ensuring a focus on the delivery of positive outcomes for children and families.</w:t>
            </w:r>
          </w:p>
          <w:p>
            <w:pPr>
              <w:pStyle w:val="Heading6"/>
              <w:keepNext w:val="true"/>
              <w:numPr>
                <w:ilvl w:val="0"/>
                <w:numId w:val="2"/>
              </w:numPr>
              <w:tabs>
                <w:tab w:val="clear" w:pos="720"/>
                <w:tab w:val="left" w:pos="757" w:leader="none"/>
              </w:tabs>
              <w:spacing w:lineRule="auto" w:line="276" w:before="0" w:after="120"/>
              <w:jc w:val="both"/>
              <w:rPr>
                <w:rFonts w:ascii="Arial" w:hAnsi="Arial" w:eastAsia="Calibri" w:cs="Arial"/>
                <w:b w:val="false"/>
                <w:b w:val="false"/>
                <w:bCs w:val="false"/>
              </w:rPr>
            </w:pPr>
            <w:r>
              <w:rPr>
                <w:rFonts w:eastAsia="Calibri" w:cs="Arial" w:ascii="Arial" w:hAnsi="Arial"/>
                <w:b w:val="false"/>
                <w:bCs w:val="false"/>
              </w:rPr>
              <w:t>To manage and motivate members of the team including recruitment and induction, appraisals, professional development, management of performance and any disciplinary or grievance processes.</w:t>
            </w:r>
          </w:p>
          <w:p>
            <w:pPr>
              <w:pStyle w:val="Heading6"/>
              <w:keepNext w:val="true"/>
              <w:numPr>
                <w:ilvl w:val="0"/>
                <w:numId w:val="2"/>
              </w:numPr>
              <w:tabs>
                <w:tab w:val="clear" w:pos="720"/>
                <w:tab w:val="left" w:pos="757" w:leader="none"/>
              </w:tabs>
              <w:spacing w:lineRule="auto" w:line="276" w:before="0" w:after="120"/>
              <w:jc w:val="both"/>
              <w:rPr>
                <w:rFonts w:ascii="Arial" w:hAnsi="Arial" w:eastAsia="Calibri" w:cs="Arial"/>
                <w:b w:val="false"/>
                <w:b w:val="false"/>
                <w:bCs w:val="false"/>
              </w:rPr>
            </w:pPr>
            <w:r>
              <w:rPr>
                <w:rFonts w:eastAsia="Calibri" w:cs="Arial" w:ascii="Arial" w:hAnsi="Arial"/>
                <w:b w:val="false"/>
                <w:bCs w:val="false"/>
              </w:rPr>
              <w:t xml:space="preserve">To provide formal and informal, individual and group supervision, and lead and coordinate team meetings keeping accurate records and producing reports as required. </w:t>
            </w:r>
          </w:p>
          <w:p>
            <w:pPr>
              <w:pStyle w:val="Normal"/>
              <w:numPr>
                <w:ilvl w:val="0"/>
                <w:numId w:val="2"/>
              </w:numPr>
              <w:tabs>
                <w:tab w:val="clear" w:pos="720"/>
                <w:tab w:val="left" w:pos="757" w:leader="none"/>
              </w:tabs>
              <w:spacing w:lineRule="auto" w:line="276" w:before="0" w:after="120"/>
              <w:rPr>
                <w:rFonts w:eastAsia="Calibri" w:cs="Arial"/>
                <w:sz w:val="22"/>
                <w:szCs w:val="22"/>
              </w:rPr>
            </w:pPr>
            <w:r>
              <w:rPr>
                <w:rFonts w:eastAsia="Calibri" w:cs="Arial"/>
                <w:sz w:val="22"/>
                <w:szCs w:val="22"/>
              </w:rPr>
              <w:t>To ensure effective team and practice development ensuring staff have the skills, abilities and knowledge required to meet the developing service needs.</w:t>
            </w:r>
          </w:p>
          <w:p>
            <w:pPr>
              <w:pStyle w:val="Normal"/>
              <w:spacing w:lineRule="auto" w:line="276" w:before="0" w:after="120"/>
              <w:jc w:val="both"/>
              <w:rPr>
                <w:rFonts w:eastAsia="Calibri" w:cs="Arial"/>
                <w:sz w:val="22"/>
                <w:szCs w:val="22"/>
              </w:rPr>
            </w:pPr>
            <w:r>
              <w:rPr>
                <w:rFonts w:eastAsia="Calibri" w:cs="Arial"/>
                <w:sz w:val="22"/>
                <w:szCs w:val="22"/>
              </w:rPr>
              <w:t>Oversight of practice and risk management</w:t>
            </w:r>
          </w:p>
          <w:p>
            <w:pPr>
              <w:pStyle w:val="Endnote"/>
              <w:numPr>
                <w:ilvl w:val="0"/>
                <w:numId w:val="2"/>
              </w:numPr>
              <w:tabs>
                <w:tab w:val="clear" w:pos="720"/>
                <w:tab w:val="left" w:pos="757" w:leader="none"/>
              </w:tabs>
              <w:spacing w:lineRule="auto" w:line="276" w:before="0" w:after="120"/>
              <w:jc w:val="both"/>
              <w:rPr>
                <w:rFonts w:ascii="Arial" w:hAnsi="Arial" w:cs="Arial"/>
                <w:sz w:val="22"/>
                <w:szCs w:val="22"/>
              </w:rPr>
            </w:pPr>
            <w:r>
              <w:rPr>
                <w:rFonts w:cs="Arial" w:ascii="Arial" w:hAnsi="Arial"/>
                <w:sz w:val="22"/>
                <w:szCs w:val="22"/>
              </w:rPr>
              <w:t>To allocate referrals within the team and to the commissioned provider, ensuring these are appropriate to the needs of children and families and the skills and experience of staff.</w:t>
            </w:r>
          </w:p>
          <w:p>
            <w:pPr>
              <w:pStyle w:val="Endnote"/>
              <w:numPr>
                <w:ilvl w:val="0"/>
                <w:numId w:val="2"/>
              </w:numPr>
              <w:tabs>
                <w:tab w:val="clear" w:pos="720"/>
                <w:tab w:val="left" w:pos="757" w:leader="none"/>
              </w:tabs>
              <w:spacing w:lineRule="auto" w:line="276" w:before="0" w:after="120"/>
              <w:jc w:val="both"/>
              <w:rPr>
                <w:rFonts w:ascii="Arial" w:hAnsi="Arial" w:cs="Arial"/>
                <w:sz w:val="22"/>
                <w:szCs w:val="22"/>
              </w:rPr>
            </w:pPr>
            <w:r>
              <w:rPr>
                <w:rFonts w:cs="Arial" w:ascii="Arial" w:hAnsi="Arial"/>
                <w:sz w:val="22"/>
                <w:szCs w:val="22"/>
              </w:rPr>
              <w:t>To implement appropriate risk assessment and risk management in relation to the work undertaken by members of the team and providing support to staff in managing challenging behaviour or conflict.</w:t>
            </w:r>
          </w:p>
          <w:p>
            <w:pPr>
              <w:pStyle w:val="Endnote"/>
              <w:numPr>
                <w:ilvl w:val="0"/>
                <w:numId w:val="2"/>
              </w:numPr>
              <w:tabs>
                <w:tab w:val="clear" w:pos="720"/>
                <w:tab w:val="left" w:pos="757" w:leader="none"/>
              </w:tabs>
              <w:spacing w:lineRule="auto" w:line="276" w:before="0" w:after="120"/>
              <w:jc w:val="both"/>
              <w:rPr>
                <w:rFonts w:ascii="Arial" w:hAnsi="Arial" w:cs="Arial"/>
                <w:sz w:val="22"/>
                <w:szCs w:val="22"/>
              </w:rPr>
            </w:pPr>
            <w:r>
              <w:rPr>
                <w:rFonts w:cs="Arial" w:ascii="Arial" w:hAnsi="Arial"/>
                <w:sz w:val="22"/>
                <w:szCs w:val="22"/>
              </w:rPr>
              <w:t xml:space="preserve">To manage team performance and oversee quality of practice, developing a strong performance and improvement culture including use of audits and feedback from service users and partners. </w:t>
            </w:r>
          </w:p>
          <w:p>
            <w:pPr>
              <w:pStyle w:val="Normal"/>
              <w:numPr>
                <w:ilvl w:val="0"/>
                <w:numId w:val="2"/>
              </w:numPr>
              <w:tabs>
                <w:tab w:val="clear" w:pos="720"/>
                <w:tab w:val="left" w:pos="757" w:leader="none"/>
              </w:tabs>
              <w:spacing w:lineRule="auto" w:line="276" w:before="0" w:after="120"/>
              <w:jc w:val="both"/>
              <w:rPr>
                <w:rFonts w:cs="Arial"/>
                <w:sz w:val="22"/>
                <w:szCs w:val="22"/>
              </w:rPr>
            </w:pPr>
            <w:r>
              <w:rPr>
                <w:rFonts w:cs="Arial"/>
                <w:sz w:val="22"/>
                <w:szCs w:val="22"/>
              </w:rPr>
              <w:t>Ensuring the quality and timeliness of the team’s work, including responsiveness of service delivery, standards of case recording, and in particular meeting deadlines and standards for statutory and court directed work.</w:t>
            </w:r>
          </w:p>
          <w:p>
            <w:pPr>
              <w:pStyle w:val="Normal"/>
              <w:spacing w:lineRule="auto" w:line="276" w:before="0" w:after="120"/>
              <w:jc w:val="both"/>
              <w:rPr>
                <w:rFonts w:cs="Arial"/>
                <w:sz w:val="22"/>
                <w:szCs w:val="22"/>
              </w:rPr>
            </w:pPr>
            <w:r>
              <w:rPr>
                <w:rFonts w:cs="Arial"/>
                <w:sz w:val="22"/>
                <w:szCs w:val="22"/>
              </w:rPr>
              <w:t xml:space="preserve">General </w:t>
            </w:r>
          </w:p>
          <w:p>
            <w:pPr>
              <w:pStyle w:val="ListParagraph"/>
              <w:numPr>
                <w:ilvl w:val="0"/>
                <w:numId w:val="2"/>
              </w:numPr>
              <w:spacing w:lineRule="auto" w:line="276" w:before="0" w:after="120"/>
              <w:contextualSpacing/>
              <w:rPr>
                <w:rFonts w:eastAsia="Calibri" w:cs="Arial"/>
                <w:sz w:val="22"/>
                <w:szCs w:val="22"/>
              </w:rPr>
            </w:pPr>
            <w:r>
              <w:rPr>
                <w:rFonts w:eastAsia="Calibri" w:cs="Arial"/>
                <w:sz w:val="22"/>
                <w:szCs w:val="22"/>
              </w:rPr>
              <w:t>To manage team budgets, providing accountability for spend and delivering value for money.</w:t>
            </w:r>
          </w:p>
          <w:p>
            <w:pPr>
              <w:pStyle w:val="Normal"/>
              <w:numPr>
                <w:ilvl w:val="0"/>
                <w:numId w:val="2"/>
              </w:numPr>
              <w:spacing w:lineRule="auto" w:line="276" w:before="0" w:after="120"/>
              <w:jc w:val="both"/>
              <w:rPr>
                <w:rFonts w:eastAsia="Calibri" w:cs="Arial"/>
                <w:sz w:val="22"/>
                <w:szCs w:val="22"/>
              </w:rPr>
            </w:pPr>
            <w:r>
              <w:rPr>
                <w:rFonts w:eastAsia="Calibri" w:cs="Arial"/>
                <w:sz w:val="22"/>
                <w:szCs w:val="22"/>
              </w:rPr>
              <w:t xml:space="preserve">To ensure dissemination of briefings, practice standards and other communications as required. </w:t>
            </w:r>
          </w:p>
          <w:p>
            <w:pPr>
              <w:pStyle w:val="Normal"/>
              <w:numPr>
                <w:ilvl w:val="0"/>
                <w:numId w:val="2"/>
              </w:numPr>
              <w:spacing w:lineRule="auto" w:line="276" w:before="0" w:after="120"/>
              <w:jc w:val="both"/>
              <w:rPr>
                <w:rFonts w:eastAsia="Calibri" w:cs="Arial"/>
                <w:sz w:val="22"/>
                <w:szCs w:val="22"/>
              </w:rPr>
            </w:pPr>
            <w:r>
              <w:rPr>
                <w:rFonts w:eastAsia="Calibri" w:cs="Arial"/>
                <w:sz w:val="22"/>
                <w:szCs w:val="22"/>
              </w:rPr>
              <w:t>To prepare reports and presentations relating to early help activity as required.</w:t>
            </w:r>
          </w:p>
          <w:p>
            <w:pPr>
              <w:pStyle w:val="Normal"/>
              <w:rPr>
                <w:rFonts w:cs="Arial"/>
                <w:b/>
                <w:b/>
                <w:bCs/>
                <w:sz w:val="22"/>
                <w:szCs w:val="22"/>
              </w:rPr>
            </w:pPr>
            <w:r>
              <w:rPr>
                <w:rFonts w:cs="Arial"/>
                <w:b/>
                <w:bCs/>
                <w:sz w:val="22"/>
                <w:szCs w:val="22"/>
              </w:rPr>
            </w:r>
          </w:p>
        </w:tc>
      </w:tr>
    </w:tbl>
    <w:p>
      <w:pPr>
        <w:pStyle w:val="Normal"/>
        <w:rPr>
          <w:rFonts w:cs="Arial"/>
          <w:sz w:val="22"/>
          <w:szCs w:val="22"/>
        </w:rPr>
      </w:pPr>
      <w:r>
        <w:rPr>
          <w:rFonts w:cs="Arial"/>
          <w:sz w:val="22"/>
          <w:szCs w:val="22"/>
        </w:rPr>
      </w:r>
    </w:p>
    <w:tbl>
      <w:tblPr>
        <w:tblW w:w="10217" w:type="dxa"/>
        <w:jc w:val="left"/>
        <w:tblInd w:w="-606" w:type="dxa"/>
        <w:tblCellMar>
          <w:top w:w="0" w:type="dxa"/>
          <w:left w:w="108" w:type="dxa"/>
          <w:bottom w:w="0" w:type="dxa"/>
          <w:right w:w="108" w:type="dxa"/>
        </w:tblCellMar>
      </w:tblPr>
      <w:tblGrid>
        <w:gridCol w:w="10217"/>
      </w:tblGrid>
      <w:tr>
        <w:trPr/>
        <w:tc>
          <w:tcPr>
            <w:tcW w:w="10217"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jc w:val="both"/>
              <w:rPr>
                <w:rFonts w:cs="Arial"/>
                <w:sz w:val="22"/>
                <w:szCs w:val="22"/>
              </w:rPr>
            </w:pPr>
            <w:r>
              <w:rPr>
                <w:rFonts w:cs="Arial"/>
                <w:sz w:val="22"/>
                <w:szCs w:val="22"/>
              </w:rPr>
              <w:t>To actively promote Equality, Diversity and Inclusion in the workplace and in service delivery.</w:t>
            </w:r>
          </w:p>
          <w:p>
            <w:pPr>
              <w:pStyle w:val="Normal"/>
              <w:rPr/>
            </w:pPr>
            <w:r>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spacing w:lineRule="auto" w:line="256"/>
              <w:jc w:val="both"/>
              <w:rPr>
                <w:rFonts w:cs="Arial"/>
                <w:sz w:val="22"/>
                <w:szCs w:val="22"/>
              </w:rPr>
            </w:pPr>
            <w:r>
              <w:rPr>
                <w:rFonts w:cs="Arial"/>
                <w:sz w:val="22"/>
                <w:szCs w:val="22"/>
              </w:rPr>
            </w:r>
          </w:p>
        </w:tc>
      </w:tr>
      <w:tr>
        <w:trPr/>
        <w:tc>
          <w:tcPr>
            <w:tcW w:w="10217"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jc w:val="both"/>
              <w:rPr>
                <w:rFonts w:cs="Arial"/>
                <w:sz w:val="22"/>
                <w:szCs w:val="22"/>
              </w:rPr>
            </w:pPr>
            <w:r>
              <w:rPr>
                <w:rFonts w:cs="Arial"/>
                <w:sz w:val="22"/>
                <w:szCs w:val="22"/>
              </w:rPr>
              <w:t>Undertake any additional duties commensurate with the level of the post.</w:t>
            </w:r>
          </w:p>
          <w:p>
            <w:pPr>
              <w:pStyle w:val="Normal"/>
              <w:jc w:val="both"/>
              <w:rPr>
                <w:rFonts w:cs="Arial"/>
                <w:sz w:val="22"/>
                <w:szCs w:val="22"/>
              </w:rPr>
            </w:pPr>
            <w:r>
              <w:rPr>
                <w:rFonts w:cs="Arial"/>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215" w:type="dxa"/>
        <w:jc w:val="left"/>
        <w:tblInd w:w="-617"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20"/>
              <w:rPr>
                <w:b/>
                <w:b/>
                <w:sz w:val="22"/>
                <w:szCs w:val="22"/>
              </w:rPr>
            </w:pPr>
            <w:r>
              <w:rPr>
                <w:b/>
                <w:sz w:val="22"/>
                <w:szCs w:val="22"/>
              </w:rPr>
              <w:t>Contacts:</w:t>
            </w:r>
          </w:p>
          <w:p>
            <w:pPr>
              <w:pStyle w:val="Normal"/>
              <w:spacing w:lineRule="auto" w:line="276" w:before="0" w:after="120"/>
              <w:jc w:val="both"/>
              <w:rPr>
                <w:sz w:val="22"/>
                <w:szCs w:val="22"/>
              </w:rPr>
            </w:pPr>
            <w:r>
              <w:rPr>
                <w:sz w:val="22"/>
                <w:szCs w:val="22"/>
              </w:rPr>
              <w:t>Members of the public, including children, young people and their families</w:t>
            </w:r>
          </w:p>
          <w:p>
            <w:pPr>
              <w:pStyle w:val="Normal"/>
              <w:spacing w:lineRule="auto" w:line="276" w:before="0" w:after="120"/>
              <w:jc w:val="both"/>
              <w:rPr>
                <w:sz w:val="22"/>
                <w:szCs w:val="22"/>
              </w:rPr>
            </w:pPr>
            <w:r>
              <w:rPr>
                <w:sz w:val="22"/>
                <w:szCs w:val="22"/>
              </w:rPr>
              <w:t>Team members and colleagues from partner organisations including other council officers, and staff from schools, children’s centres, health services, police and voluntary, community and faith groups</w:t>
            </w:r>
          </w:p>
          <w:p>
            <w:pPr>
              <w:pStyle w:val="Normal"/>
              <w:spacing w:lineRule="auto" w:line="276" w:before="0" w:after="120"/>
              <w:jc w:val="both"/>
              <w:rPr>
                <w:sz w:val="22"/>
                <w:szCs w:val="22"/>
              </w:rPr>
            </w:pPr>
            <w:r>
              <w:rPr>
                <w:sz w:val="22"/>
                <w:szCs w:val="22"/>
              </w:rPr>
              <w:t xml:space="preserve">Elected members </w:t>
            </w:r>
          </w:p>
        </w:tc>
      </w:tr>
    </w:tbl>
    <w:p>
      <w:pPr>
        <w:pStyle w:val="Normal"/>
        <w:rPr>
          <w:sz w:val="22"/>
          <w:szCs w:val="22"/>
        </w:rPr>
      </w:pPr>
      <w:r>
        <w:rPr>
          <w:sz w:val="22"/>
          <w:szCs w:val="22"/>
        </w:rPr>
      </w:r>
    </w:p>
    <w:p>
      <w:pPr>
        <w:pStyle w:val="Normal"/>
        <w:rPr>
          <w:sz w:val="22"/>
          <w:szCs w:val="22"/>
        </w:rPr>
      </w:pPr>
      <w:r>
        <w:rPr>
          <w:sz w:val="22"/>
          <w:szCs w:val="22"/>
        </w:rPr>
      </w:r>
    </w:p>
    <w:tbl>
      <w:tblPr>
        <w:tblW w:w="10215" w:type="dxa"/>
        <w:jc w:val="left"/>
        <w:tblInd w:w="-572"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TextBody"/>
              <w:rPr>
                <w:szCs w:val="22"/>
              </w:rPr>
            </w:pPr>
            <w:r>
              <w:rPr>
                <w:szCs w:val="22"/>
              </w:rPr>
              <w:t xml:space="preserve">Relationship to other posts in the department: </w:t>
            </w:r>
          </w:p>
          <w:p>
            <w:pPr>
              <w:pStyle w:val="Normal"/>
              <w:rPr>
                <w:b/>
                <w:b/>
                <w:sz w:val="22"/>
                <w:szCs w:val="22"/>
              </w:rPr>
            </w:pPr>
            <w:r>
              <w:rPr>
                <w:b/>
                <w:sz w:val="22"/>
                <w:szCs w:val="22"/>
              </w:rPr>
            </w:r>
          </w:p>
          <w:p>
            <w:pPr>
              <w:pStyle w:val="Normal"/>
              <w:rPr/>
            </w:pPr>
            <w:r>
              <w:rPr>
                <w:b/>
                <w:sz w:val="22"/>
                <w:szCs w:val="22"/>
              </w:rPr>
              <w:t xml:space="preserve">Responsible to:  </w:t>
            </w:r>
            <w:r>
              <w:rPr>
                <w:bCs/>
                <w:sz w:val="22"/>
                <w:szCs w:val="22"/>
              </w:rPr>
              <w:t xml:space="preserve">Family Connect </w:t>
            </w:r>
            <w:r>
              <w:rPr>
                <w:sz w:val="22"/>
                <w:szCs w:val="22"/>
              </w:rPr>
              <w:t>Service Manager</w:t>
            </w:r>
          </w:p>
          <w:p>
            <w:pPr>
              <w:pStyle w:val="Normal"/>
              <w:rPr>
                <w:b/>
                <w:b/>
                <w:sz w:val="22"/>
                <w:szCs w:val="22"/>
              </w:rPr>
            </w:pPr>
            <w:r>
              <w:rPr>
                <w:b/>
                <w:sz w:val="22"/>
                <w:szCs w:val="22"/>
              </w:rPr>
            </w:r>
            <w:bookmarkStart w:id="0" w:name="Text17"/>
            <w:bookmarkStart w:id="1" w:name="Text17"/>
            <w:bookmarkEnd w:id="1"/>
          </w:p>
          <w:p>
            <w:pPr>
              <w:pStyle w:val="Normal"/>
              <w:rPr/>
            </w:pPr>
            <w:r>
              <w:rPr>
                <w:b/>
                <w:sz w:val="22"/>
                <w:szCs w:val="22"/>
              </w:rPr>
              <w:t xml:space="preserve">Responsible for: </w:t>
            </w:r>
            <w:r>
              <w:rPr>
                <w:sz w:val="22"/>
                <w:szCs w:val="22"/>
              </w:rPr>
              <w:t>Senior Family Worker x 4 / Family Worker / Early Help Partnership Officer x 2</w:t>
            </w:r>
          </w:p>
          <w:p>
            <w:pPr>
              <w:pStyle w:val="Normal"/>
              <w:rPr>
                <w:b/>
                <w:b/>
                <w:sz w:val="22"/>
                <w:szCs w:val="22"/>
              </w:rPr>
            </w:pPr>
            <w:r>
              <w:rPr>
                <w:b/>
                <w:sz w:val="22"/>
                <w:szCs w:val="22"/>
              </w:rPr>
            </w:r>
          </w:p>
          <w:p>
            <w:pPr>
              <w:pStyle w:val="Normal"/>
              <w:rPr>
                <w:b/>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215" w:type="dxa"/>
        <w:jc w:val="left"/>
        <w:tblInd w:w="-572"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rPr>
                <w:b/>
                <w:b/>
                <w:sz w:val="22"/>
                <w:szCs w:val="22"/>
              </w:rPr>
            </w:pPr>
            <w:r>
              <w:rPr>
                <w:b/>
                <w:sz w:val="22"/>
                <w:szCs w:val="22"/>
              </w:rPr>
              <w:t>Special Conditions:</w:t>
            </w:r>
          </w:p>
          <w:p>
            <w:pPr>
              <w:pStyle w:val="Normal"/>
              <w:spacing w:lineRule="auto" w:line="276" w:before="0" w:after="120"/>
              <w:rPr>
                <w:sz w:val="22"/>
                <w:szCs w:val="22"/>
              </w:rPr>
            </w:pPr>
            <w:r>
              <w:rPr>
                <w:sz w:val="22"/>
                <w:szCs w:val="22"/>
              </w:rPr>
              <w:t>DBS Disclosure: Enhanced</w:t>
            </w:r>
          </w:p>
          <w:p>
            <w:pPr>
              <w:pStyle w:val="Normal"/>
              <w:spacing w:lineRule="auto" w:line="276" w:before="0" w:after="120"/>
              <w:rPr>
                <w:sz w:val="22"/>
                <w:szCs w:val="22"/>
              </w:rPr>
            </w:pPr>
            <w:r>
              <w:rPr>
                <w:sz w:val="22"/>
                <w:szCs w:val="22"/>
              </w:rPr>
              <w:t>This post carries an Essential Car Users Allowance</w:t>
            </w:r>
          </w:p>
          <w:p>
            <w:pPr>
              <w:pStyle w:val="Normal"/>
              <w:rPr>
                <w:sz w:val="22"/>
                <w:szCs w:val="22"/>
              </w:rPr>
            </w:pPr>
            <w:r>
              <w:rPr>
                <w:sz w:val="22"/>
                <w:szCs w:val="22"/>
              </w:rPr>
            </w:r>
          </w:p>
        </w:tc>
      </w:tr>
    </w:tbl>
    <w:p>
      <w:pPr>
        <w:pStyle w:val="Normal"/>
        <w:rPr>
          <w:sz w:val="22"/>
          <w:szCs w:val="22"/>
        </w:rPr>
      </w:pPr>
      <w:r>
        <w:rPr>
          <w:sz w:val="22"/>
          <w:szCs w:val="22"/>
        </w:rPr>
      </w:r>
    </w:p>
    <w:tbl>
      <w:tblPr>
        <w:tblW w:w="10215" w:type="dxa"/>
        <w:jc w:val="left"/>
        <w:tblInd w:w="-572"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215"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3"/>
              </w:numPr>
              <w:spacing w:lineRule="auto" w:line="276" w:before="0" w:after="200"/>
              <w:contextualSpacing/>
              <w:rPr>
                <w:rFonts w:eastAsia="Arial" w:cs="Arial"/>
              </w:rPr>
            </w:pPr>
            <w:r>
              <w:rPr>
                <w:rFonts w:eastAsia="Arial" w:cs="Arial"/>
              </w:rPr>
              <w:t>Work with a Resident Focus</w:t>
            </w:r>
          </w:p>
          <w:p>
            <w:pPr>
              <w:pStyle w:val="ListParagraph"/>
              <w:numPr>
                <w:ilvl w:val="0"/>
                <w:numId w:val="3"/>
              </w:numPr>
              <w:spacing w:lineRule="auto" w:line="276" w:before="0" w:after="200"/>
              <w:contextualSpacing/>
              <w:rPr>
                <w:rFonts w:eastAsia="Arial" w:cs="Arial"/>
              </w:rPr>
            </w:pPr>
            <w:r>
              <w:rPr>
                <w:rFonts w:eastAsia="Arial" w:cs="Arial"/>
              </w:rPr>
              <w:t>Support Local Leaders</w:t>
            </w:r>
          </w:p>
          <w:p>
            <w:pPr>
              <w:pStyle w:val="ListParagraph"/>
              <w:numPr>
                <w:ilvl w:val="0"/>
                <w:numId w:val="3"/>
              </w:numPr>
              <w:spacing w:lineRule="auto" w:line="276" w:before="0" w:after="200"/>
              <w:contextualSpacing/>
              <w:rPr>
                <w:rFonts w:eastAsia="Arial" w:cs="Arial"/>
              </w:rPr>
            </w:pPr>
            <w:r>
              <w:rPr>
                <w:rFonts w:eastAsia="Arial" w:cs="Arial"/>
              </w:rPr>
              <w:t>Committed to the Borough</w:t>
            </w:r>
          </w:p>
          <w:p>
            <w:pPr>
              <w:pStyle w:val="ListParagraph"/>
              <w:numPr>
                <w:ilvl w:val="0"/>
                <w:numId w:val="3"/>
              </w:numPr>
              <w:spacing w:lineRule="auto" w:line="276" w:before="0" w:after="200"/>
              <w:contextualSpacing/>
              <w:rPr>
                <w:rFonts w:eastAsia="Arial" w:cs="Arial"/>
              </w:rPr>
            </w:pPr>
            <w:r>
              <w:rPr>
                <w:rFonts w:eastAsia="Arial" w:cs="Arial"/>
              </w:rPr>
              <w:t>Take Ownership and Drive Change</w:t>
            </w:r>
          </w:p>
          <w:p>
            <w:pPr>
              <w:pStyle w:val="ListParagraph"/>
              <w:numPr>
                <w:ilvl w:val="0"/>
                <w:numId w:val="3"/>
              </w:numPr>
              <w:spacing w:lineRule="auto" w:line="276" w:before="0" w:after="200"/>
              <w:contextualSpacing/>
              <w:rPr>
                <w:rFonts w:eastAsia="Arial" w:cs="Arial"/>
              </w:rPr>
            </w:pPr>
            <w:r>
              <w:rPr>
                <w:rFonts w:eastAsia="Arial" w:cs="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auto" w:val="clear"/>
          </w:tcPr>
          <w:p>
            <w:pPr>
              <w:pStyle w:val="Normal"/>
              <w:jc w:val="center"/>
              <w:rPr>
                <w:b/>
                <w:b/>
                <w:sz w:val="22"/>
                <w:szCs w:val="22"/>
              </w:rPr>
            </w:pPr>
            <w:r>
              <w:rPr>
                <w:b/>
                <w:sz w:val="22"/>
                <w:szCs w:val="22"/>
              </w:rPr>
              <w:t>DATE</w:t>
            </w:r>
          </w:p>
        </w:tc>
        <w:tc>
          <w:tcPr>
            <w:tcW w:w="2160" w:type="dxa"/>
            <w:tcBorders>
              <w:top w:val="single" w:sz="4" w:space="0" w:color="000000"/>
              <w:left w:val="single" w:sz="4" w:space="0" w:color="000000"/>
              <w:bottom w:val="single" w:sz="4" w:space="0" w:color="000000"/>
            </w:tcBorders>
            <w:shd w:fill="auto" w:val="clear"/>
          </w:tcPr>
          <w:p>
            <w:pPr>
              <w:pStyle w:val="Normal"/>
              <w:jc w:val="center"/>
              <w:rPr>
                <w:b/>
                <w:b/>
                <w:sz w:val="22"/>
                <w:szCs w:val="22"/>
              </w:rPr>
            </w:pPr>
            <w:r>
              <w:rPr>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b/>
                <w:b/>
                <w:sz w:val="22"/>
                <w:szCs w:val="22"/>
              </w:rPr>
            </w:pPr>
            <w:r>
              <w:rPr>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rPr>
                <w:b/>
                <w:b/>
                <w:sz w:val="22"/>
                <w:szCs w:val="22"/>
              </w:rPr>
            </w:pPr>
            <w:r>
              <w:rPr>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16/11/20</w:t>
            </w:r>
          </w:p>
        </w:tc>
        <w:tc>
          <w:tcPr>
            <w:tcW w:w="2160"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Bruce Penhale</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rPr>
                <w:sz w:val="22"/>
                <w:szCs w:val="22"/>
              </w:rPr>
            </w:pPr>
            <w:r>
              <w:rPr>
                <w:sz w:val="22"/>
                <w:szCs w:val="22"/>
              </w:rPr>
              <w:t>Assistant Director – Oldham Family Connect</w:t>
            </w:r>
          </w:p>
        </w:tc>
      </w:tr>
      <w:tr>
        <w:trPr/>
        <w:tc>
          <w:tcPr>
            <w:tcW w:w="1620" w:type="dxa"/>
            <w:tcBorders>
              <w:top w:val="single" w:sz="4" w:space="0" w:color="000000"/>
              <w:left w:val="single" w:sz="4" w:space="0" w:color="000000"/>
              <w:bottom w:val="single" w:sz="4" w:space="0" w:color="000000"/>
            </w:tcBorders>
            <w:shd w:fill="auto" w:val="clear"/>
          </w:tcPr>
          <w:p>
            <w:pPr>
              <w:pStyle w:val="Normal"/>
              <w:rPr>
                <w:b/>
                <w:b/>
                <w:sz w:val="22"/>
                <w:szCs w:val="22"/>
              </w:rPr>
            </w:pPr>
            <w:r>
              <w:rPr>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rPr>
                <w:sz w:val="22"/>
                <w:szCs w:val="22"/>
              </w:rPr>
            </w:pPr>
            <w:r>
              <w:rPr>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rPr>
                <w:sz w:val="22"/>
                <w:szCs w:val="22"/>
              </w:rPr>
            </w:pPr>
            <w:r>
              <w:rPr>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sz w:val="22"/>
                <w:szCs w:val="22"/>
              </w:rPr>
            </w:pPr>
            <w:r>
              <w:rPr>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rPr>
                <w:b/>
                <w:b/>
                <w:sz w:val="22"/>
                <w:szCs w:val="22"/>
              </w:rPr>
            </w:pPr>
            <w:r>
              <w:rPr>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rPr>
                <w:sz w:val="22"/>
                <w:szCs w:val="22"/>
              </w:rPr>
            </w:pPr>
            <w:r>
              <w:rPr>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rPr>
                <w:sz w:val="22"/>
                <w:szCs w:val="22"/>
              </w:rPr>
            </w:pPr>
            <w:r>
              <w:rPr>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r>
        <w:br w:type="page"/>
      </w:r>
    </w:p>
    <w:p>
      <w:pPr>
        <w:pStyle w:val="Normal"/>
        <w:jc w:val="center"/>
        <w:rPr>
          <w:b/>
          <w:b/>
          <w:bCs/>
          <w:u w:val="single"/>
        </w:rPr>
      </w:pPr>
      <w:r>
        <w:rPr>
          <w:b/>
          <w:bCs/>
          <w:u w:val="single"/>
        </w:rPr>
        <w:t>OLDHAM COUNCIL</w:t>
      </w:r>
    </w:p>
    <w:p>
      <w:pPr>
        <w:pStyle w:val="Normal"/>
        <w:jc w:val="center"/>
        <w:rPr>
          <w:b/>
          <w:b/>
          <w:bCs/>
          <w:u w:val="single"/>
        </w:rPr>
      </w:pPr>
      <w:r>
        <w:rPr>
          <w:b/>
          <w:bCs/>
          <w:u w:val="single"/>
        </w:rPr>
        <mc:AlternateContent>
          <mc:Choice Requires="wps">
            <w:drawing>
              <wp:anchor behindDoc="0" distT="0" distB="0" distL="114935" distR="114935" simplePos="0" locked="0" layoutInCell="1" allowOverlap="1" relativeHeight="3">
                <wp:simplePos x="0" y="0"/>
                <wp:positionH relativeFrom="column">
                  <wp:posOffset>5143500</wp:posOffset>
                </wp:positionH>
                <wp:positionV relativeFrom="paragraph">
                  <wp:posOffset>-605790</wp:posOffset>
                </wp:positionV>
                <wp:extent cx="1389380" cy="1553845"/>
                <wp:effectExtent l="0" t="0" r="0" b="0"/>
                <wp:wrapNone/>
                <wp:docPr id="5" name="Text Box 3"/>
                <a:graphic xmlns:a="http://schemas.openxmlformats.org/drawingml/2006/main">
                  <a:graphicData uri="http://schemas.microsoft.com/office/word/2010/wordprocessingShape">
                    <wps:wsp>
                      <wps:cNvSpPr/>
                      <wps:spPr>
                        <a:xfrm>
                          <a:off x="0" y="0"/>
                          <a:ext cx="1388880" cy="155304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3" fillcolor="white" stroked="f" style="position:absolute;margin-left:405pt;margin-top:-47.7pt;width:109.3pt;height:122.25pt">
                <w10:wrap type="none"/>
                <v:fill o:detectmouseclick="t" type="solid" color2="black"/>
                <v:stroke color="#3465a4" joinstyle="round" endcap="flat"/>
              </v:rect>
            </w:pict>
          </mc:Fallback>
        </mc:AlternateContent>
      </w:r>
      <w:r>
        <mc:AlternateContent>
          <mc:Choice Requires="wps">
            <w:drawing>
              <wp:anchor behindDoc="0" distT="72390" distB="72390" distL="0" distR="1905" simplePos="0" locked="0" layoutInCell="1" allowOverlap="1" relativeHeight="6">
                <wp:simplePos x="0" y="0"/>
                <wp:positionH relativeFrom="column">
                  <wp:posOffset>5143500</wp:posOffset>
                </wp:positionH>
                <wp:positionV relativeFrom="paragraph">
                  <wp:posOffset>-605790</wp:posOffset>
                </wp:positionV>
                <wp:extent cx="1388745" cy="1462405"/>
                <wp:effectExtent l="0" t="0" r="0" b="0"/>
                <wp:wrapNone/>
                <wp:docPr id="6" name="Frame2"/>
                <a:graphic xmlns:a="http://schemas.openxmlformats.org/drawingml/2006/main">
                  <a:graphicData uri="http://schemas.microsoft.com/office/word/2010/wordprocessingShape">
                    <wps:wsp>
                      <wps:cNvSpPr txBox="1"/>
                      <wps:spPr>
                        <a:xfrm>
                          <a:off x="0" y="0"/>
                          <a:ext cx="1388745" cy="1462405"/>
                        </a:xfrm>
                        <a:prstGeom prst="rect"/>
                        <a:solidFill>
                          <a:srgbClr val="FFFFFF"/>
                        </a:solidFill>
                      </wps:spPr>
                      <wps:txbx>
                        <w:txbxContent>
                          <w:p>
                            <w:pPr>
                              <w:pStyle w:val="FrameContents"/>
                              <w:rPr/>
                            </w:pPr>
                            <w:r>
                              <w:rPr/>
                              <w:drawing>
                                <wp:inline distT="0" distB="0" distL="0" distR="0">
                                  <wp:extent cx="1209675" cy="1371600"/>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3"/>
                                          <a:srcRect l="-40" t="-35" r="-40" b="-35"/>
                                          <a:stretch>
                                            <a:fillRect/>
                                          </a:stretch>
                                        </pic:blipFill>
                                        <pic:spPr bwMode="auto">
                                          <a:xfrm>
                                            <a:off x="0" y="0"/>
                                            <a:ext cx="1209675" cy="137160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109.35pt;height:115.15pt;mso-wrap-distance-left:0pt;mso-wrap-distance-right:0.15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1209675" cy="1371600"/>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3"/>
                                    <a:srcRect l="-40" t="-35" r="-40" b="-35"/>
                                    <a:stretch>
                                      <a:fillRect/>
                                    </a:stretch>
                                  </pic:blipFill>
                                  <pic:spPr bwMode="auto">
                                    <a:xfrm>
                                      <a:off x="0" y="0"/>
                                      <a:ext cx="1209675" cy="1371600"/>
                                    </a:xfrm>
                                    <a:prstGeom prst="rect">
                                      <a:avLst/>
                                    </a:prstGeom>
                                  </pic:spPr>
                                </pic:pic>
                              </a:graphicData>
                            </a:graphic>
                          </wp:inline>
                        </w:drawing>
                      </w:r>
                    </w:p>
                  </w:txbxContent>
                </v:textbox>
              </v:rect>
            </w:pict>
          </mc:Fallback>
        </mc:AlternateContent>
      </w:r>
    </w:p>
    <w:p>
      <w:pPr>
        <w:pStyle w:val="Normal"/>
        <w:jc w:val="center"/>
        <w:rPr>
          <w:b/>
          <w:b/>
          <w:bCs/>
          <w:u w:val="single"/>
        </w:rPr>
      </w:pPr>
      <w:r>
        <w:rPr>
          <w:b/>
          <w:bCs/>
          <w:u w:val="single"/>
        </w:rPr>
        <w:t>PERSON SPECIFICATION</w:t>
      </w:r>
    </w:p>
    <w:p>
      <w:pPr>
        <w:pStyle w:val="Normal"/>
        <w:rPr>
          <w:b/>
          <w:b/>
          <w:bCs/>
        </w:rPr>
      </w:pPr>
      <w:r>
        <w:rPr>
          <w:b/>
          <w:bCs/>
        </w:rPr>
      </w:r>
    </w:p>
    <w:p>
      <w:pPr>
        <w:pStyle w:val="Normal"/>
        <w:ind w:left="0" w:right="-514" w:hanging="0"/>
        <w:rPr/>
      </w:pPr>
      <w:r>
        <w:rPr>
          <w:b/>
          <w:bCs/>
          <w:sz w:val="22"/>
          <w:szCs w:val="22"/>
        </w:rPr>
        <w:t xml:space="preserve">Job Title:  </w:t>
      </w:r>
      <w:bookmarkStart w:id="2" w:name="_Hlk57644959"/>
      <w:r>
        <w:rPr>
          <w:sz w:val="22"/>
          <w:szCs w:val="22"/>
        </w:rPr>
        <w:t xml:space="preserve">Early Help District Team </w:t>
      </w:r>
      <w:bookmarkEnd w:id="2"/>
      <w:r>
        <w:rPr>
          <w:sz w:val="22"/>
          <w:szCs w:val="22"/>
        </w:rPr>
        <w:t>Manager</w:t>
      </w:r>
    </w:p>
    <w:p>
      <w:pPr>
        <w:pStyle w:val="Normal"/>
        <w:rPr/>
      </w:pPr>
      <w:r>
        <w:rPr/>
      </w:r>
    </w:p>
    <w:p>
      <w:pPr>
        <w:pStyle w:val="Normal"/>
        <w:rPr/>
      </w:pPr>
      <w:r>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sz w:val="22"/>
                <w:szCs w:val="22"/>
              </w:rPr>
            </w:pPr>
            <w:r>
              <w:rPr>
                <w:b/>
                <w:bCs/>
                <w:sz w:val="22"/>
                <w:szCs w:val="22"/>
              </w:rPr>
            </w:r>
          </w:p>
          <w:p>
            <w:pPr>
              <w:pStyle w:val="TextBody"/>
              <w:rPr>
                <w:bCs/>
                <w:szCs w:val="22"/>
              </w:rPr>
            </w:pPr>
            <w:r>
              <w:rPr>
                <w:bCs/>
                <w:szCs w:val="22"/>
              </w:rPr>
              <w:t>Education &amp; Qualifications</w:t>
            </w:r>
          </w:p>
          <w:p>
            <w:pPr>
              <w:pStyle w:val="Normal"/>
              <w:rPr>
                <w:b/>
                <w:b/>
                <w:bCs/>
                <w:sz w:val="22"/>
                <w:szCs w:val="22"/>
              </w:rPr>
            </w:pPr>
            <w:r>
              <w:rPr>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b/>
                <w:b/>
                <w:bCs/>
                <w:sz w:val="22"/>
                <w:szCs w:val="22"/>
              </w:rPr>
            </w:pPr>
            <w:r>
              <w:rPr>
                <w:b/>
                <w:bCs/>
                <w:sz w:val="22"/>
                <w:szCs w:val="22"/>
              </w:rPr>
            </w:r>
          </w:p>
          <w:p>
            <w:pPr>
              <w:pStyle w:val="Header"/>
              <w:tabs>
                <w:tab w:val="clear" w:pos="4153"/>
                <w:tab w:val="clear" w:pos="8306"/>
              </w:tabs>
              <w:rPr>
                <w:szCs w:val="22"/>
              </w:rPr>
            </w:pPr>
            <w:r>
              <w:rPr>
                <w:szCs w:val="22"/>
              </w:rPr>
              <w:t xml:space="preserve">NVQ 4 in a related subject, such as Child Care, Health and Social Care or equivalent </w:t>
            </w:r>
          </w:p>
          <w:p>
            <w:pPr>
              <w:pStyle w:val="Header"/>
              <w:tabs>
                <w:tab w:val="clear" w:pos="4153"/>
                <w:tab w:val="clear" w:pos="8306"/>
              </w:tabs>
              <w:rPr>
                <w:szCs w:val="22"/>
              </w:rPr>
            </w:pPr>
            <w:r>
              <w:rPr>
                <w:szCs w:val="22"/>
              </w:rPr>
            </w:r>
          </w:p>
          <w:p>
            <w:pPr>
              <w:pStyle w:val="Header"/>
              <w:tabs>
                <w:tab w:val="clear" w:pos="4153"/>
                <w:tab w:val="clear" w:pos="8306"/>
              </w:tabs>
              <w:rPr>
                <w:szCs w:val="22"/>
              </w:rPr>
            </w:pPr>
            <w:r>
              <w:rPr>
                <w:szCs w:val="22"/>
              </w:rPr>
              <w:t xml:space="preserve">or </w:t>
            </w:r>
          </w:p>
          <w:p>
            <w:pPr>
              <w:pStyle w:val="Header"/>
              <w:tabs>
                <w:tab w:val="clear" w:pos="4153"/>
                <w:tab w:val="clear" w:pos="8306"/>
              </w:tabs>
              <w:rPr>
                <w:szCs w:val="22"/>
              </w:rPr>
            </w:pPr>
            <w:r>
              <w:rPr>
                <w:szCs w:val="22"/>
              </w:rPr>
            </w:r>
          </w:p>
          <w:p>
            <w:pPr>
              <w:pStyle w:val="Header"/>
              <w:tabs>
                <w:tab w:val="clear" w:pos="4153"/>
                <w:tab w:val="clear" w:pos="8306"/>
              </w:tabs>
              <w:rPr>
                <w:szCs w:val="22"/>
              </w:rPr>
            </w:pPr>
            <w:r>
              <w:rPr>
                <w:szCs w:val="22"/>
              </w:rPr>
              <w:t xml:space="preserve">Substantial equivalent experience and the ability to deliver work of the required level of expertise and knowledge  </w:t>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szCs w:val="22"/>
              </w:rPr>
            </w:pPr>
            <w:r>
              <w:rPr>
                <w:szCs w:val="22"/>
              </w:rPr>
            </w:r>
          </w:p>
          <w:p>
            <w:pPr>
              <w:pStyle w:val="Header"/>
              <w:tabs>
                <w:tab w:val="clear" w:pos="4153"/>
                <w:tab w:val="clear" w:pos="8306"/>
              </w:tabs>
              <w:rPr>
                <w:szCs w:val="22"/>
              </w:rPr>
            </w:pPr>
            <w:r>
              <w:rPr>
                <w:szCs w:val="22"/>
              </w:rPr>
              <w:t>Management or supervisory qualification</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jc w:val="center"/>
              <w:rPr>
                <w:szCs w:val="22"/>
              </w:rPr>
            </w:pPr>
            <w:r>
              <w:rPr>
                <w:szCs w:val="22"/>
              </w:rPr>
            </w:r>
          </w:p>
          <w:p>
            <w:pPr>
              <w:pStyle w:val="Header"/>
              <w:tabs>
                <w:tab w:val="clear" w:pos="4153"/>
                <w:tab w:val="clear" w:pos="8306"/>
              </w:tabs>
              <w:jc w:val="center"/>
              <w:rPr>
                <w:szCs w:val="22"/>
              </w:rPr>
            </w:pPr>
            <w:r>
              <w:rPr>
                <w:szCs w:val="22"/>
              </w:rPr>
              <w:t>Certificate</w:t>
            </w:r>
          </w:p>
          <w:p>
            <w:pPr>
              <w:pStyle w:val="Header"/>
              <w:tabs>
                <w:tab w:val="clear" w:pos="4153"/>
                <w:tab w:val="clear" w:pos="8306"/>
              </w:tabs>
              <w:jc w:val="center"/>
              <w:rPr>
                <w:szCs w:val="22"/>
              </w:rPr>
            </w:pPr>
            <w:r>
              <w:rPr>
                <w:szCs w:val="22"/>
              </w:rPr>
              <w:t>(To bring to interview)</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sz w:val="22"/>
                <w:szCs w:val="22"/>
              </w:rPr>
            </w:pPr>
            <w:r>
              <w:rPr>
                <w:b/>
                <w:bCs/>
                <w:sz w:val="22"/>
                <w:szCs w:val="22"/>
              </w:rPr>
            </w:r>
          </w:p>
          <w:p>
            <w:pPr>
              <w:pStyle w:val="Normal"/>
              <w:rPr>
                <w:b/>
                <w:b/>
                <w:bCs/>
                <w:sz w:val="22"/>
                <w:szCs w:val="22"/>
              </w:rPr>
            </w:pPr>
            <w:r>
              <w:rPr>
                <w:b/>
                <w:bCs/>
                <w:sz w:val="22"/>
                <w:szCs w:val="22"/>
              </w:rPr>
              <w:t>Experience</w:t>
            </w:r>
          </w:p>
          <w:p>
            <w:pPr>
              <w:pStyle w:val="Normal"/>
              <w:rPr>
                <w:b/>
                <w:b/>
                <w:bCs/>
                <w:sz w:val="22"/>
                <w:szCs w:val="22"/>
              </w:rPr>
            </w:pPr>
            <w:r>
              <w:rPr>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spacing w:lineRule="auto" w:line="276"/>
              <w:rPr>
                <w:b/>
                <w:b/>
                <w:bCs/>
                <w:sz w:val="22"/>
                <w:szCs w:val="22"/>
              </w:rPr>
            </w:pPr>
            <w:r>
              <w:rPr>
                <w:b/>
                <w:bCs/>
                <w:sz w:val="22"/>
                <w:szCs w:val="22"/>
              </w:rPr>
            </w:r>
          </w:p>
          <w:p>
            <w:pPr>
              <w:pStyle w:val="Normal"/>
              <w:spacing w:lineRule="auto" w:line="276"/>
              <w:rPr>
                <w:sz w:val="22"/>
                <w:szCs w:val="22"/>
              </w:rPr>
            </w:pPr>
            <w:r>
              <w:rPr>
                <w:sz w:val="22"/>
                <w:szCs w:val="22"/>
              </w:rPr>
              <w:t>Extensive experience of working within a service delivering support to families who have complex lives which may include; mental health, offending, substance misuse, domestic abuse and may be resistant to service involvement</w:t>
            </w:r>
          </w:p>
          <w:p>
            <w:pPr>
              <w:pStyle w:val="Normal"/>
              <w:spacing w:lineRule="auto" w:line="276"/>
              <w:rPr>
                <w:sz w:val="22"/>
                <w:szCs w:val="22"/>
              </w:rPr>
            </w:pPr>
            <w:r>
              <w:rPr>
                <w:sz w:val="22"/>
                <w:szCs w:val="22"/>
              </w:rPr>
            </w:r>
          </w:p>
          <w:p>
            <w:pPr>
              <w:pStyle w:val="Normal"/>
              <w:spacing w:lineRule="auto" w:line="276"/>
              <w:rPr>
                <w:rFonts w:cs="Arial"/>
                <w:sz w:val="22"/>
                <w:szCs w:val="22"/>
              </w:rPr>
            </w:pPr>
            <w:r>
              <w:rPr>
                <w:rFonts w:cs="Arial"/>
                <w:sz w:val="22"/>
                <w:szCs w:val="22"/>
              </w:rPr>
              <w:t xml:space="preserve">Substantial experience of leading, motivating and managing teams, including the establishment of a positive performance culture </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Substantial experience of assessing and analysing the needs of children and families and implementing programmes of support to address these.</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 xml:space="preserve">Experience of managing within a multi-agency environment and building and sustaining working relationships across a range of services and partners </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Experience of assessing, recording and managing risk in order to ensure the safety of self, team members and others</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sz w:val="22"/>
                <w:szCs w:val="22"/>
              </w:rPr>
            </w:pPr>
            <w:r>
              <w:rPr>
                <w:sz w:val="22"/>
                <w:szCs w:val="22"/>
              </w:rPr>
            </w:r>
          </w:p>
          <w:p>
            <w:pPr>
              <w:pStyle w:val="Normal"/>
              <w:rPr>
                <w:sz w:val="22"/>
                <w:szCs w:val="22"/>
              </w:rPr>
            </w:pPr>
            <w:r>
              <w:rPr>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sz w:val="22"/>
                <w:szCs w:val="22"/>
              </w:rPr>
            </w:pPr>
            <w:r>
              <w:rPr>
                <w:b/>
                <w:bCs/>
                <w:sz w:val="22"/>
                <w:szCs w:val="22"/>
              </w:rPr>
            </w:r>
          </w:p>
          <w:p>
            <w:pPr>
              <w:pStyle w:val="Normal"/>
              <w:rPr>
                <w:b/>
                <w:b/>
                <w:bCs/>
                <w:sz w:val="22"/>
                <w:szCs w:val="22"/>
              </w:rPr>
            </w:pPr>
            <w:r>
              <w:rPr>
                <w:b/>
                <w:bCs/>
                <w:sz w:val="22"/>
                <w:szCs w:val="22"/>
              </w:rPr>
              <w:t>Skills &amp; Abilities</w:t>
            </w:r>
          </w:p>
          <w:p>
            <w:pPr>
              <w:pStyle w:val="Normal"/>
              <w:rPr>
                <w:b/>
                <w:b/>
                <w:bCs/>
                <w:sz w:val="22"/>
                <w:szCs w:val="22"/>
              </w:rPr>
            </w:pPr>
            <w:r>
              <w:rPr>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spacing w:lineRule="auto" w:line="276"/>
              <w:rPr>
                <w:b/>
                <w:b/>
                <w:bCs/>
                <w:sz w:val="22"/>
                <w:szCs w:val="22"/>
              </w:rPr>
            </w:pPr>
            <w:r>
              <w:rPr>
                <w:b/>
                <w:bCs/>
                <w:sz w:val="22"/>
                <w:szCs w:val="22"/>
              </w:rPr>
            </w:r>
          </w:p>
          <w:p>
            <w:pPr>
              <w:pStyle w:val="Normal"/>
              <w:spacing w:lineRule="auto" w:line="276"/>
              <w:rPr>
                <w:sz w:val="22"/>
                <w:szCs w:val="22"/>
              </w:rPr>
            </w:pPr>
            <w:r>
              <w:rPr>
                <w:sz w:val="22"/>
                <w:szCs w:val="22"/>
              </w:rPr>
              <w:t>Highly developed communication, negotiation and interpersonal skills and ability to adapt communication to audiences with different levels of understanding</w:t>
            </w:r>
          </w:p>
          <w:p>
            <w:pPr>
              <w:pStyle w:val="Normal"/>
              <w:rPr>
                <w:sz w:val="22"/>
                <w:szCs w:val="22"/>
              </w:rPr>
            </w:pPr>
            <w:r>
              <w:rPr>
                <w:sz w:val="22"/>
                <w:szCs w:val="22"/>
              </w:rPr>
            </w:r>
          </w:p>
          <w:p>
            <w:pPr>
              <w:pStyle w:val="Normal"/>
              <w:spacing w:lineRule="auto" w:line="276"/>
              <w:rPr>
                <w:sz w:val="22"/>
                <w:szCs w:val="22"/>
              </w:rPr>
            </w:pPr>
            <w:r>
              <w:rPr>
                <w:sz w:val="22"/>
                <w:szCs w:val="22"/>
              </w:rPr>
              <w:t>Ability to develop and maintain strong and effective working relationships with colleagues from a variety of professional backgrounds, including skills in effectively resolving conflict and developing joint solutions to problems</w:t>
            </w:r>
          </w:p>
          <w:p>
            <w:pPr>
              <w:pStyle w:val="Normal"/>
              <w:rPr>
                <w:sz w:val="22"/>
                <w:szCs w:val="22"/>
              </w:rPr>
            </w:pPr>
            <w:r>
              <w:rPr>
                <w:sz w:val="22"/>
                <w:szCs w:val="22"/>
              </w:rPr>
            </w:r>
          </w:p>
          <w:p>
            <w:pPr>
              <w:pStyle w:val="Normal"/>
              <w:spacing w:lineRule="auto" w:line="276"/>
              <w:rPr>
                <w:sz w:val="22"/>
                <w:szCs w:val="22"/>
              </w:rPr>
            </w:pPr>
            <w:r>
              <w:rPr>
                <w:sz w:val="22"/>
                <w:szCs w:val="22"/>
              </w:rPr>
              <w:t>Effective written communication skills, with ability to prepare reports and presentations which clearly explain complex information</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Ability to analyse and present data in order to assess performance and inform service improvement</w:t>
            </w:r>
          </w:p>
          <w:p>
            <w:pPr>
              <w:pStyle w:val="Normal"/>
              <w:rPr>
                <w:sz w:val="22"/>
                <w:szCs w:val="22"/>
              </w:rPr>
            </w:pPr>
            <w:r>
              <w:rPr>
                <w:sz w:val="22"/>
                <w:szCs w:val="22"/>
              </w:rPr>
            </w:r>
          </w:p>
          <w:p>
            <w:pPr>
              <w:pStyle w:val="Normal"/>
              <w:rPr>
                <w:sz w:val="22"/>
                <w:szCs w:val="22"/>
              </w:rPr>
            </w:pPr>
            <w:r>
              <w:rPr>
                <w:sz w:val="22"/>
                <w:szCs w:val="22"/>
              </w:rPr>
              <w:t xml:space="preserve">Ability to lead and chair multi-agency meetings that clearly demonstrate progression and improve outcomes </w:t>
            </w:r>
          </w:p>
          <w:p>
            <w:pPr>
              <w:pStyle w:val="Normal"/>
              <w:rPr>
                <w:sz w:val="22"/>
                <w:szCs w:val="22"/>
              </w:rPr>
            </w:pPr>
            <w:r>
              <w:rPr>
                <w:sz w:val="22"/>
                <w:szCs w:val="22"/>
              </w:rPr>
            </w:r>
          </w:p>
          <w:p>
            <w:pPr>
              <w:pStyle w:val="Normal"/>
              <w:rPr>
                <w:sz w:val="22"/>
                <w:szCs w:val="22"/>
              </w:rPr>
            </w:pPr>
            <w:r>
              <w:rPr>
                <w:sz w:val="22"/>
                <w:szCs w:val="22"/>
              </w:rPr>
              <w:t>Ability to support and manage staff who work with complex family situations that can be emotionally charged and conflicted</w:t>
            </w:r>
          </w:p>
          <w:p>
            <w:pPr>
              <w:pStyle w:val="Normal"/>
              <w:rPr>
                <w:sz w:val="22"/>
                <w:szCs w:val="22"/>
              </w:rPr>
            </w:pPr>
            <w:r>
              <w:rPr>
                <w:sz w:val="22"/>
                <w:szCs w:val="22"/>
              </w:rPr>
            </w:r>
          </w:p>
          <w:p>
            <w:pPr>
              <w:pStyle w:val="Normal"/>
              <w:rPr>
                <w:sz w:val="22"/>
                <w:szCs w:val="22"/>
              </w:rPr>
            </w:pPr>
            <w:r>
              <w:rPr>
                <w:sz w:val="22"/>
                <w:szCs w:val="22"/>
              </w:rPr>
              <w:t>Highly developed organisational skills to effectively schedule and prioritise own workload and that of a team within a pressured working environment</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p>
            <w:pPr>
              <w:pStyle w:val="Normal"/>
              <w:jc w:val="center"/>
              <w:rPr>
                <w:sz w:val="22"/>
                <w:szCs w:val="22"/>
              </w:rPr>
            </w:pPr>
            <w:r>
              <w:rPr>
                <w:sz w:val="22"/>
                <w:szCs w:val="22"/>
              </w:rPr>
              <w:t>AF / I</w:t>
            </w:r>
          </w:p>
          <w:p>
            <w:pPr>
              <w:pStyle w:val="Normal"/>
              <w:rPr>
                <w:rFonts w:ascii="Gautami" w:hAnsi="Gautami" w:cs="Gautami"/>
                <w:sz w:val="22"/>
                <w:szCs w:val="22"/>
              </w:rPr>
            </w:pPr>
            <w:r>
              <w:rPr>
                <w:rFonts w:cs="Gautami" w:ascii="Gautami" w:hAnsi="Gautami"/>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Gautami" w:hAnsi="Gautami" w:cs="Gautami"/>
                <w:b/>
                <w:b/>
                <w:bCs/>
                <w:sz w:val="22"/>
                <w:szCs w:val="22"/>
              </w:rPr>
            </w:pPr>
            <w:r>
              <w:rPr>
                <w:rFonts w:cs="Gautami" w:ascii="Gautami" w:hAnsi="Gautami"/>
                <w:b/>
                <w:bCs/>
                <w:sz w:val="22"/>
                <w:szCs w:val="22"/>
              </w:rPr>
            </w:r>
          </w:p>
          <w:p>
            <w:pPr>
              <w:pStyle w:val="Normal"/>
              <w:rPr>
                <w:b/>
                <w:b/>
                <w:bCs/>
                <w:sz w:val="22"/>
                <w:szCs w:val="22"/>
              </w:rPr>
            </w:pPr>
            <w:r>
              <w:rPr>
                <w:b/>
                <w:bCs/>
                <w:sz w:val="22"/>
                <w:szCs w:val="22"/>
              </w:rPr>
              <w:t>Knowledge</w:t>
            </w:r>
          </w:p>
          <w:p>
            <w:pPr>
              <w:pStyle w:val="Normal"/>
              <w:rPr>
                <w:b/>
                <w:b/>
                <w:bCs/>
                <w:sz w:val="22"/>
                <w:szCs w:val="22"/>
              </w:rPr>
            </w:pPr>
            <w:r>
              <w:rPr>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b/>
                <w:b/>
                <w:bCs/>
                <w:sz w:val="22"/>
                <w:szCs w:val="22"/>
                <w:lang w:val="en-US"/>
              </w:rPr>
            </w:pPr>
            <w:r>
              <w:rPr>
                <w:b/>
                <w:bCs/>
                <w:sz w:val="22"/>
                <w:szCs w:val="22"/>
                <w:lang w:val="en-US"/>
              </w:rPr>
            </w:r>
          </w:p>
          <w:p>
            <w:pPr>
              <w:pStyle w:val="Normal"/>
              <w:rPr>
                <w:sz w:val="22"/>
                <w:szCs w:val="22"/>
                <w:lang w:val="en-US"/>
              </w:rPr>
            </w:pPr>
            <w:r>
              <w:rPr>
                <w:sz w:val="22"/>
                <w:szCs w:val="22"/>
                <w:lang w:val="en-US"/>
              </w:rPr>
              <w:t xml:space="preserve">A good understanding of relevant legislation in relation to safeguarding and promoting the welfare of children, and safeguarding vulnerable adults </w:t>
            </w:r>
          </w:p>
          <w:p>
            <w:pPr>
              <w:pStyle w:val="Normal"/>
              <w:rPr>
                <w:sz w:val="22"/>
                <w:szCs w:val="22"/>
                <w:lang w:val="en-US"/>
              </w:rPr>
            </w:pPr>
            <w:r>
              <w:rPr>
                <w:sz w:val="22"/>
                <w:szCs w:val="22"/>
                <w:lang w:val="en-US"/>
              </w:rPr>
            </w:r>
          </w:p>
          <w:p>
            <w:pPr>
              <w:pStyle w:val="Normal"/>
              <w:rPr>
                <w:sz w:val="22"/>
                <w:szCs w:val="22"/>
                <w:lang w:val="en-US"/>
              </w:rPr>
            </w:pPr>
            <w:r>
              <w:rPr>
                <w:sz w:val="22"/>
                <w:szCs w:val="22"/>
                <w:lang w:val="en-US"/>
              </w:rPr>
              <w:t>Knowledge of child and adolescent development and the impact of adversity on developmental progress and outcomes</w:t>
            </w:r>
          </w:p>
          <w:p>
            <w:pPr>
              <w:pStyle w:val="Normal"/>
              <w:rPr>
                <w:sz w:val="22"/>
                <w:szCs w:val="22"/>
                <w:lang w:val="en-US"/>
              </w:rPr>
            </w:pPr>
            <w:r>
              <w:rPr>
                <w:sz w:val="22"/>
                <w:szCs w:val="22"/>
                <w:lang w:val="en-US"/>
              </w:rPr>
            </w:r>
          </w:p>
          <w:p>
            <w:pPr>
              <w:pStyle w:val="Normal"/>
              <w:spacing w:lineRule="auto" w:line="276"/>
              <w:rPr>
                <w:sz w:val="22"/>
                <w:szCs w:val="22"/>
                <w:lang w:val="en-US"/>
              </w:rPr>
            </w:pPr>
            <w:r>
              <w:rPr>
                <w:sz w:val="22"/>
                <w:szCs w:val="22"/>
                <w:lang w:val="en-US"/>
              </w:rPr>
              <w:t xml:space="preserve">Knowledge of good practice in delivering early help support to children and families, including the role of a range of different partners.  </w:t>
            </w:r>
          </w:p>
          <w:p>
            <w:pPr>
              <w:pStyle w:val="Normal"/>
              <w:rPr>
                <w:sz w:val="22"/>
                <w:szCs w:val="22"/>
                <w:lang w:val="en-US"/>
              </w:rPr>
            </w:pPr>
            <w:r>
              <w:rPr>
                <w:sz w:val="22"/>
                <w:szCs w:val="22"/>
                <w:lang w:val="en-US"/>
              </w:rPr>
            </w:r>
          </w:p>
          <w:p>
            <w:pPr>
              <w:pStyle w:val="Normal"/>
              <w:spacing w:lineRule="auto" w:line="276"/>
              <w:rPr>
                <w:sz w:val="22"/>
                <w:szCs w:val="22"/>
                <w:lang w:val="en-US"/>
              </w:rPr>
            </w:pPr>
            <w:r>
              <w:rPr>
                <w:sz w:val="22"/>
                <w:szCs w:val="22"/>
                <w:lang w:val="en-US"/>
              </w:rPr>
              <w:t xml:space="preserve">Understanding of the social and economic challenges for families in diverse areas like Oldham, and of the implications of these for effective service delivery  </w:t>
            </w:r>
          </w:p>
          <w:p>
            <w:pPr>
              <w:pStyle w:val="Normal"/>
              <w:rPr>
                <w:sz w:val="22"/>
                <w:szCs w:val="22"/>
                <w:lang w:val="en-US"/>
              </w:rPr>
            </w:pPr>
            <w:r>
              <w:rPr>
                <w:sz w:val="22"/>
                <w:szCs w:val="22"/>
                <w:lang w:val="en-US"/>
              </w:rPr>
            </w:r>
          </w:p>
          <w:p>
            <w:pPr>
              <w:pStyle w:val="Normal"/>
              <w:rPr>
                <w:sz w:val="22"/>
                <w:szCs w:val="22"/>
                <w:lang w:val="en-US"/>
              </w:rPr>
            </w:pPr>
            <w:r>
              <w:rPr>
                <w:sz w:val="22"/>
                <w:szCs w:val="22"/>
                <w:lang w:val="en-US"/>
              </w:rPr>
              <w:t>Comprehensive knowledge of therapeutic approaches, empathy, validation, negotiation and conflict resolution and the principles of effective engagement and how this is translated into practise</w:t>
            </w:r>
          </w:p>
          <w:p>
            <w:pPr>
              <w:pStyle w:val="Normal"/>
              <w:rPr>
                <w:sz w:val="22"/>
                <w:szCs w:val="22"/>
                <w:lang w:val="en-US"/>
              </w:rPr>
            </w:pPr>
            <w:r>
              <w:rPr>
                <w:sz w:val="22"/>
                <w:szCs w:val="22"/>
                <w:lang w:val="en-US"/>
              </w:rPr>
            </w:r>
          </w:p>
          <w:p>
            <w:pPr>
              <w:pStyle w:val="Normal"/>
              <w:rPr>
                <w:sz w:val="22"/>
                <w:szCs w:val="22"/>
                <w:lang w:val="en-US"/>
              </w:rPr>
            </w:pPr>
            <w:r>
              <w:rPr>
                <w:sz w:val="22"/>
                <w:szCs w:val="22"/>
                <w:lang w:val="en-US"/>
              </w:rPr>
              <w:t xml:space="preserve">Knowledge of management and supervisory approaches in order to achieve and maintain high performing teams. </w:t>
            </w:r>
          </w:p>
          <w:p>
            <w:pPr>
              <w:pStyle w:val="Normal"/>
              <w:rPr>
                <w:sz w:val="22"/>
                <w:szCs w:val="22"/>
                <w:lang w:val="en-US"/>
              </w:rPr>
            </w:pPr>
            <w:r>
              <w:rPr>
                <w:sz w:val="22"/>
                <w:szCs w:val="22"/>
                <w:lang w:val="en-US"/>
              </w:rPr>
            </w:r>
          </w:p>
          <w:p>
            <w:pPr>
              <w:pStyle w:val="Normal"/>
              <w:rPr>
                <w:sz w:val="22"/>
                <w:szCs w:val="22"/>
                <w:lang w:val="en-US"/>
              </w:rPr>
            </w:pPr>
            <w:r>
              <w:rPr>
                <w:sz w:val="22"/>
                <w:szCs w:val="22"/>
                <w:lang w:val="en-US"/>
              </w:rPr>
              <w:t xml:space="preserve">An understanding of data protection and information governance, including  how to share and store information securely </w:t>
            </w:r>
          </w:p>
          <w:p>
            <w:pPr>
              <w:pStyle w:val="Normal"/>
              <w:rPr>
                <w:sz w:val="22"/>
                <w:szCs w:val="22"/>
                <w:lang w:val="en-US"/>
              </w:rPr>
            </w:pPr>
            <w:r>
              <w:rPr>
                <w:sz w:val="22"/>
                <w:szCs w:val="22"/>
                <w:lang w:val="en-US"/>
              </w:rPr>
            </w:r>
          </w:p>
          <w:p>
            <w:pPr>
              <w:pStyle w:val="Normal"/>
              <w:rPr>
                <w:sz w:val="22"/>
                <w:szCs w:val="22"/>
                <w:lang w:val="en-US"/>
              </w:rPr>
            </w:pPr>
            <w:r>
              <w:rPr>
                <w:sz w:val="22"/>
                <w:szCs w:val="22"/>
                <w:lang w:val="en-US"/>
              </w:rPr>
              <w:t>An understanding of health, safety and risk assessment in the workplace, community and home envirnments, to keep staff and others safe.</w:t>
            </w:r>
          </w:p>
          <w:p>
            <w:pPr>
              <w:pStyle w:val="Normal"/>
              <w:rPr>
                <w:sz w:val="22"/>
                <w:szCs w:val="22"/>
                <w:lang w:val="en-US"/>
              </w:rPr>
            </w:pPr>
            <w:r>
              <w:rPr>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sz w:val="22"/>
                <w:szCs w:val="22"/>
              </w:rPr>
            </w:pPr>
            <w:r>
              <w:rPr>
                <w:b/>
                <w:bCs/>
                <w:sz w:val="22"/>
                <w:szCs w:val="22"/>
              </w:rPr>
            </w:r>
          </w:p>
          <w:p>
            <w:pPr>
              <w:pStyle w:val="TextBody"/>
              <w:rPr>
                <w:bCs/>
                <w:szCs w:val="22"/>
              </w:rPr>
            </w:pPr>
            <w:r>
              <w:rPr>
                <w:bCs/>
                <w:szCs w:val="22"/>
              </w:rPr>
              <w:t>Work Circumstances</w:t>
            </w:r>
          </w:p>
          <w:p>
            <w:pPr>
              <w:pStyle w:val="Normal"/>
              <w:rPr>
                <w:b/>
                <w:b/>
                <w:bCs/>
                <w:sz w:val="22"/>
                <w:szCs w:val="22"/>
              </w:rPr>
            </w:pPr>
            <w:r>
              <w:rPr>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tabs>
                <w:tab w:val="clear" w:pos="720"/>
                <w:tab w:val="left" w:pos="389" w:leader="none"/>
              </w:tabs>
              <w:overflowPunct w:val="true"/>
              <w:snapToGrid w:val="false"/>
              <w:textAlignment w:val="baseline"/>
              <w:rPr>
                <w:b/>
                <w:b/>
                <w:bCs/>
                <w:sz w:val="22"/>
                <w:szCs w:val="22"/>
              </w:rPr>
            </w:pPr>
            <w:r>
              <w:rPr>
                <w:b/>
                <w:bCs/>
                <w:sz w:val="22"/>
                <w:szCs w:val="22"/>
              </w:rPr>
            </w:r>
          </w:p>
          <w:p>
            <w:pPr>
              <w:pStyle w:val="Normal"/>
              <w:rPr>
                <w:sz w:val="22"/>
                <w:szCs w:val="22"/>
              </w:rPr>
            </w:pPr>
            <w:r>
              <w:rPr>
                <w:sz w:val="22"/>
                <w:szCs w:val="22"/>
              </w:rPr>
              <w:t>Able to travel to different sites across the Borough</w:t>
            </w:r>
          </w:p>
          <w:p>
            <w:pPr>
              <w:pStyle w:val="Normal"/>
              <w:rPr>
                <w:sz w:val="22"/>
                <w:szCs w:val="22"/>
              </w:rPr>
            </w:pPr>
            <w:r>
              <w:rPr>
                <w:sz w:val="22"/>
                <w:szCs w:val="22"/>
              </w:rPr>
            </w:r>
          </w:p>
          <w:p>
            <w:pPr>
              <w:pStyle w:val="Normal"/>
              <w:rPr>
                <w:sz w:val="22"/>
                <w:szCs w:val="22"/>
              </w:rPr>
            </w:pPr>
            <w:r>
              <w:rPr>
                <w:sz w:val="22"/>
                <w:szCs w:val="22"/>
              </w:rPr>
              <w:t>Able to work flexibly to meet the needs of the service, including ability to work outside of normal office hours on occasions.</w:t>
            </w:r>
          </w:p>
          <w:p>
            <w:pPr>
              <w:pStyle w:val="Normal"/>
              <w:rPr>
                <w:sz w:val="22"/>
                <w:szCs w:val="22"/>
              </w:rPr>
            </w:pPr>
            <w:r>
              <w:rPr>
                <w:sz w:val="22"/>
                <w:szCs w:val="22"/>
              </w:rPr>
            </w:r>
          </w:p>
          <w:p>
            <w:pPr>
              <w:pStyle w:val="Normal"/>
              <w:rPr>
                <w:rFonts w:cs="Arial"/>
                <w:sz w:val="22"/>
                <w:szCs w:val="22"/>
              </w:rPr>
            </w:pPr>
            <w:r>
              <w:rPr>
                <w:rFonts w:cs="Arial"/>
                <w:sz w:val="22"/>
                <w:szCs w:val="22"/>
              </w:rPr>
              <w:t>Commitment to personal and professional development</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Gautami" w:hAnsi="Gautami" w:cs="Gautami"/>
                <w:sz w:val="22"/>
                <w:szCs w:val="22"/>
              </w:rPr>
            </w:pPr>
            <w:r>
              <w:rPr>
                <w:rFonts w:cs="Gautami" w:ascii="Gautami" w:hAnsi="Gautami"/>
                <w:sz w:val="22"/>
                <w:szCs w:val="22"/>
              </w:rPr>
            </w:r>
          </w:p>
          <w:p>
            <w:pPr>
              <w:pStyle w:val="Normal"/>
              <w:jc w:val="center"/>
              <w:rPr>
                <w:sz w:val="22"/>
                <w:szCs w:val="22"/>
              </w:rPr>
            </w:pPr>
            <w:r>
              <w:rPr>
                <w:sz w:val="22"/>
                <w:szCs w:val="22"/>
              </w:rPr>
              <w:t>Interview</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Interview</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Interview</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spacing w:before="0" w:after="60"/>
        <w:jc w:val="both"/>
        <w:rPr>
          <w:rFonts w:cs="Arial"/>
          <w:sz w:val="22"/>
          <w:szCs w:val="22"/>
        </w:rPr>
      </w:pPr>
      <w:r>
        <w:rPr>
          <w:rFonts w:cs="Arial"/>
          <w:sz w:val="22"/>
          <w:szCs w:val="22"/>
        </w:rPr>
        <w:t>P = Presentation; R = References; P = Portfolio</w:t>
      </w:r>
    </w:p>
    <w:p>
      <w:pPr>
        <w:pStyle w:val="Normal"/>
        <w:rPr>
          <w:sz w:val="22"/>
          <w:szCs w:val="22"/>
        </w:rPr>
      </w:pPr>
      <w:r>
        <w:rPr>
          <w:sz w:val="22"/>
          <w:szCs w:val="22"/>
        </w:rPr>
      </w:r>
    </w:p>
    <w:p>
      <w:pPr>
        <w:pStyle w:val="Normal"/>
        <w:rPr/>
      </w:pPr>
      <w:r>
        <w:rPr>
          <w:b/>
          <w:bCs/>
          <w:sz w:val="22"/>
          <w:szCs w:val="22"/>
        </w:rPr>
        <w:t xml:space="preserve">NB. - Any candidate that meets the criteria of our </w:t>
      </w:r>
      <w:r>
        <w:rPr>
          <w:rStyle w:val="InternetLink"/>
          <w:b/>
          <w:bCs/>
          <w:sz w:val="22"/>
          <w:szCs w:val="22"/>
        </w:rPr>
        <w:t>Guaranteed Assessment Scheme</w:t>
      </w:r>
      <w:r>
        <w:rPr>
          <w:b/>
          <w:bCs/>
          <w:sz w:val="22"/>
          <w:szCs w:val="22"/>
        </w:rPr>
        <w:t xml:space="preserve"> and meets the essential criteria of the role, will be guaranteed the first stage of assessment (whether that is an interview or another assessment, as appropriate).</w:t>
      </w:r>
    </w:p>
    <w:p>
      <w:pPr>
        <w:pStyle w:val="Normal"/>
        <w:rPr>
          <w:b/>
          <w:b/>
          <w:bCs/>
          <w:sz w:val="22"/>
          <w:szCs w:val="22"/>
        </w:rPr>
      </w:pPr>
      <w:r>
        <w:rPr>
          <w:b/>
          <w:bCs/>
          <w:sz w:val="22"/>
          <w:szCs w:val="22"/>
        </w:rPr>
      </w:r>
    </w:p>
    <w:p>
      <w:pPr>
        <w:pStyle w:val="Normal"/>
        <w:rPr>
          <w:b/>
          <w:b/>
          <w:bCs/>
          <w:sz w:val="22"/>
          <w:szCs w:val="22"/>
        </w:rPr>
      </w:pPr>
      <w:r>
        <w:rPr>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rPr>
          <w:sz w:val="22"/>
          <w:szCs w:val="22"/>
        </w:rPr>
      </w:pPr>
      <w:r>
        <w:rPr>
          <w:sz w:val="22"/>
          <w:szCs w:val="22"/>
        </w:rPr>
      </w:r>
    </w:p>
    <w:p>
      <w:pPr>
        <w:pStyle w:val="Normal"/>
        <w:rPr>
          <w:sz w:val="22"/>
          <w:szCs w:val="22"/>
        </w:rPr>
      </w:pPr>
      <w:r>
        <w:rPr>
          <w:sz w:val="22"/>
          <w:szCs w:val="22"/>
        </w:rPr>
      </w:r>
    </w:p>
    <w:sectPr>
      <w:headerReference w:type="default" r:id="rId4"/>
      <w:footerReference w:type="default" r:id="rId5"/>
      <w:type w:val="nextPage"/>
      <w:pgSz w:w="11906" w:h="16838"/>
      <w:pgMar w:left="1440" w:right="1440" w:header="567" w:top="624" w:footer="709"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Palatino">
    <w:charset w:val="00"/>
    <w:family w:val="roman"/>
    <w:pitch w:val="variable"/>
  </w:font>
  <w:font w:name="Liberation Sans">
    <w:altName w:val="Arial"/>
    <w:charset w:val="00"/>
    <w:family w:val="swiss"/>
    <w:pitch w:val="variable"/>
  </w:font>
  <w:font w:name="Helvetica">
    <w:altName w:val="Arial"/>
    <w:charset w:val="00"/>
    <w:family w:val="swiss"/>
    <w:pitch w:val="variable"/>
  </w:font>
  <w:font w:name="Gautam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sz w:val="22"/>
        <w:szCs w:val="22"/>
      </w:rPr>
    </w:pPr>
    <w:r>
      <w:rPr>
        <w:sz w:val="22"/>
        <w:szCs w:val="22"/>
      </w:rPr>
      <w:fldChar w:fldCharType="begin"/>
    </w:r>
    <w:r>
      <w:rPr>
        <w:sz w:val="22"/>
        <w:szCs w:val="22"/>
      </w:rPr>
      <w:instrText> PAGE </w:instrText>
    </w:r>
    <w:r>
      <w:rPr>
        <w:sz w:val="22"/>
        <w:szCs w:val="22"/>
      </w:rPr>
      <w:fldChar w:fldCharType="separate"/>
    </w:r>
    <w:r>
      <w:rPr>
        <w:sz w:val="22"/>
        <w:szCs w:val="22"/>
      </w:rPr>
      <w:t>8</w:t>
    </w:r>
    <w:r>
      <w:rPr>
        <w:sz w:val="22"/>
        <w:szCs w:val="22"/>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4153"/>
        <w:tab w:val="clear" w:pos="8306"/>
        <w:tab w:val="left" w:pos="8565" w:leader="none"/>
      </w:tabs>
      <w:rPr/>
    </w:pPr>
    <w:r>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6">
    <w:name w:val="Heading 6"/>
    <w:basedOn w:val="Normal"/>
    <w:next w:val="Normal"/>
    <w:qFormat/>
    <w:pPr>
      <w:numPr>
        <w:ilvl w:val="5"/>
        <w:numId w:val="1"/>
      </w:numPr>
      <w:spacing w:before="240" w:after="60"/>
      <w:outlineLvl w:val="5"/>
    </w:pPr>
    <w:rPr>
      <w:rFonts w:ascii="Calibri" w:hAnsi="Calibri" w:cs="Calibri"/>
      <w:b/>
      <w:bCs/>
      <w:sz w:val="22"/>
      <w:szCs w:val="22"/>
    </w:rPr>
  </w:style>
  <w:style w:type="character" w:styleId="WW8Num1z0">
    <w:name w:val="WW8Num1z0"/>
    <w:qFormat/>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BalloonTextChar">
    <w:name w:val="Balloon Text Char"/>
    <w:qFormat/>
    <w:rPr>
      <w:rFonts w:ascii="Segoe UI" w:hAnsi="Segoe UI" w:cs="Segoe UI"/>
      <w:sz w:val="18"/>
      <w:szCs w:val="18"/>
      <w:lang w:eastAsia="en-US"/>
    </w:rPr>
  </w:style>
  <w:style w:type="character" w:styleId="FooterChar">
    <w:name w:val="Footer Char"/>
    <w:qFormat/>
    <w:rPr>
      <w:rFonts w:ascii="Arial" w:hAnsi="Arial" w:cs="Arial"/>
      <w:sz w:val="24"/>
      <w:szCs w:val="24"/>
      <w:lang w:eastAsia="en-US"/>
    </w:rPr>
  </w:style>
  <w:style w:type="character" w:styleId="Heading6Char">
    <w:name w:val="Heading 6 Char"/>
    <w:qFormat/>
    <w:rPr>
      <w:rFonts w:ascii="Calibri" w:hAnsi="Calibri" w:cs="Calibri"/>
      <w:b/>
      <w:bCs/>
      <w:sz w:val="22"/>
      <w:szCs w:val="22"/>
      <w:lang w:eastAsia="en-US"/>
    </w:rPr>
  </w:style>
  <w:style w:type="character" w:styleId="BodyTextChar">
    <w:name w:val="Body Text Char"/>
    <w:qFormat/>
    <w:rPr>
      <w:rFonts w:ascii="Arial" w:hAnsi="Arial" w:cs="Arial"/>
      <w:b/>
      <w:sz w:val="22"/>
      <w:lang w:eastAsia="en-US"/>
    </w:rPr>
  </w:style>
  <w:style w:type="character" w:styleId="HeaderChar">
    <w:name w:val="Header Char"/>
    <w:qFormat/>
    <w:rPr>
      <w:rFonts w:ascii="Arial" w:hAnsi="Arial" w:cs="Arial"/>
      <w:sz w:val="22"/>
      <w:lang w:eastAsia="en-US"/>
    </w:rPr>
  </w:style>
  <w:style w:type="character" w:styleId="EndnoteTextChar">
    <w:name w:val="Endnote Text Char"/>
    <w:qFormat/>
    <w:rPr>
      <w:rFonts w:ascii="Palatino" w:hAnsi="Palatino" w:cs="Palatino"/>
      <w:sz w:val="24"/>
      <w:lang w:eastAsia="en-US"/>
    </w:rPr>
  </w:style>
  <w:style w:type="character" w:styleId="InternetLink">
    <w:name w:val="Internet Link"/>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ind w:left="720" w:right="0" w:hanging="0"/>
    </w:pPr>
    <w:rPr/>
  </w:style>
  <w:style w:type="paragraph" w:styleId="BalloonText">
    <w:name w:val="Balloon Text"/>
    <w:basedOn w:val="Normal"/>
    <w:qFormat/>
    <w:pPr/>
    <w:rPr>
      <w:rFonts w:ascii="Segoe UI" w:hAnsi="Segoe UI" w:cs="Segoe UI"/>
      <w:sz w:val="18"/>
      <w:szCs w:val="18"/>
    </w:rPr>
  </w:style>
  <w:style w:type="paragraph" w:styleId="Footer">
    <w:name w:val="Foot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