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tabs>
          <w:tab w:val="clear" w:pos="720"/>
          <w:tab w:val="left" w:pos="6453" w:leader="none"/>
        </w:tabs>
        <w:rPr>
          <w:rFonts w:ascii="Arial" w:hAnsi="Arial" w:eastAsia="MS Mincho" w:cs="Arial"/>
          <w:b/>
          <w:b/>
          <w:bCs/>
          <w:color w:val="008080"/>
          <w:sz w:val="24"/>
          <w:szCs w:val="24"/>
          <w:lang w:eastAsia="ja-JP"/>
        </w:rPr>
      </w:pPr>
      <w:r>
        <w:drawing>
          <wp:anchor behindDoc="0" distT="0" distB="0" distL="0" distR="0" simplePos="0" locked="0" layoutInCell="1" allowOverlap="1" relativeHeight="2">
            <wp:simplePos x="0" y="0"/>
            <wp:positionH relativeFrom="column">
              <wp:posOffset>4547235</wp:posOffset>
            </wp:positionH>
            <wp:positionV relativeFrom="paragraph">
              <wp:posOffset>144145</wp:posOffset>
            </wp:positionV>
            <wp:extent cx="641350" cy="65405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6" t="-55" r="-56" b="-55"/>
                    <a:stretch>
                      <a:fillRect/>
                    </a:stretch>
                  </pic:blipFill>
                  <pic:spPr bwMode="auto">
                    <a:xfrm>
                      <a:off x="0" y="0"/>
                      <a:ext cx="641350" cy="654050"/>
                    </a:xfrm>
                    <a:prstGeom prst="rect">
                      <a:avLst/>
                    </a:prstGeom>
                  </pic:spPr>
                </pic:pic>
              </a:graphicData>
            </a:graphic>
          </wp:anchor>
        </w:drawing>
      </w:r>
      <w:r>
        <w:rPr>
          <w:rFonts w:eastAsia="MS Mincho" w:cs="Arial" w:ascii="Arial" w:hAnsi="Arial"/>
          <w:b/>
          <w:bCs/>
          <w:color w:val="008080"/>
          <w:sz w:val="24"/>
          <w:szCs w:val="24"/>
          <w:lang w:eastAsia="ja-JP"/>
        </w:rPr>
        <w:t>R</w:t>
      </w:r>
      <w:r>
        <w:rPr>
          <w:rFonts w:eastAsia="MS Mincho" w:cs="Arial" w:ascii="Arial" w:hAnsi="Arial"/>
          <w:b/>
          <w:bCs/>
          <w:color w:val="008080"/>
          <w:sz w:val="24"/>
          <w:szCs w:val="24"/>
          <w:lang w:eastAsia="ja-JP"/>
        </w:rPr>
        <w:t xml:space="preserve">OLE PROFILE </w:t>
      </w:r>
    </w:p>
    <w:p>
      <w:pPr>
        <w:pStyle w:val="Normal"/>
        <w:keepNext w:val="true"/>
        <w:numPr>
          <w:ilvl w:val="0"/>
          <w:numId w:val="0"/>
        </w:numPr>
        <w:spacing w:lineRule="auto" w:line="240" w:before="240" w:after="60"/>
        <w:ind w:left="0" w:hanging="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Apprentice Housing Options Officer</w:t>
      </w:r>
    </w:p>
    <w:p>
      <w:pPr>
        <w:pStyle w:val="Normal"/>
        <w:spacing w:lineRule="auto" w:line="240" w:before="0" w:after="0"/>
        <w:rPr>
          <w:rFonts w:ascii="Arial" w:hAnsi="Arial" w:eastAsia="MS Mincho" w:cs="Arial"/>
          <w:b/>
          <w:b/>
          <w:bCs/>
          <w:color w:val="000000"/>
          <w:sz w:val="24"/>
          <w:szCs w:val="24"/>
          <w:lang w:eastAsia="en-GB"/>
        </w:rPr>
      </w:pPr>
      <w:r>
        <w:rPr>
          <w:rFonts w:eastAsia="MS Mincho" w:cs="Arial" w:ascii="Arial" w:hAnsi="Arial"/>
          <w:b/>
          <w:bCs/>
          <w:color w:val="00000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About The Council:</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t>Oldham is committed to developing a co-operative future; one where citizens, partners and staff work together to improve the borough and create a confident and ambitious place.</w:t>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t>A co-operative Council aims to support everybody doing their bit and everybody</w:t>
      </w:r>
    </w:p>
    <w:p>
      <w:pPr>
        <w:pStyle w:val="Normal"/>
        <w:spacing w:lineRule="auto" w:line="240" w:before="0" w:after="0"/>
        <w:rPr>
          <w:rFonts w:ascii="Arial" w:hAnsi="Arial" w:eastAsia="MS Mincho" w:cs="Arial"/>
          <w:bCs/>
          <w:color w:val="000000"/>
          <w:sz w:val="24"/>
          <w:szCs w:val="24"/>
          <w:lang w:eastAsia="en-GB"/>
        </w:rPr>
      </w:pPr>
      <w:r>
        <w:rPr>
          <w:rFonts w:eastAsia="MS Mincho" w:cs="Arial" w:ascii="Arial" w:hAnsi="Arial"/>
          <w:bCs/>
          <w:color w:val="000000"/>
          <w:sz w:val="24"/>
          <w:szCs w:val="24"/>
          <w:lang w:eastAsia="en-GB"/>
        </w:rPr>
        <w:t>benefitting. This means we work in a way which helps to empower residents to take greater control of their own lives but also gets the maximum benefit from the resources that are available to the community and public sector. It also means working in ways which are ethical, fair and deliver good social value as well as value-for-money. It also means giving residents the opportunity to work in collaboration with us to design and even help deliver services.</w:t>
      </w:r>
    </w:p>
    <w:p>
      <w:pPr>
        <w:pStyle w:val="Normal"/>
        <w:spacing w:lineRule="auto" w:line="240" w:before="0" w:after="0"/>
        <w:rPr>
          <w:rFonts w:ascii="Arial" w:hAnsi="Arial" w:eastAsia="MS Mincho" w:cs="Arial"/>
          <w:sz w:val="24"/>
          <w:szCs w:val="24"/>
          <w:lang w:val="en" w:eastAsia="ja-JP"/>
        </w:rPr>
      </w:pPr>
      <w:r>
        <w:rPr>
          <w:rFonts w:eastAsia="MS Mincho" w:cs="Arial" w:ascii="Arial" w:hAnsi="Arial"/>
          <w:sz w:val="24"/>
          <w:szCs w:val="24"/>
          <w:lang w:val="en" w:eastAsia="ja-JP"/>
        </w:rPr>
      </w:r>
    </w:p>
    <w:p>
      <w:pPr>
        <w:pStyle w:val="Normal"/>
        <w:spacing w:lineRule="auto" w:line="240" w:before="0" w:after="0"/>
        <w:rPr>
          <w:rFonts w:ascii="Arial" w:hAnsi="Arial" w:eastAsia="MS Mincho" w:cs="Arial"/>
          <w:b/>
          <w:b/>
          <w:bCs/>
          <w:color w:val="008080"/>
          <w:sz w:val="24"/>
          <w:szCs w:val="24"/>
          <w:lang w:val="en" w:eastAsia="en-GB"/>
        </w:rPr>
      </w:pPr>
      <w:r>
        <w:rPr>
          <w:rFonts w:eastAsia="MS Mincho" w:cs="Arial" w:ascii="Arial" w:hAnsi="Arial"/>
          <w:b/>
          <w:bCs/>
          <w:color w:val="008080"/>
          <w:sz w:val="24"/>
          <w:szCs w:val="24"/>
          <w:lang w:val="en"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Purpose of Apprenticeship/Traineeship:</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Calibri" w:cs="Arial"/>
          <w:sz w:val="24"/>
          <w:szCs w:val="24"/>
        </w:rPr>
      </w:pPr>
      <w:r>
        <w:rPr>
          <w:rFonts w:eastAsia="Calibri" w:cs="Arial" w:ascii="Arial" w:hAnsi="Arial"/>
          <w:sz w:val="24"/>
          <w:szCs w:val="24"/>
        </w:rPr>
        <w:t xml:space="preserve">The Homelessness Prevention Team plays a vital role in delivering high quality, customer focused advice and support to people in Oldham who find themselves homeless or at risk of homelessness. This includes providing housing advice to people in the district and completing investigations into applications from customers who are at risk of homelessness as defined by the statutory duties under Housing Act 1996 Part VII, the Homelessness Reduction Act 2017 and relevant case law. </w:t>
      </w:r>
    </w:p>
    <w:p>
      <w:pPr>
        <w:pStyle w:val="Normal"/>
        <w:spacing w:lineRule="auto" w:line="240" w:before="0" w:after="0"/>
        <w:rPr>
          <w:rFonts w:ascii="Arial" w:hAnsi="Arial" w:eastAsia="Calibri" w:cs="Arial"/>
          <w:sz w:val="24"/>
          <w:szCs w:val="24"/>
        </w:rPr>
      </w:pPr>
      <w:r>
        <w:rPr>
          <w:rFonts w:eastAsia="Calibri" w:cs="Arial" w:ascii="Arial" w:hAnsi="Arial"/>
          <w:sz w:val="24"/>
          <w:szCs w:val="24"/>
        </w:rPr>
      </w:r>
    </w:p>
    <w:p>
      <w:pPr>
        <w:pStyle w:val="Normal"/>
        <w:spacing w:lineRule="auto" w:line="240" w:before="0" w:after="0"/>
        <w:rPr>
          <w:rFonts w:ascii="Arial" w:hAnsi="Arial" w:eastAsia="Calibri" w:cs="Arial"/>
          <w:sz w:val="24"/>
          <w:szCs w:val="24"/>
        </w:rPr>
      </w:pPr>
      <w:r>
        <w:rPr>
          <w:rFonts w:eastAsia="Calibri" w:cs="Arial" w:ascii="Arial" w:hAnsi="Arial"/>
          <w:sz w:val="24"/>
          <w:szCs w:val="24"/>
        </w:rPr>
        <w:t xml:space="preserve">The Housing Register Team within Oldham Council’s Housing Options Service manages applications for social housing across the borough. They review application forms and supporting documents, determine eligibility, assess each applicant's level of housing need according to the council’s Housing Allocations Scheme, and oversee the process allowing residents to view and bid on available properties provided by local housing associations. </w:t>
      </w:r>
    </w:p>
    <w:p>
      <w:pPr>
        <w:pStyle w:val="Normal"/>
        <w:spacing w:lineRule="auto" w:line="240" w:before="0" w:after="0"/>
        <w:rPr>
          <w:rFonts w:ascii="Arial" w:hAnsi="Arial" w:eastAsia="Calibri" w:cs="Arial"/>
          <w:sz w:val="24"/>
          <w:szCs w:val="24"/>
        </w:rPr>
      </w:pPr>
      <w:r>
        <w:rPr>
          <w:rFonts w:eastAsia="Calibri" w:cs="Arial" w:ascii="Arial" w:hAnsi="Arial"/>
          <w:sz w:val="24"/>
          <w:szCs w:val="24"/>
        </w:rPr>
      </w:r>
    </w:p>
    <w:p>
      <w:pPr>
        <w:pStyle w:val="Normal"/>
        <w:spacing w:lineRule="auto" w:line="240" w:before="0" w:after="0"/>
        <w:rPr>
          <w:rFonts w:ascii="Arial" w:hAnsi="Arial" w:eastAsia="Calibri" w:cs="Arial"/>
          <w:sz w:val="24"/>
          <w:szCs w:val="24"/>
        </w:rPr>
      </w:pPr>
      <w:r>
        <w:rPr>
          <w:rFonts w:eastAsia="Calibri" w:cs="Arial" w:ascii="Arial" w:hAnsi="Arial"/>
          <w:sz w:val="24"/>
          <w:szCs w:val="24"/>
        </w:rPr>
        <w:t xml:space="preserve">The Temporary Accommodation Team provide advice, support and assistance to customers placed in Temporary Accommodation, arrange and sustain appropriate placements and provide an intensive housing management function for the temporary accommodation units, while maximising the Council’s temporary accommodation income collection process. </w:t>
      </w:r>
    </w:p>
    <w:p>
      <w:pPr>
        <w:pStyle w:val="Normal"/>
        <w:spacing w:lineRule="auto" w:line="240" w:before="0" w:after="0"/>
        <w:rPr>
          <w:rFonts w:ascii="Arial" w:hAnsi="Arial" w:eastAsia="Calibri" w:cs="Arial"/>
          <w:sz w:val="24"/>
          <w:szCs w:val="24"/>
        </w:rPr>
      </w:pPr>
      <w:r>
        <w:rPr>
          <w:rFonts w:eastAsia="Calibri" w:cs="Arial" w:ascii="Arial" w:hAnsi="Arial"/>
          <w:sz w:val="24"/>
          <w:szCs w:val="24"/>
        </w:rPr>
      </w:r>
    </w:p>
    <w:p>
      <w:pPr>
        <w:pStyle w:val="Normal"/>
        <w:spacing w:lineRule="auto" w:line="240" w:before="0" w:after="0"/>
        <w:rPr>
          <w:rFonts w:ascii="Arial" w:hAnsi="Arial" w:eastAsia="Calibri" w:cs="Arial"/>
          <w:sz w:val="24"/>
          <w:szCs w:val="24"/>
        </w:rPr>
      </w:pPr>
      <w:r>
        <w:rPr>
          <w:rFonts w:eastAsia="Calibri" w:cs="Arial" w:ascii="Arial" w:hAnsi="Arial"/>
          <w:sz w:val="24"/>
          <w:szCs w:val="24"/>
        </w:rPr>
        <w:t>The Apprentice Housing Options Officer will provide support to the Housing Options staff in all three of these teams. This is an apprenticeship opportunity designed for individuals looking to start a career in housing, public administration, or local government.</w:t>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What will I be doing?</w:t>
      </w:r>
    </w:p>
    <w:p>
      <w:pPr>
        <w:pStyle w:val="Normal"/>
        <w:spacing w:lineRule="auto" w:line="240" w:before="0" w:after="0"/>
        <w:rPr>
          <w:rFonts w:ascii="Arial" w:hAnsi="Arial" w:eastAsia="MS Mincho" w:cs="Arial"/>
          <w:b/>
          <w:b/>
          <w:bCs/>
          <w:i/>
          <w:i/>
          <w:sz w:val="24"/>
          <w:szCs w:val="24"/>
          <w:lang w:eastAsia="en-GB"/>
        </w:rPr>
      </w:pPr>
      <w:r>
        <w:rPr>
          <w:rFonts w:eastAsia="MS Mincho" w:cs="Arial" w:ascii="Arial" w:hAnsi="Arial"/>
          <w:b/>
          <w:bCs/>
          <w:i/>
          <w:sz w:val="24"/>
          <w:szCs w:val="24"/>
          <w:lang w:eastAsia="en-GB"/>
        </w:rPr>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Support officers with day-to-day administrative duties and service delivery.</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Use Microsoft Office applications (Word, Excel, Outlook, Teams) to draft letters, manage data, and prepare reports.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File and scan documentation into electronic systems, ensuring records are accurate and GDPR-compliant.</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Contact customers under supervision to provide information or gather documents relating to housing and homelessness applications.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Support the verification of documents, ensuring files are complete and up to date.</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Assist officers with property matching and allocation to suitable households.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Monitor shared mailboxes, responding to enquiries in line with customer service standards.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Assist with basic financial tasks, such as raising purchase orders and processing invoices.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Help organise and record meetings, including scheduling, preparing agendas, taking minutes, and tracking actions.</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Support engagement activity with the private rented sector (e.g. mail merges, data collection, consultation feedback).</w:t>
      </w:r>
    </w:p>
    <w:p>
      <w:pPr>
        <w:pStyle w:val="ListParagraph"/>
        <w:numPr>
          <w:ilvl w:val="0"/>
          <w:numId w:val="2"/>
        </w:numPr>
        <w:spacing w:lineRule="auto" w:line="256" w:before="0" w:after="160"/>
        <w:contextualSpacing/>
        <w:rPr>
          <w:rFonts w:ascii="Arial" w:hAnsi="Arial" w:eastAsia="Calibri" w:cs="Arial"/>
          <w:lang w:val="en-US"/>
        </w:rPr>
      </w:pPr>
      <w:r>
        <w:rPr>
          <w:rFonts w:eastAsia="Calibri" w:cs="Arial" w:ascii="Arial" w:hAnsi="Arial"/>
          <w:lang w:val="en-US"/>
        </w:rPr>
        <w:t>Assist with monitoring move-on and support plans for customers leaving commissioned accommodation services.</w:t>
      </w:r>
    </w:p>
    <w:p>
      <w:pPr>
        <w:pStyle w:val="Normal"/>
        <w:spacing w:lineRule="auto" w:line="240" w:before="0" w:after="0"/>
        <w:rPr>
          <w:rFonts w:ascii="Arial" w:hAnsi="Arial" w:eastAsia="MS Mincho" w:cs="Arial"/>
          <w:iCs/>
          <w:color w:val="008080"/>
          <w:sz w:val="24"/>
          <w:szCs w:val="24"/>
          <w:lang w:eastAsia="en-GB"/>
        </w:rPr>
      </w:pPr>
      <w:r>
        <w:rPr>
          <w:rFonts w:eastAsia="MS Mincho" w:cs="Arial" w:ascii="Arial" w:hAnsi="Arial"/>
          <w:iCs/>
          <w:color w:val="008080"/>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What will I gain?</w:t>
      </w:r>
    </w:p>
    <w:p>
      <w:pPr>
        <w:pStyle w:val="Normal"/>
        <w:spacing w:lineRule="auto" w:line="240" w:before="0" w:after="0"/>
        <w:rPr>
          <w:rFonts w:ascii="Arial" w:hAnsi="Arial" w:eastAsia="MS Mincho" w:cs="Arial"/>
          <w:b/>
          <w:b/>
          <w:bCs/>
          <w:i/>
          <w:i/>
          <w:sz w:val="24"/>
          <w:szCs w:val="24"/>
          <w:lang w:eastAsia="en-GB"/>
        </w:rPr>
      </w:pPr>
      <w:r>
        <w:rPr>
          <w:rFonts w:eastAsia="MS Mincho" w:cs="Arial" w:ascii="Arial" w:hAnsi="Arial"/>
          <w:b/>
          <w:bCs/>
          <w:i/>
          <w:sz w:val="24"/>
          <w:szCs w:val="24"/>
          <w:lang w:eastAsia="en-GB"/>
        </w:rPr>
      </w:r>
    </w:p>
    <w:p>
      <w:pPr>
        <w:pStyle w:val="ListParagraph"/>
        <w:numPr>
          <w:ilvl w:val="0"/>
          <w:numId w:val="3"/>
        </w:numPr>
        <w:spacing w:lineRule="auto" w:line="256" w:before="0" w:after="160"/>
        <w:contextualSpacing/>
        <w:rPr>
          <w:rFonts w:ascii="Arial" w:hAnsi="Arial" w:eastAsia="Calibri" w:cs="Arial"/>
          <w:lang w:val="en-US"/>
        </w:rPr>
      </w:pPr>
      <w:r>
        <w:rPr>
          <w:rFonts w:eastAsia="Calibri" w:cs="Arial" w:ascii="Arial" w:hAnsi="Arial"/>
          <w:lang w:val="en-US"/>
        </w:rPr>
        <w:t>Practical experience of working within a local authority housing environment.</w:t>
      </w:r>
    </w:p>
    <w:p>
      <w:pPr>
        <w:pStyle w:val="ListParagraph"/>
        <w:numPr>
          <w:ilvl w:val="0"/>
          <w:numId w:val="3"/>
        </w:numPr>
        <w:spacing w:lineRule="auto" w:line="256" w:before="0" w:after="160"/>
        <w:contextualSpacing/>
        <w:rPr>
          <w:rFonts w:ascii="Arial" w:hAnsi="Arial" w:eastAsia="Calibri" w:cs="Arial"/>
          <w:lang w:val="en-US"/>
        </w:rPr>
      </w:pPr>
      <w:r>
        <w:rPr>
          <w:rFonts w:eastAsia="Calibri" w:cs="Arial" w:ascii="Arial" w:hAnsi="Arial"/>
          <w:lang w:val="en-US"/>
        </w:rPr>
        <w:t>Development of key administrative, organisational and communication skills.</w:t>
      </w:r>
    </w:p>
    <w:p>
      <w:pPr>
        <w:pStyle w:val="ListParagraph"/>
        <w:numPr>
          <w:ilvl w:val="0"/>
          <w:numId w:val="3"/>
        </w:numPr>
        <w:spacing w:lineRule="auto" w:line="256" w:before="0" w:after="160"/>
        <w:contextualSpacing/>
        <w:rPr>
          <w:rFonts w:ascii="Arial" w:hAnsi="Arial" w:eastAsia="Calibri" w:cs="Arial"/>
          <w:lang w:val="en-US"/>
        </w:rPr>
      </w:pPr>
      <w:r>
        <w:rPr>
          <w:rFonts w:eastAsia="Calibri" w:cs="Arial" w:ascii="Arial" w:hAnsi="Arial"/>
          <w:lang w:val="en-US"/>
        </w:rPr>
        <w:t>Experience using IT systems, data recording tools, and customer management databases.</w:t>
      </w:r>
    </w:p>
    <w:p>
      <w:pPr>
        <w:pStyle w:val="ListParagraph"/>
        <w:numPr>
          <w:ilvl w:val="0"/>
          <w:numId w:val="3"/>
        </w:numPr>
        <w:spacing w:lineRule="auto" w:line="256" w:before="0" w:after="160"/>
        <w:contextualSpacing/>
        <w:rPr>
          <w:rFonts w:ascii="Arial" w:hAnsi="Arial" w:eastAsia="Calibri" w:cs="Arial"/>
          <w:lang w:val="en-US"/>
        </w:rPr>
      </w:pPr>
      <w:r>
        <w:rPr>
          <w:rFonts w:eastAsia="Calibri" w:cs="Arial" w:ascii="Arial" w:hAnsi="Arial"/>
          <w:lang w:val="en-US"/>
        </w:rPr>
        <w:t>An understanding of local government processes, housing legislation and homelessness policy.</w:t>
      </w:r>
    </w:p>
    <w:p>
      <w:pPr>
        <w:pStyle w:val="ListParagraph"/>
        <w:numPr>
          <w:ilvl w:val="0"/>
          <w:numId w:val="3"/>
        </w:numPr>
        <w:spacing w:lineRule="auto" w:line="256" w:before="0" w:after="160"/>
        <w:contextualSpacing/>
        <w:rPr>
          <w:rFonts w:ascii="Arial" w:hAnsi="Arial" w:eastAsia="Calibri" w:cs="Arial"/>
          <w:lang w:val="en-US"/>
        </w:rPr>
      </w:pPr>
      <w:r>
        <w:rPr>
          <w:rFonts w:eastAsia="Calibri" w:cs="Arial" w:ascii="Arial" w:hAnsi="Arial"/>
          <w:lang w:val="en-US"/>
        </w:rPr>
        <w:t>Working towards gaining a Level 3 Business Administration Qualification</w:t>
      </w:r>
    </w:p>
    <w:p>
      <w:pPr>
        <w:pStyle w:val="Normal"/>
        <w:spacing w:lineRule="auto" w:line="240" w:before="0" w:after="0"/>
        <w:rPr>
          <w:rFonts w:ascii="Arial" w:hAnsi="Arial" w:eastAsia="MS Mincho" w:cs="Arial"/>
          <w:bCs/>
          <w:sz w:val="24"/>
          <w:szCs w:val="24"/>
          <w:lang w:eastAsia="en-GB"/>
        </w:rPr>
      </w:pPr>
      <w:r>
        <w:rPr>
          <w:rFonts w:eastAsia="MS Mincho" w:cs="Arial" w:ascii="Arial" w:hAnsi="Arial"/>
          <w:bCs/>
          <w:sz w:val="24"/>
          <w:szCs w:val="24"/>
          <w:lang w:eastAsia="en-GB"/>
        </w:rPr>
      </w:r>
    </w:p>
    <w:p>
      <w:pPr>
        <w:pStyle w:val="Normal"/>
        <w:spacing w:lineRule="auto" w:line="240" w:before="0" w:after="0"/>
        <w:rPr>
          <w:rFonts w:ascii="Arial" w:hAnsi="Arial" w:eastAsia="MS Mincho" w:cs="Arial"/>
          <w:b/>
          <w:b/>
          <w:bCs/>
          <w:color w:val="008080"/>
          <w:sz w:val="24"/>
          <w:szCs w:val="24"/>
          <w:lang w:eastAsia="en-GB"/>
        </w:rPr>
      </w:pPr>
      <w:r>
        <w:rPr>
          <w:rFonts w:eastAsia="MS Mincho" w:cs="Arial" w:ascii="Arial" w:hAnsi="Arial"/>
          <w:b/>
          <w:bCs/>
          <w:color w:val="008080"/>
          <w:sz w:val="24"/>
          <w:szCs w:val="24"/>
          <w:lang w:eastAsia="en-GB"/>
        </w:rPr>
        <w:t>Requirements for the Apprenticeship/Traineeship:</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Sufficient literacy and numeracy skills.</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Ability to use IT applications in relation to the requirements of the post</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 xml:space="preserve">Work flexibly to meet the needs of the service </w:t>
      </w:r>
    </w:p>
    <w:p>
      <w:pPr>
        <w:pStyle w:val="Normal"/>
        <w:numPr>
          <w:ilvl w:val="0"/>
          <w:numId w:val="1"/>
        </w:numPr>
        <w:spacing w:lineRule="auto" w:line="240" w:before="0" w:after="0"/>
        <w:rPr>
          <w:rFonts w:ascii="Arial" w:hAnsi="Arial" w:cs="Arial"/>
          <w:sz w:val="24"/>
          <w:szCs w:val="24"/>
        </w:rPr>
      </w:pPr>
      <w:r>
        <w:rPr>
          <w:rFonts w:cs="Arial" w:ascii="Arial" w:hAnsi="Arial"/>
          <w:sz w:val="24"/>
          <w:szCs w:val="24"/>
        </w:rPr>
        <w:t>Willingness to complete Business Admin Level 3 qualification</w:t>
      </w:r>
    </w:p>
    <w:p>
      <w:pPr>
        <w:pStyle w:val="Normal"/>
        <w:spacing w:lineRule="auto" w:line="240" w:before="0" w:after="0"/>
        <w:ind w:left="720" w:right="0" w:hanging="0"/>
        <w:rPr>
          <w:rFonts w:ascii="Arial" w:hAnsi="Arial" w:cs="Arial"/>
          <w:bCs/>
          <w:sz w:val="24"/>
          <w:szCs w:val="24"/>
        </w:rPr>
      </w:pPr>
      <w:r>
        <w:rPr>
          <w:rFonts w:cs="Arial" w:ascii="Arial" w:hAnsi="Arial"/>
          <w:bCs/>
          <w:sz w:val="24"/>
          <w:szCs w:val="24"/>
        </w:rPr>
      </w:r>
    </w:p>
    <w:p>
      <w:pPr>
        <w:pStyle w:val="Normal"/>
        <w:rPr>
          <w:rFonts w:ascii="Arial" w:hAnsi="Arial" w:cs="Arial"/>
          <w:bCs/>
          <w:sz w:val="24"/>
          <w:szCs w:val="24"/>
        </w:rPr>
      </w:pPr>
      <w:r>
        <w:rPr>
          <w:rFonts w:cs="Arial" w:ascii="Arial" w:hAnsi="Arial"/>
          <w:bCs/>
          <w:sz w:val="24"/>
          <w:szCs w:val="24"/>
        </w:rPr>
      </w:r>
    </w:p>
    <w:p>
      <w:pPr>
        <w:pStyle w:val="Normal"/>
        <w:rPr/>
      </w:pPr>
      <w:r>
        <w:rPr>
          <w:b/>
          <w:bCs/>
        </w:rPr>
        <w:t xml:space="preserve">NB. - Any candidate that meets the criteria of our </w:t>
      </w:r>
      <w:r>
        <w:rPr>
          <w:rStyle w:val="InternetLink"/>
          <w:b/>
          <w:bCs/>
        </w:rPr>
        <w:t>Guaranteed Assessment Scheme</w:t>
      </w:r>
      <w:r>
        <w:rPr>
          <w:b/>
          <w:bCs/>
        </w:rPr>
        <w:t xml:space="preserve"> and meets the essential criteria of the role, will be guaranteed the first stage of assessment (whether that is an interview or another assessment, as appropriate).</w:t>
      </w:r>
    </w:p>
    <w:p>
      <w:pPr>
        <w:pStyle w:val="Normal"/>
        <w:rPr>
          <w:b/>
          <w:b/>
          <w:bCs/>
        </w:rPr>
      </w:pPr>
      <w:r>
        <w:rPr>
          <w:b/>
          <w:bCs/>
        </w:rPr>
      </w:r>
    </w:p>
    <w:p>
      <w:pPr>
        <w:pStyle w:val="Normal"/>
        <w:rPr>
          <w:b/>
          <w:b/>
          <w:bCs/>
        </w:rPr>
      </w:pPr>
      <w:r>
        <w:rPr>
          <w:b/>
          <w:bCs/>
        </w:rPr>
        <w:t>Our Guaranteed Assessment Scheme supports candidates with disabilities, have previously been in or currently in care, those that are carers, and those who have served in the Armed Forces as a regular, reserve or cadet.</w:t>
      </w:r>
    </w:p>
    <w:p>
      <w:pPr>
        <w:pStyle w:val="Normal"/>
        <w:widowControl/>
        <w:bidi w:val="0"/>
        <w:spacing w:lineRule="auto" w:line="276" w:before="0" w:after="200"/>
        <w:jc w:val="left"/>
        <w:rPr/>
      </w:pPr>
      <w:r>
        <w:rPr/>
      </w:r>
    </w:p>
    <w:sectPr>
      <w:type w:val="nextPage"/>
      <w:pgSz w:w="11906" w:h="16838"/>
      <w:pgMar w:left="1843"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40" w:before="0" w:after="0"/>
      <w:ind w:left="720" w:right="0" w:hanging="0"/>
      <w:contextualSpacing/>
    </w:pPr>
    <w:rPr>
      <w:rFonts w:ascii="Times New Roman" w:hAnsi="Times New Roman" w:eastAsia="Times New Roman" w:cs="Times New Roman"/>
      <w:sz w:val="24"/>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