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rPr>
      </w:pPr>
      <w:r>
        <w:rPr>
          <w:rFonts w:cs="Arial"/>
          <w:b/>
          <w:bCs/>
          <w:sz w:val="22"/>
          <w:szCs w:val="22"/>
        </w:rPr>
        <w:t>OLDHAM COUNCIL</w:t>
      </w:r>
    </w:p>
    <w:p>
      <w:pPr>
        <w:pStyle w:val="Normal"/>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JOB DESCRIPTION</w:t>
      </w:r>
    </w:p>
    <w:p>
      <w:pPr>
        <w:pStyle w:val="Normal"/>
        <w:jc w:val="center"/>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451"/>
        <w:gridCol w:w="8998"/>
      </w:tblGrid>
      <w:tr>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tcBorders>
              <w:top w:val="single" w:sz="4" w:space="0" w:color="000000"/>
              <w:left w:val="single" w:sz="4" w:space="0" w:color="000000"/>
              <w:bottom w:val="single" w:sz="4" w:space="0" w:color="000000"/>
              <w:right w:val="single" w:sz="4" w:space="0" w:color="000000"/>
            </w:tcBorders>
            <w:shd w:fill="auto" w:val="clear"/>
          </w:tcPr>
          <w:p>
            <w:pPr>
              <w:pStyle w:val="Endnote"/>
              <w:spacing w:lineRule="auto" w:line="256"/>
              <w:rPr>
                <w:rFonts w:ascii="Arial" w:hAnsi="Arial" w:cs="Arial"/>
                <w:sz w:val="22"/>
                <w:szCs w:val="22"/>
              </w:rPr>
            </w:pPr>
            <w:r>
              <w:rPr>
                <w:rFonts w:cs="Arial" w:ascii="Arial" w:hAnsi="Arial"/>
                <w:sz w:val="22"/>
                <w:szCs w:val="22"/>
              </w:rPr>
              <w:t>News and Media Manager</w:t>
            </w:r>
          </w:p>
        </w:tc>
      </w:tr>
    </w:tbl>
    <w:p>
      <w:pPr>
        <w:pStyle w:val="Normal"/>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451"/>
        <w:gridCol w:w="2869"/>
        <w:gridCol w:w="2179"/>
        <w:gridCol w:w="3950"/>
      </w:tblGrid>
      <w:tr>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Corporate Resources</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Communications</w:t>
            </w:r>
          </w:p>
        </w:tc>
      </w:tr>
      <w:tr>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rPr>
            </w:pPr>
            <w:r>
              <w:rPr>
                <w:rFonts w:cs="Arial"/>
              </w:rPr>
              <w:t>8</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11105</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72"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Arial" w:cs="Arial"/>
                <w:color w:val="000000"/>
                <w:sz w:val="22"/>
                <w:szCs w:val="22"/>
              </w:rPr>
            </w:pPr>
            <w:r>
              <w:rPr>
                <w:rFonts w:eastAsia="Arial" w:cs="Arial"/>
                <w:color w:val="000000"/>
                <w:sz w:val="22"/>
                <w:szCs w:val="22"/>
              </w:rPr>
              <w:t>To design, deliver and manage strategic media relations and activity for Oldham Council; in particular developing and delivering proactive media relations activity, to enhance political and Council corporate reputation, and support campaigns including service changes and take-up, behaviour change, awareness and perceptions.</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t>To create and deliver a proactive content and outreach programme across broadcast and online media, and working with colleagues across the Communications function to develop social media content, securing extensive and positive reach and engagement to support the Council’s strategic priorities.</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t>To manage the Council’s proactive and reactive media relations approach, building relationships with key media to secure positive coverage across all print, broadcast and online channels.</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t>To handle reactive media queries effectively and efficiently, skilfully managing Council and political reputation, advising on response content, tone and messaging and understanding how to incorporate key messages into all content.</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t>To act as a subject matter expert; leading and overseeing the delivery of creative and impactful social media and media relations strategies based on key organisational and political priorities.</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bCs/>
                <w:color w:val="000000"/>
                <w:sz w:val="22"/>
                <w:szCs w:val="22"/>
              </w:rPr>
            </w:pPr>
            <w:r>
              <w:rPr>
                <w:rFonts w:eastAsia="Arial" w:cs="Arial"/>
                <w:bCs/>
                <w:color w:val="000000"/>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Endnote"/>
              <w:snapToGrid w:val="false"/>
              <w:jc w:val="both"/>
              <w:rPr>
                <w:rFonts w:ascii="Arial" w:hAnsi="Arial" w:eastAsia="Arial" w:cs="Arial"/>
                <w:color w:val="000000"/>
                <w:sz w:val="22"/>
                <w:szCs w:val="22"/>
              </w:rPr>
            </w:pPr>
            <w:r>
              <w:rPr>
                <w:rFonts w:eastAsia="Arial" w:cs="Arial" w:ascii="Arial" w:hAnsi="Arial"/>
                <w:color w:val="000000"/>
                <w:sz w:val="22"/>
                <w:szCs w:val="22"/>
              </w:rPr>
            </w:r>
          </w:p>
          <w:p>
            <w:pPr>
              <w:pStyle w:val="Normal"/>
              <w:rPr>
                <w:rFonts w:eastAsia="Arial" w:cs="Arial"/>
                <w:color w:val="000000"/>
                <w:sz w:val="22"/>
                <w:szCs w:val="22"/>
              </w:rPr>
            </w:pPr>
            <w:r>
              <w:rPr>
                <w:rFonts w:eastAsia="Arial" w:cs="Arial"/>
                <w:color w:val="000000"/>
                <w:sz w:val="22"/>
                <w:szCs w:val="22"/>
              </w:rPr>
              <w:t>Your work will contribute significantly to Council reputation, and to the success of specific key campaigns including resident awareness, take-up of services, and behavioural change. You will manage the Council’s social media channels, using insight and rigorous evaluation to ensure both organic and paid-for content is of a high quality, is tailored for the audience and is achieving strategic communications objectives, and develop corporate and campaigns-based content strategy</w:t>
            </w:r>
          </w:p>
          <w:p>
            <w:pPr>
              <w:pStyle w:val="Endnote"/>
              <w:jc w:val="both"/>
              <w:rPr>
                <w:rFonts w:ascii="Arial" w:hAnsi="Arial" w:eastAsia="Arial" w:cs="Arial"/>
                <w:color w:val="000000"/>
                <w:sz w:val="22"/>
                <w:szCs w:val="22"/>
              </w:rPr>
            </w:pPr>
            <w:r>
              <w:rPr>
                <w:rFonts w:eastAsia="Arial" w:cs="Arial" w:ascii="Arial" w:hAnsi="Arial"/>
                <w:color w:val="000000"/>
                <w:sz w:val="22"/>
                <w:szCs w:val="22"/>
              </w:rPr>
            </w:r>
          </w:p>
          <w:p>
            <w:pPr>
              <w:pStyle w:val="Endnote"/>
              <w:jc w:val="both"/>
              <w:rPr>
                <w:rFonts w:ascii="Arial" w:hAnsi="Arial" w:eastAsia="Arial" w:cs="Arial"/>
                <w:color w:val="000000"/>
                <w:sz w:val="22"/>
                <w:szCs w:val="22"/>
              </w:rPr>
            </w:pPr>
            <w:r>
              <w:rPr>
                <w:rFonts w:eastAsia="Arial" w:cs="Arial" w:ascii="Arial" w:hAnsi="Arial"/>
                <w:color w:val="000000"/>
                <w:sz w:val="22"/>
                <w:szCs w:val="22"/>
              </w:rPr>
              <w:t xml:space="preserve">To act as a key adviser and for hands on delivery of effective use of external relations, particularly media relations, to meet organisational objectives and challenge where required, to protect overall reputation and brand </w:t>
            </w:r>
          </w:p>
          <w:p>
            <w:pPr>
              <w:pStyle w:val="Normal"/>
              <w:rPr>
                <w:rFonts w:eastAsia="Arial" w:cs="Arial"/>
                <w:sz w:val="22"/>
                <w:szCs w:val="22"/>
              </w:rPr>
            </w:pPr>
            <w:r>
              <w:rPr>
                <w:rFonts w:eastAsia="Arial" w:cs="Arial"/>
                <w:sz w:val="22"/>
                <w:szCs w:val="22"/>
              </w:rPr>
            </w:r>
          </w:p>
          <w:p>
            <w:pPr>
              <w:pStyle w:val="Normal"/>
              <w:rPr>
                <w:sz w:val="22"/>
                <w:szCs w:val="22"/>
              </w:rPr>
            </w:pPr>
            <w:r>
              <w:rPr>
                <w:sz w:val="22"/>
                <w:szCs w:val="22"/>
              </w:rPr>
              <w:t>To lead and deliver issues and crisis management when required, working with the Head of Communications, other departmental colleagues and senior Council corporate and service management and partner services</w:t>
            </w:r>
          </w:p>
          <w:p>
            <w:pPr>
              <w:pStyle w:val="Endnote"/>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eastAsia="Arial" w:cs="Arial"/>
                <w:color w:val="000000"/>
                <w:sz w:val="22"/>
                <w:szCs w:val="22"/>
              </w:rPr>
            </w:pPr>
            <w:r>
              <w:rPr>
                <w:rFonts w:eastAsia="Arial" w:cs="Arial"/>
                <w:color w:val="000000"/>
                <w:sz w:val="22"/>
                <w:szCs w:val="22"/>
              </w:rPr>
              <w:t>To develop and deliver modern and effective communications strategies based on sound insight through proactive content generation and securing positive and extensive coverage through Earned and Shared approaches via proactive media relations, pitching ideas, setting up digital and broadcast opportunities and devising creative content opportunities for local, regional, national and specialist outlets</w:t>
            </w:r>
          </w:p>
          <w:p>
            <w:pPr>
              <w:pStyle w:val="Normal"/>
              <w:ind w:left="720" w:right="0" w:hanging="0"/>
              <w:jc w:val="both"/>
              <w:rPr>
                <w:rFonts w:eastAsia="Arial" w:cs="Arial"/>
                <w:color w:val="000000"/>
                <w:sz w:val="22"/>
                <w:szCs w:val="22"/>
              </w:rPr>
            </w:pPr>
            <w:r>
              <w:rPr>
                <w:rFonts w:eastAsia="Arial" w:cs="Arial"/>
                <w:color w:val="000000"/>
                <w:sz w:val="22"/>
                <w:szCs w:val="22"/>
              </w:rPr>
            </w:r>
          </w:p>
          <w:p>
            <w:pPr>
              <w:pStyle w:val="Endnote"/>
              <w:jc w:val="both"/>
              <w:rPr>
                <w:rFonts w:ascii="Arial" w:hAnsi="Arial" w:eastAsia="Arial" w:cs="Arial"/>
                <w:color w:val="000000"/>
                <w:sz w:val="22"/>
                <w:szCs w:val="22"/>
              </w:rPr>
            </w:pPr>
            <w:r>
              <w:rPr>
                <w:rFonts w:eastAsia="Arial" w:cs="Arial" w:ascii="Arial" w:hAnsi="Arial"/>
                <w:color w:val="000000"/>
                <w:sz w:val="22"/>
                <w:szCs w:val="22"/>
              </w:rPr>
              <w:t xml:space="preserve">To manage the reputation of council services managing reactive issues, crisis and emergencies, and designing proactive solutions to communication problems </w:t>
            </w:r>
          </w:p>
          <w:p>
            <w:pPr>
              <w:pStyle w:val="Endnote"/>
              <w:rPr>
                <w:rFonts w:ascii="Arial" w:hAnsi="Arial" w:eastAsia="Arial" w:cs="Arial"/>
                <w:color w:val="000000"/>
                <w:sz w:val="22"/>
                <w:szCs w:val="22"/>
              </w:rPr>
            </w:pPr>
            <w:r>
              <w:rPr>
                <w:rFonts w:eastAsia="Arial" w:cs="Arial" w:ascii="Arial" w:hAnsi="Arial"/>
                <w:color w:val="000000"/>
                <w:sz w:val="22"/>
                <w:szCs w:val="22"/>
              </w:rPr>
            </w:r>
          </w:p>
          <w:p>
            <w:pPr>
              <w:pStyle w:val="Endnote"/>
              <w:rPr>
                <w:rFonts w:ascii="Arial" w:hAnsi="Arial" w:eastAsia="Arial" w:cs="Arial"/>
                <w:color w:val="000000"/>
                <w:sz w:val="22"/>
                <w:szCs w:val="22"/>
              </w:rPr>
            </w:pPr>
            <w:r>
              <w:rPr>
                <w:rFonts w:eastAsia="Arial" w:cs="Arial" w:ascii="Arial" w:hAnsi="Arial"/>
                <w:color w:val="000000"/>
                <w:sz w:val="22"/>
                <w:szCs w:val="22"/>
              </w:rPr>
              <w:t>To horizon-scan and identify opportunities for proactive communications to a wide range of national, regional, sector, local and stakeholder audiences</w:t>
            </w:r>
          </w:p>
          <w:p>
            <w:pPr>
              <w:pStyle w:val="Endnote"/>
              <w:rPr>
                <w:rFonts w:ascii="Arial" w:hAnsi="Arial" w:eastAsia="Arial" w:cs="Arial"/>
                <w:color w:val="000000"/>
                <w:sz w:val="22"/>
                <w:szCs w:val="22"/>
              </w:rPr>
            </w:pPr>
            <w:r>
              <w:rPr>
                <w:rFonts w:eastAsia="Arial" w:cs="Arial" w:ascii="Arial" w:hAnsi="Arial"/>
                <w:color w:val="000000"/>
                <w:sz w:val="22"/>
                <w:szCs w:val="22"/>
              </w:rPr>
              <w:t xml:space="preserve"> </w:t>
            </w:r>
          </w:p>
          <w:p>
            <w:pPr>
              <w:pStyle w:val="Endnote"/>
              <w:rPr>
                <w:rFonts w:ascii="Arial" w:hAnsi="Arial" w:eastAsia="Arial" w:cs="Arial"/>
                <w:color w:val="000000"/>
                <w:sz w:val="22"/>
                <w:szCs w:val="22"/>
              </w:rPr>
            </w:pPr>
            <w:r>
              <w:rPr>
                <w:rFonts w:eastAsia="Arial" w:cs="Arial" w:ascii="Arial" w:hAnsi="Arial"/>
                <w:color w:val="000000"/>
                <w:sz w:val="22"/>
                <w:szCs w:val="22"/>
              </w:rPr>
              <w:t xml:space="preserve">To lead the promotion and enhancement of the organisation and borough’s reputation among all stakeholders </w:t>
            </w:r>
          </w:p>
          <w:p>
            <w:pPr>
              <w:pStyle w:val="Endnote"/>
              <w:rPr>
                <w:rFonts w:ascii="Arial" w:hAnsi="Arial" w:eastAsia="Arial" w:cs="Arial"/>
                <w:color w:val="000000"/>
                <w:sz w:val="22"/>
                <w:szCs w:val="22"/>
              </w:rPr>
            </w:pPr>
            <w:r>
              <w:rPr>
                <w:rFonts w:eastAsia="Arial" w:cs="Arial" w:ascii="Arial" w:hAnsi="Arial"/>
                <w:color w:val="000000"/>
                <w:sz w:val="22"/>
                <w:szCs w:val="22"/>
              </w:rPr>
            </w:r>
          </w:p>
          <w:p>
            <w:pPr>
              <w:pStyle w:val="Endnote"/>
              <w:rPr>
                <w:rFonts w:ascii="Arial" w:hAnsi="Arial" w:eastAsia="Arial" w:cs="Arial"/>
                <w:color w:val="000000"/>
                <w:sz w:val="22"/>
                <w:szCs w:val="22"/>
              </w:rPr>
            </w:pPr>
            <w:r>
              <w:rPr>
                <w:rFonts w:eastAsia="Arial" w:cs="Arial" w:ascii="Arial" w:hAnsi="Arial"/>
                <w:color w:val="000000"/>
                <w:sz w:val="22"/>
                <w:szCs w:val="22"/>
              </w:rPr>
              <w:t xml:space="preserve">To lead the Council’s social media strategy and manage and maintain its channels, ensuring best practice use of all channels through detailed and regular evaluation, reporting and insight, production of high quality and impactful content, and use of data and modern organic social media channel and content management approaches to secure consistent reach and engagement with target audiences </w:t>
            </w:r>
          </w:p>
          <w:p>
            <w:pPr>
              <w:pStyle w:val="Normal"/>
              <w:rPr>
                <w:rFonts w:eastAsia="Arial" w:cs="Arial"/>
                <w:color w:val="000000"/>
                <w:sz w:val="22"/>
                <w:szCs w:val="22"/>
              </w:rPr>
            </w:pPr>
            <w:r>
              <w:rPr>
                <w:rFonts w:eastAsia="Arial" w:cs="Arial"/>
                <w:color w:val="000000"/>
                <w:sz w:val="22"/>
                <w:szCs w:val="22"/>
              </w:rPr>
            </w:r>
          </w:p>
          <w:p>
            <w:pPr>
              <w:pStyle w:val="Normal"/>
              <w:spacing w:lineRule="auto" w:line="256"/>
              <w:rPr>
                <w:rFonts w:eastAsia="Arial" w:cs="Arial"/>
                <w:color w:val="000000"/>
                <w:sz w:val="22"/>
                <w:szCs w:val="22"/>
              </w:rPr>
            </w:pPr>
            <w:r>
              <w:rPr>
                <w:rFonts w:eastAsia="Arial" w:cs="Arial"/>
                <w:color w:val="000000"/>
                <w:sz w:val="22"/>
                <w:szCs w:val="22"/>
              </w:rPr>
              <w:t>Line management responsibilities</w:t>
            </w:r>
          </w:p>
          <w:p>
            <w:pPr>
              <w:pStyle w:val="Normal"/>
              <w:spacing w:lineRule="auto" w:line="256"/>
              <w:rPr>
                <w:rFonts w:eastAsia="Arial" w:cs="Arial"/>
                <w:color w:val="000000"/>
                <w:sz w:val="22"/>
                <w:szCs w:val="22"/>
              </w:rPr>
            </w:pPr>
            <w:r>
              <w:rPr>
                <w:rFonts w:eastAsia="Arial" w:cs="Arial"/>
                <w:color w:val="000000"/>
                <w:sz w:val="22"/>
                <w:szCs w:val="22"/>
              </w:rPr>
            </w:r>
          </w:p>
          <w:p>
            <w:pPr>
              <w:pStyle w:val="Endnote"/>
              <w:rPr>
                <w:rFonts w:ascii="Arial" w:hAnsi="Arial" w:eastAsia="Arial" w:cs="Arial"/>
                <w:color w:val="000000"/>
                <w:sz w:val="22"/>
                <w:szCs w:val="22"/>
              </w:rPr>
            </w:pPr>
            <w:r>
              <w:rPr>
                <w:rFonts w:eastAsia="Arial" w:cs="Arial" w:ascii="Arial" w:hAnsi="Arial"/>
                <w:color w:val="000000"/>
                <w:sz w:val="22"/>
                <w:szCs w:val="22"/>
              </w:rPr>
              <w:t xml:space="preserve">To use evaluation techniques to monitor success of activity and return on investment on all spend, and effectively manage logging and monitoring systems. </w:t>
            </w:r>
          </w:p>
          <w:p>
            <w:pPr>
              <w:pStyle w:val="Normal"/>
              <w:rPr>
                <w:rFonts w:eastAsia="Arial" w:cs="Arial"/>
                <w:color w:val="000000"/>
                <w:sz w:val="22"/>
                <w:szCs w:val="22"/>
              </w:rPr>
            </w:pPr>
            <w:r>
              <w:rPr>
                <w:rFonts w:eastAsia="Arial" w:cs="Arial"/>
                <w:color w:val="000000"/>
                <w:sz w:val="22"/>
                <w:szCs w:val="22"/>
              </w:rPr>
            </w:r>
          </w:p>
          <w:p>
            <w:pPr>
              <w:pStyle w:val="Endnote"/>
              <w:rPr>
                <w:rFonts w:ascii="Arial" w:hAnsi="Arial" w:eastAsia="Arial" w:cs="Arial"/>
                <w:color w:val="000000"/>
                <w:sz w:val="22"/>
                <w:szCs w:val="22"/>
              </w:rPr>
            </w:pPr>
            <w:r>
              <w:rPr>
                <w:rFonts w:eastAsia="Arial" w:cs="Arial" w:ascii="Arial" w:hAnsi="Arial"/>
                <w:color w:val="000000"/>
                <w:sz w:val="22"/>
                <w:szCs w:val="22"/>
              </w:rPr>
              <w:t>To have an understanding of the law as it relates to communications within local government and, specifically, to make judgements on the appropriateness of council communications under these laws.</w:t>
            </w:r>
          </w:p>
          <w:p>
            <w:pPr>
              <w:pStyle w:val="Normal"/>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522"/>
        <w:gridCol w:w="9927"/>
      </w:tblGrid>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ind w:left="1560" w:right="0" w:hanging="1560"/>
              <w:jc w:val="both"/>
              <w:rPr/>
            </w:pPr>
            <w:r>
              <w:rPr>
                <w:rFonts w:cs="Arial"/>
                <w:b/>
                <w:sz w:val="22"/>
                <w:szCs w:val="22"/>
              </w:rPr>
              <w:t>Contacts:</w:t>
            </w:r>
            <w:r>
              <w:rPr>
                <w:rFonts w:cs="Arial"/>
                <w:sz w:val="22"/>
                <w:szCs w:val="22"/>
              </w:rPr>
              <w:t xml:space="preserve"> </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center"/>
        <w:tblInd w:w="0" w:type="dxa"/>
        <w:tblCellMar>
          <w:top w:w="0" w:type="dxa"/>
          <w:left w:w="108" w:type="dxa"/>
          <w:bottom w:w="0" w:type="dxa"/>
          <w:right w:w="108" w:type="dxa"/>
        </w:tblCellMar>
      </w:tblPr>
      <w:tblGrid>
        <w:gridCol w:w="2106"/>
        <w:gridCol w:w="8343"/>
      </w:tblGrid>
      <w:tr>
        <w:trPr>
          <w:trHeight w:val="518"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External Communications Manager</w:t>
            </w:r>
          </w:p>
        </w:tc>
      </w:tr>
      <w:tr>
        <w:trPr>
          <w:trHeight w:val="517"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News and Media Officer</w:t>
            </w:r>
          </w:p>
          <w:p>
            <w:pPr>
              <w:pStyle w:val="Normal"/>
              <w:rPr>
                <w:rFonts w:cs="Arial"/>
                <w:sz w:val="22"/>
                <w:szCs w:val="22"/>
              </w:rPr>
            </w:pPr>
            <w:r>
              <w:rPr>
                <w:rFonts w:cs="Arial"/>
                <w:sz w:val="22"/>
                <w:szCs w:val="22"/>
              </w:rPr>
              <w:t>Digital Communications and Content Officer</w:t>
            </w:r>
            <w:bookmarkStart w:id="0" w:name="_Hlk95121094"/>
            <w:bookmarkEnd w:id="0"/>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None</w:t>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80"/>
              <w:jc w:val="both"/>
              <w:rPr>
                <w:rFonts w:cs="Arial"/>
                <w:sz w:val="22"/>
                <w:szCs w:val="22"/>
                <w:lang w:val="en-US" w:eastAsia="en-GB"/>
              </w:rPr>
            </w:pPr>
            <w:r>
              <w:rPr>
                <w:rFonts w:cs="Arial"/>
                <w:sz w:val="22"/>
                <w:szCs w:val="22"/>
                <w:lang w:val="en-US" w:eastAsia="en-GB"/>
              </w:rPr>
              <w:t>We have a clear set of values that outline how we do business. We share these Borough-wide with our residents, partners and businesses:</w:t>
            </w:r>
          </w:p>
          <w:p>
            <w:pPr>
              <w:pStyle w:val="Normal"/>
              <w:numPr>
                <w:ilvl w:val="0"/>
                <w:numId w:val="3"/>
              </w:numPr>
              <w:spacing w:before="280" w:after="0"/>
              <w:jc w:val="both"/>
              <w:rPr/>
            </w:pPr>
            <w:r>
              <w:rPr>
                <w:rFonts w:cs="Arial"/>
                <w:b/>
                <w:bCs/>
                <w:sz w:val="22"/>
                <w:szCs w:val="22"/>
                <w:lang w:val="en" w:eastAsia="en-GB"/>
              </w:rPr>
              <w:t>Fairness - </w:t>
            </w:r>
            <w:r>
              <w:rPr>
                <w:rFonts w:cs="Arial"/>
                <w:sz w:val="22"/>
                <w:szCs w:val="22"/>
                <w:lang w:val="en" w:eastAsia="en-GB"/>
              </w:rPr>
              <w:t>We will champion fairness and equality of opportunity and ensure working together brings mutual benefits and the greatest possible added value. We will enable everyone to be involved.</w:t>
            </w:r>
          </w:p>
          <w:p>
            <w:pPr>
              <w:pStyle w:val="Normal"/>
              <w:numPr>
                <w:ilvl w:val="0"/>
                <w:numId w:val="3"/>
              </w:numPr>
              <w:spacing w:before="0" w:after="0"/>
              <w:jc w:val="both"/>
              <w:rPr/>
            </w:pPr>
            <w:r>
              <w:rPr>
                <w:rFonts w:cs="Arial"/>
                <w:b/>
                <w:bCs/>
                <w:sz w:val="22"/>
                <w:szCs w:val="22"/>
                <w:lang w:val="en" w:eastAsia="en-GB"/>
              </w:rPr>
              <w:t>Openness - </w:t>
            </w:r>
            <w:r>
              <w:rPr>
                <w:rFonts w:cs="Arial"/>
                <w:sz w:val="22"/>
                <w:szCs w:val="22"/>
                <w:lang w:val="en" w:eastAsia="en-GB"/>
              </w:rPr>
              <w:t>We will be open and honest in our actions and communications. We will take decisions in a transparent way and at the most local level possible.</w:t>
            </w:r>
          </w:p>
          <w:p>
            <w:pPr>
              <w:pStyle w:val="Normal"/>
              <w:numPr>
                <w:ilvl w:val="0"/>
                <w:numId w:val="3"/>
              </w:numPr>
              <w:spacing w:before="0" w:after="0"/>
              <w:jc w:val="both"/>
              <w:rPr/>
            </w:pPr>
            <w:r>
              <w:rPr>
                <w:rFonts w:cs="Arial"/>
                <w:b/>
                <w:bCs/>
                <w:sz w:val="22"/>
                <w:szCs w:val="22"/>
                <w:lang w:val="en-US" w:eastAsia="en-GB"/>
              </w:rPr>
              <w:t>Responsibility - </w:t>
            </w:r>
            <w:r>
              <w:rPr>
                <w:rFonts w:cs="Arial"/>
                <w:sz w:val="22"/>
                <w:szCs w:val="22"/>
                <w:lang w:val="en-US" w:eastAsia="en-GB"/>
              </w:rPr>
              <w:t>We take responsibility for, and answer to our actions. We will encourage people to take responsibility for themselves and their actions. Mutual benefits go hand-in-hand with mutual obligations.</w:t>
            </w:r>
          </w:p>
          <w:p>
            <w:pPr>
              <w:pStyle w:val="Normal"/>
              <w:numPr>
                <w:ilvl w:val="0"/>
                <w:numId w:val="3"/>
              </w:numPr>
              <w:spacing w:before="0" w:after="0"/>
              <w:jc w:val="both"/>
              <w:rPr/>
            </w:pPr>
            <w:r>
              <w:rPr>
                <w:rFonts w:cs="Arial"/>
                <w:b/>
                <w:bCs/>
                <w:sz w:val="22"/>
                <w:szCs w:val="22"/>
                <w:lang w:val="en" w:eastAsia="en-GB"/>
              </w:rPr>
              <w:t>Working together - </w:t>
            </w:r>
            <w:r>
              <w:rPr>
                <w:rFonts w:cs="Arial"/>
                <w:sz w:val="22"/>
                <w:szCs w:val="22"/>
                <w:lang w:val="en" w:eastAsia="en-GB"/>
              </w:rPr>
              <w:t>We will work together and support each other in achieving common goals, making sure the environment is in place for self-help.</w:t>
            </w:r>
          </w:p>
          <w:p>
            <w:pPr>
              <w:pStyle w:val="Normal"/>
              <w:numPr>
                <w:ilvl w:val="0"/>
                <w:numId w:val="3"/>
              </w:numPr>
              <w:spacing w:before="0" w:after="0"/>
              <w:jc w:val="both"/>
              <w:rPr/>
            </w:pPr>
            <w:r>
              <w:rPr>
                <w:rFonts w:cs="Arial"/>
                <w:b/>
                <w:bCs/>
                <w:sz w:val="22"/>
                <w:szCs w:val="22"/>
                <w:lang w:val="en-US" w:eastAsia="en-GB"/>
              </w:rPr>
              <w:t>Accountability - </w:t>
            </w:r>
            <w:r>
              <w:rPr>
                <w:rFonts w:cs="Arial"/>
                <w:sz w:val="22"/>
                <w:szCs w:val="22"/>
                <w:lang w:val="en-US" w:eastAsia="en-GB"/>
              </w:rPr>
              <w:t>We recognise and act upon the impact of our actions on others and hold ourselves accountable to our stakeholders.</w:t>
            </w:r>
          </w:p>
          <w:p>
            <w:pPr>
              <w:pStyle w:val="Normal"/>
              <w:numPr>
                <w:ilvl w:val="0"/>
                <w:numId w:val="3"/>
              </w:numPr>
              <w:spacing w:before="0" w:after="0"/>
              <w:jc w:val="both"/>
              <w:rPr/>
            </w:pPr>
            <w:r>
              <w:rPr>
                <w:rFonts w:cs="Arial"/>
                <w:b/>
                <w:bCs/>
                <w:sz w:val="22"/>
                <w:szCs w:val="22"/>
                <w:lang w:val="en-US" w:eastAsia="en-GB"/>
              </w:rPr>
              <w:t>Respect - </w:t>
            </w:r>
            <w:r>
              <w:rPr>
                <w:rFonts w:cs="Arial"/>
                <w:sz w:val="22"/>
                <w:szCs w:val="22"/>
                <w:lang w:val="en-US" w:eastAsia="en-GB"/>
              </w:rPr>
              <w:t>We recognise and welcome different views and treat each other with dignity and respect.</w:t>
            </w:r>
          </w:p>
          <w:p>
            <w:pPr>
              <w:pStyle w:val="Normal"/>
              <w:numPr>
                <w:ilvl w:val="0"/>
                <w:numId w:val="3"/>
              </w:numPr>
              <w:spacing w:before="0" w:after="280"/>
              <w:jc w:val="both"/>
              <w:rPr/>
            </w:pPr>
            <w:r>
              <w:rPr>
                <w:rFonts w:cs="Arial"/>
                <w:b/>
                <w:bCs/>
                <w:sz w:val="22"/>
                <w:szCs w:val="22"/>
                <w:lang w:val="en" w:eastAsia="en-GB"/>
              </w:rPr>
              <w:t>Democracy - </w:t>
            </w:r>
            <w:r>
              <w:rPr>
                <w:rFonts w:cs="Arial"/>
                <w:sz w:val="22"/>
                <w:szCs w:val="22"/>
                <w:lang w:val="en" w:eastAsia="en-GB"/>
              </w:rPr>
              <w:t>We believe and act within the principles of democracy and promote these across the borough. </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Internally we have translated these values into five Co-operative behaviours which outline the priority areas of focus for staff at all levels.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Work with a Resident Focus</w:t>
            </w:r>
          </w:p>
          <w:p>
            <w:pPr>
              <w:pStyle w:val="Normal"/>
              <w:numPr>
                <w:ilvl w:val="0"/>
                <w:numId w:val="2"/>
              </w:numPr>
              <w:rPr>
                <w:rFonts w:cs="Arial"/>
                <w:sz w:val="22"/>
                <w:szCs w:val="22"/>
              </w:rPr>
            </w:pPr>
            <w:r>
              <w:rPr>
                <w:rFonts w:cs="Arial"/>
                <w:sz w:val="22"/>
                <w:szCs w:val="22"/>
              </w:rPr>
              <w:t>Support Local Leaders</w:t>
            </w:r>
          </w:p>
          <w:p>
            <w:pPr>
              <w:pStyle w:val="Normal"/>
              <w:numPr>
                <w:ilvl w:val="0"/>
                <w:numId w:val="2"/>
              </w:numPr>
              <w:rPr>
                <w:rFonts w:cs="Arial"/>
                <w:sz w:val="22"/>
                <w:szCs w:val="22"/>
              </w:rPr>
            </w:pPr>
            <w:r>
              <w:rPr>
                <w:rFonts w:cs="Arial"/>
                <w:sz w:val="22"/>
                <w:szCs w:val="22"/>
              </w:rPr>
              <w:t>Committed to the Borough</w:t>
            </w:r>
          </w:p>
          <w:p>
            <w:pPr>
              <w:pStyle w:val="Normal"/>
              <w:numPr>
                <w:ilvl w:val="0"/>
                <w:numId w:val="2"/>
              </w:numPr>
              <w:rPr>
                <w:rFonts w:cs="Arial"/>
                <w:sz w:val="22"/>
                <w:szCs w:val="22"/>
              </w:rPr>
            </w:pPr>
            <w:r>
              <w:rPr>
                <w:rFonts w:cs="Arial"/>
                <w:sz w:val="22"/>
                <w:szCs w:val="22"/>
              </w:rPr>
              <w:t>Take Ownership and Drive Change</w:t>
            </w:r>
          </w:p>
          <w:p>
            <w:pPr>
              <w:pStyle w:val="Normal"/>
              <w:numPr>
                <w:ilvl w:val="0"/>
                <w:numId w:val="2"/>
              </w:numPr>
              <w:rPr>
                <w:rFonts w:cs="Arial"/>
                <w:sz w:val="22"/>
                <w:szCs w:val="22"/>
              </w:rPr>
            </w:pPr>
            <w:r>
              <w:rPr>
                <w:rFonts w:cs="Arial"/>
                <w:sz w:val="22"/>
                <w:szCs w:val="22"/>
              </w:rPr>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Greater.Jobs pages.</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March 2024</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Jeni Harvey</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Head of Communications and Research</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June/July 2024 – reviewed and rewritten</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David Rose</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Interim Head of Communications and Research</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 and amended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September 2024</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Smyth Harper</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Interim Head of Communications</w:t>
            </w:r>
          </w:p>
        </w:tc>
      </w:tr>
    </w:tbl>
    <w:p>
      <w:pPr>
        <w:pStyle w:val="Normal"/>
        <w:jc w:val="center"/>
        <w:rPr>
          <w:rFonts w:cs="Arial"/>
          <w:b/>
          <w:b/>
          <w:bCs/>
          <w:sz w:val="22"/>
          <w:szCs w:val="22"/>
        </w:rPr>
      </w:pPr>
      <w:r>
        <w:br w:type="page"/>
      </w:r>
      <w:r>
        <w:rPr>
          <w:rFonts w:cs="Arial"/>
          <w:b/>
          <w:bCs/>
          <w:sz w:val="22"/>
          <w:szCs w:val="22"/>
        </w:rPr>
        <w:t>OLDHAM COUNCIL</w:t>
      </w:r>
    </w:p>
    <w:p>
      <w:pPr>
        <w:pStyle w:val="Normal"/>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PERSON SPECIFICATION</w:t>
      </w:r>
    </w:p>
    <w:p>
      <w:pPr>
        <w:pStyle w:val="Normal"/>
        <w:rPr>
          <w:rFonts w:cs="Arial"/>
          <w:bCs/>
          <w:sz w:val="22"/>
          <w:szCs w:val="22"/>
        </w:rPr>
      </w:pPr>
      <w:r>
        <w:rPr>
          <w:rFonts w:cs="Arial"/>
          <w:bCs/>
          <w:sz w:val="22"/>
          <w:szCs w:val="22"/>
        </w:rPr>
      </w:r>
    </w:p>
    <w:p>
      <w:pPr>
        <w:pStyle w:val="Endnote"/>
        <w:rPr>
          <w:rFonts w:ascii="Arial" w:hAnsi="Arial" w:cs="Arial"/>
          <w:b/>
          <w:b/>
          <w:bCs/>
          <w:sz w:val="22"/>
          <w:szCs w:val="22"/>
        </w:rPr>
      </w:pPr>
      <w:r>
        <w:rPr>
          <w:rFonts w:cs="Arial" w:ascii="Arial" w:hAnsi="Arial"/>
          <w:b/>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News and Media Manager</w:t>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799"/>
        <w:gridCol w:w="3960"/>
        <w:gridCol w:w="3060"/>
        <w:gridCol w:w="1630"/>
      </w:tblGrid>
      <w:tr>
        <w:trPr>
          <w:trHeight w:val="1000" w:hRule="atLeast"/>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left" w:pos="720" w:leader="none"/>
              </w:tabs>
              <w:rPr>
                <w:rFonts w:eastAsia="Arial" w:cs="Arial"/>
                <w:color w:val="000000"/>
                <w:sz w:val="22"/>
                <w:szCs w:val="22"/>
              </w:rPr>
            </w:pPr>
            <w:r>
              <w:rPr>
                <w:rFonts w:eastAsia="Arial" w:cs="Arial"/>
                <w:color w:val="000000"/>
                <w:sz w:val="22"/>
                <w:szCs w:val="22"/>
              </w:rPr>
              <w:t>Educated to degree level in relevant field or equivalent professional experience in communications or journalism</w:t>
            </w:r>
          </w:p>
          <w:p>
            <w:pPr>
              <w:pStyle w:val="Header"/>
              <w:tabs>
                <w:tab w:val="clear" w:pos="4153"/>
                <w:tab w:val="clear" w:pos="8306"/>
              </w:tabs>
              <w:spacing w:lineRule="auto" w:line="256"/>
              <w:rPr>
                <w:rFonts w:eastAsia="Arial" w:cs="Arial"/>
                <w:color w:val="000000"/>
              </w:rPr>
            </w:pPr>
            <w:r>
              <w:rPr>
                <w:rFonts w:eastAsia="Arial" w:cs="Arial"/>
                <w:color w:val="000000"/>
              </w:rPr>
            </w:r>
          </w:p>
          <w:p>
            <w:pPr>
              <w:pStyle w:val="Normal"/>
              <w:rPr>
                <w:rFonts w:eastAsia="Arial" w:cs="Arial"/>
                <w:color w:val="000000"/>
                <w:sz w:val="22"/>
                <w:szCs w:val="22"/>
              </w:rPr>
            </w:pPr>
            <w:r>
              <w:rPr>
                <w:rFonts w:eastAsia="Arial" w:cs="Arial"/>
                <w:color w:val="000000"/>
                <w:sz w:val="22"/>
                <w:szCs w:val="22"/>
              </w:rPr>
            </w:r>
          </w:p>
          <w:p>
            <w:pPr>
              <w:pStyle w:val="Header"/>
              <w:tabs>
                <w:tab w:val="left" w:pos="720" w:leader="none"/>
                <w:tab w:val="center" w:pos="4153" w:leader="none"/>
                <w:tab w:val="right" w:pos="8306" w:leader="none"/>
              </w:tabs>
              <w:rPr>
                <w:rFonts w:eastAsia="Arial" w:cs="Arial"/>
                <w:color w:val="000000"/>
                <w:szCs w:val="22"/>
              </w:rPr>
            </w:pPr>
            <w:r>
              <w:rPr>
                <w:rFonts w:eastAsia="Arial" w:cs="Arial"/>
                <w:color w:val="000000"/>
                <w:szCs w:val="22"/>
              </w:rPr>
              <w:t>Evidence of continuous professional development</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Header"/>
              <w:rPr>
                <w:rFonts w:eastAsia="Arial" w:cs="Arial"/>
                <w:color w:val="000000"/>
              </w:rPr>
            </w:pPr>
            <w:r>
              <w:rPr>
                <w:rFonts w:eastAsia="Arial" w:cs="Arial"/>
                <w:color w:val="000000"/>
              </w:rPr>
              <w:t>Membership of a relevant professional body such as CIPR or PRCA.</w:t>
            </w:r>
          </w:p>
          <w:p>
            <w:pPr>
              <w:pStyle w:val="Header"/>
              <w:rPr>
                <w:rFonts w:eastAsia="Arial" w:cs="Arial"/>
                <w:color w:val="000000"/>
              </w:rPr>
            </w:pPr>
            <w:r>
              <w:rPr>
                <w:rFonts w:eastAsia="Arial" w:cs="Arial"/>
                <w:color w:val="000000"/>
              </w:rPr>
            </w:r>
          </w:p>
          <w:p>
            <w:pPr>
              <w:pStyle w:val="Header"/>
              <w:rPr>
                <w:rFonts w:eastAsia="Arial" w:cs="Arial"/>
                <w:color w:val="000000"/>
              </w:rPr>
            </w:pPr>
            <w:r>
              <w:rPr>
                <w:rFonts w:eastAsia="Arial" w:cs="Arial"/>
                <w:color w:val="000000"/>
              </w:rPr>
              <w:t>Relevant professional qualification</w:t>
            </w:r>
          </w:p>
          <w:p>
            <w:pPr>
              <w:pStyle w:val="Header"/>
              <w:tabs>
                <w:tab w:val="clear" w:pos="4153"/>
                <w:tab w:val="clear" w:pos="8306"/>
              </w:tabs>
              <w:rPr>
                <w:rFonts w:cs="Arial"/>
              </w:rPr>
            </w:pPr>
            <w:r>
              <w:rPr>
                <w:rFonts w:cs="Arial"/>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Endnote"/>
              <w:jc w:val="center"/>
              <w:rPr>
                <w:rFonts w:ascii="Arial" w:hAnsi="Arial" w:cs="Arial"/>
                <w:sz w:val="22"/>
                <w:szCs w:val="22"/>
              </w:rPr>
            </w:pPr>
            <w:r>
              <w:rPr>
                <w:rFonts w:cs="Arial" w:ascii="Arial" w:hAnsi="Arial"/>
                <w:sz w:val="22"/>
                <w:szCs w:val="22"/>
              </w:rPr>
              <w:t>Application</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eastAsia="Arial" w:cs="Arial"/>
                <w:color w:val="000000"/>
                <w:sz w:val="22"/>
                <w:szCs w:val="22"/>
              </w:rPr>
            </w:pPr>
            <w:r>
              <w:rPr>
                <w:rFonts w:eastAsia="Arial" w:cs="Arial"/>
                <w:color w:val="000000"/>
                <w:sz w:val="22"/>
                <w:szCs w:val="22"/>
              </w:rPr>
              <w:t>Experience of developing and delivery successful proactive media relations, digital and social media campaigns and strategies in a complex organisation.</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t>Experience of advising and creating content and stories to bring campaigns and corporate/service/political issues to life through people and securing positive coverage, reach and perception</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t>Experience of developing relationships with local, regional, national and trade media to influence opinion and secure positive coverage</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sz w:val="22"/>
                <w:szCs w:val="22"/>
              </w:rPr>
            </w:pPr>
            <w:r>
              <w:rPr>
                <w:rFonts w:eastAsia="Arial" w:cs="Arial"/>
                <w:sz w:val="22"/>
                <w:szCs w:val="22"/>
              </w:rPr>
              <w:t>Experience of using social media to creatively and effectively with limited budgets to promote an employer’s brand/ online presence and build engagement</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t>Experience of handling sensitive and confidential information and making judgements about how best to utilise that information to manage the organisation’s reputation</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Experience of working in a political /public sector environment</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advising senior managers and/or politicians on proactive and reactive approaches to media relations and social media</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t>Experience of line managing one or more staff to effectively deliver campaigns and tactical activity</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t xml:space="preserve">Evidence of successful resource and financial management, including evidence of managing project budgets  </w:t>
            </w:r>
          </w:p>
          <w:p>
            <w:pPr>
              <w:pStyle w:val="Normal"/>
              <w:rPr>
                <w:rFonts w:eastAsia="Arial" w:cs="Arial"/>
                <w:color w:val="808080"/>
                <w:sz w:val="22"/>
                <w:szCs w:val="22"/>
              </w:rPr>
            </w:pPr>
            <w:r>
              <w:rPr>
                <w:rFonts w:eastAsia="Arial" w:cs="Arial"/>
                <w:color w:val="808080"/>
                <w:sz w:val="22"/>
                <w:szCs w:val="22"/>
              </w:rPr>
            </w:r>
          </w:p>
          <w:p>
            <w:pPr>
              <w:pStyle w:val="Normal"/>
              <w:rPr>
                <w:rFonts w:eastAsia="Arial" w:cs="Arial"/>
                <w:color w:val="000000"/>
                <w:sz w:val="22"/>
                <w:szCs w:val="22"/>
              </w:rPr>
            </w:pPr>
            <w:r>
              <w:rPr>
                <w:rFonts w:eastAsia="Arial" w:cs="Arial"/>
                <w:color w:val="000000"/>
                <w:sz w:val="22"/>
                <w:szCs w:val="22"/>
              </w:rPr>
              <w:t xml:space="preserve">Demonstrable experience in using insight to shape messaging and activity that changes behaviours and views or drives outcomes, and using evaluation to monitor success against those campaigns </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Application/ Interview</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eastAsia="Arial" w:cs="Arial"/>
                <w:color w:val="000000"/>
                <w:sz w:val="22"/>
                <w:szCs w:val="22"/>
              </w:rPr>
            </w:pPr>
            <w:r>
              <w:rPr>
                <w:rFonts w:eastAsia="Arial" w:cs="Arial"/>
                <w:color w:val="000000"/>
                <w:sz w:val="22"/>
                <w:szCs w:val="22"/>
              </w:rPr>
              <w:t>Ability to develop creative and strategic PR ideas and content to complement and support successful campaigns and achieving political and corporate positive reputation</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t xml:space="preserve">Ability to influence and shape responses and approaches to gain senior leadership agreement on issues relating to reputation management and effective communication  </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t xml:space="preserve">Excellent oral and written communication skills with the ability to produce clear, concise messaging and explain complex information </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t>Ability to interpret and analyse customer / resident insight and engagement outputs to help shape policy, messaging and approaches</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t xml:space="preserve">Ability to work effectively and manage communications in a crisis or emergency situation </w:t>
            </w:r>
          </w:p>
          <w:p>
            <w:pPr>
              <w:pStyle w:val="Normal"/>
              <w:rPr>
                <w:rFonts w:eastAsia="Arial" w:cs="Arial"/>
                <w:color w:val="000000"/>
                <w:sz w:val="22"/>
                <w:szCs w:val="22"/>
              </w:rPr>
            </w:pPr>
            <w:r>
              <w:rPr>
                <w:rFonts w:eastAsia="Arial" w:cs="Arial"/>
                <w:color w:val="000000"/>
                <w:sz w:val="22"/>
                <w:szCs w:val="22"/>
              </w:rPr>
            </w:r>
          </w:p>
          <w:p>
            <w:pPr>
              <w:pStyle w:val="Normal"/>
              <w:rPr>
                <w:rFonts w:eastAsia="Arial" w:cs="Arial"/>
                <w:color w:val="000000"/>
                <w:sz w:val="22"/>
                <w:szCs w:val="22"/>
              </w:rPr>
            </w:pPr>
            <w:r>
              <w:rPr>
                <w:rFonts w:eastAsia="Arial" w:cs="Arial"/>
                <w:color w:val="000000"/>
                <w:sz w:val="22"/>
                <w:szCs w:val="22"/>
              </w:rPr>
              <w:t>Able to work through problems, evaluate risks and offer practical solutions</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Skilled at navigating through complex issues and relationships understanding varied perspectives and influencers </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Application/ Interview</w:t>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eastAsia="Arial" w:cs="Arial"/>
                <w:color w:val="000000"/>
                <w:sz w:val="22"/>
                <w:szCs w:val="22"/>
                <w:lang w:val="en-US"/>
              </w:rPr>
            </w:pPr>
            <w:r>
              <w:rPr>
                <w:rFonts w:eastAsia="Arial" w:cs="Arial"/>
                <w:color w:val="000000"/>
                <w:sz w:val="22"/>
                <w:szCs w:val="22"/>
                <w:lang w:val="en-US"/>
              </w:rPr>
              <w:t xml:space="preserve">Expert knowledge in communications and social media approaches and principles </w:t>
            </w:r>
          </w:p>
          <w:p>
            <w:pPr>
              <w:pStyle w:val="Normal"/>
              <w:ind w:left="360" w:right="0" w:hanging="0"/>
              <w:rPr>
                <w:rFonts w:eastAsia="Arial" w:cs="Arial"/>
                <w:color w:val="000000"/>
                <w:sz w:val="22"/>
                <w:szCs w:val="22"/>
                <w:lang w:val="en-US"/>
              </w:rPr>
            </w:pPr>
            <w:r>
              <w:rPr>
                <w:rFonts w:eastAsia="Arial" w:cs="Arial"/>
                <w:color w:val="000000"/>
                <w:sz w:val="22"/>
                <w:szCs w:val="22"/>
                <w:lang w:val="en-US"/>
              </w:rPr>
            </w:r>
          </w:p>
          <w:p>
            <w:pPr>
              <w:pStyle w:val="Normal"/>
              <w:rPr>
                <w:rFonts w:eastAsia="Arial" w:cs="Arial"/>
                <w:color w:val="000000"/>
                <w:sz w:val="22"/>
                <w:szCs w:val="22"/>
                <w:lang w:val="en-US"/>
              </w:rPr>
            </w:pPr>
            <w:r>
              <w:rPr>
                <w:rFonts w:eastAsia="Arial" w:cs="Arial"/>
                <w:color w:val="000000"/>
                <w:sz w:val="22"/>
                <w:szCs w:val="22"/>
                <w:lang w:val="en-US"/>
              </w:rPr>
              <w:t>Knowledge of media law</w:t>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rPr>
                <w:rFonts w:eastAsia="Arial" w:cs="Arial"/>
                <w:color w:val="000000"/>
                <w:sz w:val="22"/>
                <w:szCs w:val="22"/>
                <w:lang w:val="en-US"/>
              </w:rPr>
            </w:pPr>
            <w:r>
              <w:rPr>
                <w:rFonts w:eastAsia="Arial" w:cs="Arial"/>
                <w:color w:val="000000"/>
                <w:sz w:val="22"/>
                <w:szCs w:val="22"/>
                <w:lang w:val="en-US"/>
              </w:rPr>
              <w:t>Knowledge of the politically sensitive environment in which local authorities operate, including the role of locally elected politicians</w:t>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Application/ Interview</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overflowPunct w:val="true"/>
              <w:textAlignment w:val="baseline"/>
              <w:rPr>
                <w:rFonts w:eastAsia="Arial" w:cs="Arial"/>
                <w:color w:val="000000"/>
                <w:sz w:val="22"/>
                <w:szCs w:val="22"/>
              </w:rPr>
            </w:pPr>
            <w:r>
              <w:rPr>
                <w:rFonts w:eastAsia="Arial" w:cs="Arial"/>
                <w:color w:val="000000"/>
                <w:sz w:val="22"/>
                <w:szCs w:val="22"/>
              </w:rPr>
              <w:t>Able to travel to different sites across the borough and regionally</w:t>
            </w:r>
          </w:p>
          <w:p>
            <w:pPr>
              <w:pStyle w:val="Normal"/>
              <w:overflowPunct w:val="true"/>
              <w:textAlignment w:val="baseline"/>
              <w:rPr>
                <w:rFonts w:eastAsia="Arial" w:cs="Arial"/>
                <w:color w:val="000000"/>
                <w:sz w:val="22"/>
                <w:szCs w:val="22"/>
              </w:rPr>
            </w:pPr>
            <w:r>
              <w:rPr>
                <w:rFonts w:eastAsia="Arial" w:cs="Arial"/>
                <w:color w:val="000000"/>
                <w:sz w:val="22"/>
                <w:szCs w:val="22"/>
              </w:rPr>
            </w:r>
          </w:p>
          <w:p>
            <w:pPr>
              <w:pStyle w:val="Normal"/>
              <w:overflowPunct w:val="true"/>
              <w:textAlignment w:val="baseline"/>
              <w:rPr>
                <w:rFonts w:eastAsia="Arial" w:cs="Arial"/>
                <w:color w:val="000000"/>
                <w:sz w:val="22"/>
                <w:szCs w:val="22"/>
              </w:rPr>
            </w:pPr>
            <w:r>
              <w:rPr>
                <w:rFonts w:eastAsia="Arial" w:cs="Arial"/>
                <w:color w:val="000000"/>
                <w:sz w:val="22"/>
                <w:szCs w:val="22"/>
              </w:rPr>
              <w:t>Able to be part of the on-call rota for out of hours enquiries and communications support</w:t>
            </w:r>
          </w:p>
          <w:p>
            <w:pPr>
              <w:pStyle w:val="Normal"/>
              <w:overflowPunct w:val="true"/>
              <w:textAlignment w:val="baselin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jc w:val="center"/>
              <w:rPr>
                <w:rFonts w:cs="Arial"/>
                <w:sz w:val="22"/>
                <w:szCs w:val="22"/>
              </w:rPr>
            </w:pPr>
            <w:r>
              <w:rPr>
                <w:rFonts w:cs="Arial"/>
                <w:sz w:val="22"/>
                <w:szCs w:val="22"/>
              </w:rPr>
              <w:t>Interview</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those who are aged 24 or under and have previously been in or currently in care, those that are carers, and those who have served in the Armed Forces as a regular, reserve or cadet.</w:t>
      </w:r>
    </w:p>
    <w:p>
      <w:pPr>
        <w:pStyle w:val="Normal"/>
        <w:jc w:val="both"/>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2026-07-13T13:26:00Z</dcterms:created>
  <dc:creator>OMBC</dc:creator>
  <dc:description/>
  <dc:language>en-US</dc:language>
  <cp:lastModifiedBy>Ian Robinson (HR)</cp:lastModifiedBy>
  <cp:lastPrinted>1995-11-21T17:41:00Z</cp:lastPrinted>
  <dcterms:modified xsi:type="dcterms:W3CDTF">2026-07-13T13:26:00Z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0x010100236E8E52A0099B4AAAE5F2DC4F0CDF07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