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C6D9F1" w:val="clear"/>
        <w:ind w:left="-142" w:right="-472" w:firstLine="142"/>
        <w:jc w:val="center"/>
        <w:rPr>
          <w:rFonts w:ascii="Avenir Book" w:hAnsi="Avenir Book" w:cs="Avenir Book"/>
          <w:b/>
          <w:b/>
          <w:bCs/>
          <w:sz w:val="28"/>
          <w:szCs w:val="28"/>
          <w:u w:val="single"/>
        </w:rPr>
      </w:pPr>
      <w:r>
        <w:rPr>
          <w:rFonts w:cs="Avenir Book" w:ascii="Avenir Book" w:hAnsi="Avenir Book"/>
          <w:b/>
          <w:bCs/>
          <w:sz w:val="28"/>
          <w:szCs w:val="28"/>
          <w:u w:val="single"/>
        </w:rPr>
        <w:t xml:space="preserve">IVORY FEDERATION </w:t>
      </w:r>
    </w:p>
    <w:p>
      <w:pPr>
        <w:pStyle w:val="Normal"/>
        <w:jc w:val="center"/>
        <w:rPr>
          <w:rFonts w:ascii="Avenir Book" w:hAnsi="Avenir Book" w:cs="Avenir Book"/>
          <w:b/>
          <w:b/>
          <w:bCs/>
          <w:sz w:val="28"/>
          <w:szCs w:val="28"/>
          <w:u w:val="single"/>
        </w:rPr>
      </w:pPr>
      <w:r>
        <w:rPr>
          <w:rFonts w:cs="Avenir Book" w:ascii="Avenir Book" w:hAnsi="Avenir Book"/>
          <w:b/>
          <w:bCs/>
          <w:sz w:val="28"/>
          <w:szCs w:val="28"/>
          <w:u w:val="single"/>
        </w:rPr>
        <w:t>JOB DESCRIPTION &amp; PERSON SPECIFICATION</w:t>
      </w:r>
    </w:p>
    <w:p>
      <w:pPr>
        <w:pStyle w:val="Normal"/>
        <w:jc w:val="center"/>
        <w:rPr>
          <w:rFonts w:ascii="Avenir Book" w:hAnsi="Avenir Book" w:cs="Avenir Book"/>
          <w:b/>
          <w:b/>
          <w:bCs/>
          <w:sz w:val="20"/>
          <w:szCs w:val="20"/>
          <w:u w:val="single"/>
        </w:rPr>
      </w:pPr>
      <w:r>
        <w:rPr>
          <w:rFonts w:cs="Avenir Book" w:ascii="Avenir Book" w:hAnsi="Avenir Book"/>
          <w:b/>
          <w:bCs/>
          <w:sz w:val="20"/>
          <w:szCs w:val="20"/>
          <w:u w:val="single"/>
        </w:rPr>
      </w:r>
    </w:p>
    <w:tbl>
      <w:tblPr>
        <w:tblW w:w="10074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7941"/>
      </w:tblGrid>
      <w:tr>
        <w:trPr>
          <w:cantSplit w:val="true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 xml:space="preserve">JOB TITLE: 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09" w:right="0" w:hanging="0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Playworker</w:t>
            </w:r>
          </w:p>
        </w:tc>
      </w:tr>
      <w:tr>
        <w:trPr>
          <w:cantSplit w:val="true"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 xml:space="preserve">LOCATION:           PROPPS HALL PRIMARY SCHOOL  </w:t>
            </w:r>
          </w:p>
        </w:tc>
      </w:tr>
      <w:tr>
        <w:trPr>
          <w:cantSplit w:val="true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 xml:space="preserve">GRADE:  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09" w:right="0" w:hanging="0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Grade 1    POINT 4 (£12.77 p/h)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134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4"/>
      </w:tblGrid>
      <w:tr>
        <w:trPr/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spacing w:before="0" w:after="0"/>
              <w:contextualSpacing/>
              <w:jc w:val="both"/>
              <w:rPr>
                <w:rFonts w:ascii="Century Gothic" w:hAnsi="Century Gothic" w:cs="Century Gothic"/>
                <w:b/>
                <w:b/>
                <w:bCs/>
                <w:szCs w:val="24"/>
              </w:rPr>
            </w:pPr>
            <w:r>
              <w:rPr>
                <w:rFonts w:cs="Century Gothic" w:ascii="Century Gothic" w:hAnsi="Century Gothic"/>
                <w:b/>
                <w:bCs/>
                <w:szCs w:val="24"/>
              </w:rPr>
              <w:t>JOB PURPOSE</w:t>
            </w:r>
          </w:p>
          <w:p>
            <w:pPr>
              <w:pStyle w:val="Isselectedend"/>
              <w:spacing w:before="280" w:after="280"/>
              <w:rPr>
                <w:rFonts w:ascii="Avenir Book" w:hAnsi="Avenir Book" w:cs="Avenir Book"/>
                <w:color w:val="000000"/>
              </w:rPr>
            </w:pPr>
            <w:r>
              <w:rPr>
                <w:rFonts w:cs="Avenir Book" w:ascii="Avenir Book" w:hAnsi="Avenir Book"/>
                <w:color w:val="000000"/>
              </w:rPr>
              <w:t>The Playworker will support the day-to-day delivery of the school’s Before and After School Club, helping to provide a safe, stimulating and welcoming environment for children aged 4–11 years.</w:t>
            </w:r>
          </w:p>
          <w:p>
            <w:pPr>
              <w:pStyle w:val="Isselectedend"/>
              <w:spacing w:before="280" w:after="280"/>
              <w:rPr>
                <w:rFonts w:ascii="Avenir Book" w:hAnsi="Avenir Book" w:cs="Avenir Book"/>
                <w:color w:val="000000"/>
              </w:rPr>
            </w:pPr>
            <w:r>
              <w:rPr>
                <w:rFonts w:cs="Avenir Book" w:ascii="Avenir Book" w:hAnsi="Avenir Book"/>
                <w:color w:val="000000"/>
              </w:rPr>
              <w:t>The postholder will work as part of the wraparound team to support children’s enjoyment, well-being and positive relationships through engaging play opportunities and activities.</w:t>
            </w:r>
          </w:p>
          <w:p>
            <w:pPr>
              <w:pStyle w:val="NormalWeb"/>
              <w:spacing w:before="280" w:after="280"/>
              <w:rPr>
                <w:rFonts w:ascii="Avenir Book" w:hAnsi="Avenir Book" w:cs="Avenir Book"/>
                <w:color w:val="000000"/>
              </w:rPr>
            </w:pPr>
            <w:r>
              <w:rPr>
                <w:rFonts w:cs="Avenir Book" w:ascii="Avenir Book" w:hAnsi="Avenir Book"/>
                <w:color w:val="000000"/>
              </w:rPr>
              <w:t>The role includes supervising children, supporting activities, promoting inclusion, maintaining positive behaviour and following safeguarding, health &amp; safety and school procedures at all times.</w:t>
            </w:r>
          </w:p>
          <w:p>
            <w:pPr>
              <w:pStyle w:val="NormalWeb"/>
              <w:spacing w:before="28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133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66"/>
      </w:tblGrid>
      <w:tr>
        <w:trPr/>
        <w:tc>
          <w:tcPr>
            <w:tcW w:w="10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  <w:t>KEY TASKS – Service Delivery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>
                <w:rFonts w:ascii="Avenir Book" w:hAnsi="Avenir Book" w:cs="Avenir Book"/>
                <w:color w:val="000000"/>
              </w:rPr>
            </w:pPr>
            <w:r>
              <w:rPr>
                <w:rFonts w:cs="Avenir Book" w:ascii="Avenir Book" w:hAnsi="Avenir Book"/>
                <w:color w:val="000000"/>
              </w:rPr>
              <w:t>Support the delivery of the Wraparound provision, helping to maintain a safe, nurturing and high-quality environment for all children.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2.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/>
            </w:pPr>
            <w:r>
              <w:rPr>
                <w:rFonts w:cs="Avenir Book" w:ascii="Avenir Book" w:hAnsi="Avenir Book"/>
                <w:color w:val="000000"/>
              </w:rPr>
              <w:t>Support the planning and delivery of engaging, age-appropriate and inclusive activities</w:t>
            </w:r>
            <w:r>
              <w:rPr>
                <w:rFonts w:cs="Avenir Book" w:ascii="Avenir Book" w:hAnsi="Avenir Book"/>
                <w:b/>
                <w:color w:val="000000"/>
              </w:rPr>
              <w:t>,</w:t>
            </w:r>
            <w:r>
              <w:rPr>
                <w:rFonts w:cs="Avenir Book" w:ascii="Avenir Book" w:hAnsi="Avenir Book"/>
                <w:bCs/>
                <w:color w:val="000000"/>
              </w:rPr>
              <w:t xml:space="preserve"> ensuring all children’s needs, abilities, interests and backgrounds are considered.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3.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/>
            </w:pPr>
            <w:r>
              <w:rPr>
                <w:rStyle w:val="Strong"/>
                <w:rFonts w:cs="Avenir Book" w:ascii="Avenir Book" w:hAnsi="Avenir Book"/>
                <w:b w:val="false"/>
                <w:color w:val="000000"/>
              </w:rPr>
              <w:t>Ensure the effective management of behaviour</w:t>
            </w:r>
            <w:r>
              <w:rPr>
                <w:rFonts w:cs="Avenir Book" w:ascii="Avenir Book" w:hAnsi="Avenir Book"/>
                <w:b/>
                <w:color w:val="000000"/>
              </w:rPr>
              <w:t>,</w:t>
            </w:r>
            <w:r>
              <w:rPr>
                <w:rFonts w:cs="Avenir Book" w:ascii="Avenir Book" w:hAnsi="Avenir Book"/>
                <w:bCs/>
                <w:color w:val="000000"/>
              </w:rPr>
              <w:t xml:space="preserve"> using restorative, trauma-informed and positive behaviour approaches, promoting respect, responsibility and cooperation.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4.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>
                <w:rFonts w:ascii="Avenir Book" w:hAnsi="Avenir Book" w:cs="Avenir Book"/>
                <w:color w:val="000000"/>
              </w:rPr>
            </w:pPr>
            <w:r>
              <w:rPr>
                <w:rFonts w:cs="Avenir Book" w:ascii="Avenir Book" w:hAnsi="Avenir Book"/>
                <w:color w:val="000000"/>
              </w:rPr>
              <w:t>Follow school safeguarding procedures, reporting any concerns promptly to the designated safeguarding lead or appropriate member of staff.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5.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/>
            </w:pPr>
            <w:r>
              <w:rPr>
                <w:rStyle w:val="Strong"/>
                <w:rFonts w:cs="Avenir Book" w:ascii="Avenir Book" w:hAnsi="Avenir Book"/>
                <w:b w:val="false"/>
                <w:color w:val="000000"/>
              </w:rPr>
              <w:t>Ensure the safe preparation and serving of snacks</w:t>
            </w:r>
            <w:r>
              <w:rPr>
                <w:rFonts w:cs="Avenir Book" w:ascii="Avenir Book" w:hAnsi="Avenir Book"/>
                <w:b/>
                <w:color w:val="000000"/>
              </w:rPr>
              <w:t>,</w:t>
            </w:r>
            <w:r>
              <w:rPr>
                <w:rFonts w:cs="Avenir Book" w:ascii="Avenir Book" w:hAnsi="Avenir Book"/>
                <w:bCs/>
                <w:color w:val="000000"/>
              </w:rPr>
              <w:t xml:space="preserve"> following allergy, dietary and food-hygiene requirements.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6.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/>
            </w:pPr>
            <w:r>
              <w:rPr>
                <w:rStyle w:val="Strong"/>
                <w:rFonts w:cs="Avenir Book" w:ascii="Avenir Book" w:hAnsi="Avenir Book"/>
                <w:b w:val="false"/>
                <w:color w:val="000000"/>
              </w:rPr>
              <w:t>Monitor children’s well-being and behaviour</w:t>
            </w:r>
            <w:r>
              <w:rPr>
                <w:rFonts w:cs="Avenir Book" w:ascii="Avenir Book" w:hAnsi="Avenir Book"/>
                <w:bCs/>
                <w:color w:val="000000"/>
              </w:rPr>
              <w:t>, responding appropriately to medical, emotional or behavioural needs.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7.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/>
            </w:pPr>
            <w:r>
              <w:rPr>
                <w:rStyle w:val="Strong"/>
                <w:rFonts w:cs="Avenir Book" w:ascii="Avenir Book" w:hAnsi="Avenir Book"/>
                <w:b w:val="false"/>
                <w:color w:val="000000"/>
              </w:rPr>
              <w:t>Carry out first aid duties</w:t>
            </w:r>
            <w:r>
              <w:rPr>
                <w:rFonts w:cs="Avenir Book" w:ascii="Avenir Book" w:hAnsi="Avenir Book"/>
                <w:bCs/>
                <w:color w:val="000000"/>
              </w:rPr>
              <w:t>, ensuring children receive prompt and appropriate care.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8.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/>
            </w:pPr>
            <w:r>
              <w:rPr>
                <w:rFonts w:cs="Avenir Book" w:ascii="Avenir Book" w:hAnsi="Avenir Book"/>
                <w:color w:val="000000"/>
              </w:rPr>
              <w:t>Assist with the set-up and pack-away of equipment and resources</w:t>
            </w:r>
            <w:r>
              <w:rPr>
                <w:rFonts w:cs="Avenir Book" w:ascii="Avenir Book" w:hAnsi="Avenir Book"/>
                <w:b/>
                <w:color w:val="000000"/>
              </w:rPr>
              <w:t>,</w:t>
            </w:r>
            <w:r>
              <w:rPr>
                <w:rFonts w:cs="Avenir Book" w:ascii="Avenir Book" w:hAnsi="Avenir Book"/>
                <w:bCs/>
                <w:color w:val="000000"/>
              </w:rPr>
              <w:t xml:space="preserve"> ensuring the environment is clean, organised, safe and inviting.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9.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ind w:left="33" w:right="0" w:hanging="0"/>
              <w:rPr/>
            </w:pPr>
            <w:r>
              <w:rPr>
                <w:rStyle w:val="Strong"/>
                <w:rFonts w:cs="Avenir Book" w:ascii="Avenir Book" w:hAnsi="Avenir Book"/>
                <w:b w:val="false"/>
                <w:color w:val="000000"/>
              </w:rPr>
              <w:t>Ensure activities and play opportunities comply with relevant health and safety legislation</w:t>
            </w:r>
            <w:r>
              <w:rPr>
                <w:rFonts w:cs="Avenir Book" w:ascii="Avenir Book" w:hAnsi="Avenir Book"/>
                <w:b/>
                <w:color w:val="000000"/>
              </w:rPr>
              <w:t>,</w:t>
            </w:r>
            <w:r>
              <w:rPr>
                <w:rFonts w:cs="Avenir Book" w:ascii="Avenir Book" w:hAnsi="Avenir Book"/>
                <w:bCs/>
                <w:color w:val="000000"/>
              </w:rPr>
              <w:t xml:space="preserve"> </w:t>
            </w:r>
            <w:r>
              <w:rPr>
                <w:rFonts w:cs="Avenir Book" w:ascii="Avenir Book" w:hAnsi="Avenir Book"/>
                <w:color w:val="000000"/>
              </w:rPr>
              <w:t>following health and safety procedures and reporting hazards appropriately</w:t>
            </w:r>
          </w:p>
          <w:p>
            <w:pPr>
              <w:pStyle w:val="NormalWeb"/>
              <w:spacing w:before="280" w:after="0"/>
              <w:ind w:left="33" w:right="0" w:hanging="0"/>
              <w:rPr>
                <w:rFonts w:ascii="Avenir Book" w:hAnsi="Avenir Book" w:cs="Avenir Book"/>
                <w:bCs w:val="false"/>
                <w:color w:val="000000"/>
              </w:rPr>
            </w:pPr>
            <w:r>
              <w:rPr>
                <w:rFonts w:cs="Avenir Book" w:ascii="Avenir Book" w:hAnsi="Avenir Book"/>
                <w:bCs w:val="false"/>
                <w:color w:val="000000"/>
              </w:rPr>
            </w:r>
          </w:p>
        </w:tc>
      </w:tr>
      <w:tr>
        <w:trPr/>
        <w:tc>
          <w:tcPr>
            <w:tcW w:w="101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entury Gothic" w:hAnsi="Century Gothic" w:cs="Century Gothic"/>
                <w:b/>
                <w:b/>
              </w:rPr>
            </w:pPr>
            <w:r>
              <w:rPr>
                <w:rFonts w:cs="Century Gothic" w:ascii="Century Gothic" w:hAnsi="Century Gothic"/>
                <w:b/>
              </w:rPr>
              <w:t>KEY TASKS – Policies &amp; Procedures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10.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Uphold confidentiality, GDPR requirements and professional conduct at all times.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11.</w:t>
            </w:r>
          </w:p>
        </w:tc>
        <w:tc>
          <w:tcPr>
            <w:tcW w:w="95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 xml:space="preserve">To ensure all accidents are recorded in the accident book and the appropriate forms are completed.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133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66"/>
      </w:tblGrid>
      <w:tr>
        <w:trPr>
          <w:cantSplit w:val="true"/>
        </w:trPr>
        <w:tc>
          <w:tcPr>
            <w:tcW w:w="10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2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STANDARD DUTIES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12.</w:t>
            </w:r>
          </w:p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Promote inclusion, equality and diversity, ensuring all children have equal access to activities and opportunities.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13.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Uphold the values and ethos of the Ivory Federation.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14.</w:t>
            </w:r>
          </w:p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Endnote"/>
              <w:rPr>
                <w:rFonts w:ascii="Avenir Book" w:hAnsi="Avenir Book" w:cs="Avenir Book"/>
                <w:szCs w:val="24"/>
              </w:rPr>
            </w:pPr>
            <w:r>
              <w:rPr>
                <w:rFonts w:cs="Avenir Book" w:ascii="Avenir Book" w:hAnsi="Avenir Book"/>
                <w:szCs w:val="24"/>
              </w:rPr>
              <w:t>Implement and adhere to all school policies including safeguarding, behaviour, anti-bullying, attendance, food hygiene and health &amp; safety.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15.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Participate in relevant training and professional development.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16.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 xml:space="preserve">Attend meetings as required 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17.</w:t>
            </w:r>
          </w:p>
        </w:tc>
        <w:tc>
          <w:tcPr>
            <w:tcW w:w="95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 xml:space="preserve">To undertake any other additional duties commensurate with the grade of the post.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134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4"/>
      </w:tblGrid>
      <w:tr>
        <w:trPr/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jc w:val="both"/>
              <w:rPr/>
            </w:pPr>
            <w:r>
              <w:rPr>
                <w:rFonts w:cs="Century Gothic" w:ascii="Century Gothic" w:hAnsi="Century Gothic"/>
                <w:sz w:val="24"/>
              </w:rPr>
              <w:t xml:space="preserve">CONTACTS: </w:t>
            </w:r>
            <w:r>
              <w:rPr>
                <w:rFonts w:cs="Century Gothic" w:ascii="Century Gothic" w:hAnsi="Century Gothic"/>
                <w:b w:val="false"/>
                <w:bCs w:val="false"/>
              </w:rPr>
              <w:t>Pupils, staff ,parents, carers, visitors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133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7450"/>
      </w:tblGrid>
      <w:tr>
        <w:trPr>
          <w:cantSplit w:val="true"/>
        </w:trPr>
        <w:tc>
          <w:tcPr>
            <w:tcW w:w="10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rPr>
                <w:rFonts w:ascii="Century Gothic" w:hAnsi="Century Gothic" w:cs="Century Gothic"/>
                <w:sz w:val="24"/>
              </w:rPr>
            </w:pPr>
            <w:r>
              <w:rPr>
                <w:rFonts w:cs="Century Gothic" w:ascii="Century Gothic" w:hAnsi="Century Gothic"/>
                <w:sz w:val="24"/>
              </w:rPr>
              <w:t>RELATIONSHIP TO OTHER POSTS IN THE DEPARTMENT</w:t>
            </w:r>
          </w:p>
        </w:tc>
      </w:tr>
      <w:tr>
        <w:trPr/>
        <w:tc>
          <w:tcPr>
            <w:tcW w:w="2683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entury Gothic" w:hAnsi="Century Gothic" w:cs="Century Gothic"/>
                <w:b/>
                <w:b/>
              </w:rPr>
            </w:pPr>
            <w:r>
              <w:rPr>
                <w:rFonts w:cs="Century Gothic" w:ascii="Century Gothic" w:hAnsi="Century Gothic"/>
                <w:b/>
              </w:rPr>
              <w:t>Responsible to:</w:t>
            </w:r>
          </w:p>
        </w:tc>
        <w:tc>
          <w:tcPr>
            <w:tcW w:w="745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Endnote"/>
              <w:overflowPunct w:val="false"/>
              <w:textAlignment w:val="auto"/>
              <w:rPr>
                <w:rFonts w:ascii="Century Gothic" w:hAnsi="Century Gothic" w:cs="Century Gothic"/>
                <w:color w:val="000000"/>
                <w:szCs w:val="24"/>
              </w:rPr>
            </w:pPr>
            <w:r>
              <w:rPr>
                <w:rFonts w:cs="Century Gothic" w:ascii="Century Gothic" w:hAnsi="Century Gothic"/>
                <w:color w:val="000000"/>
                <w:szCs w:val="24"/>
              </w:rPr>
              <w:t xml:space="preserve">Senior Leadership </w:t>
            </w:r>
          </w:p>
        </w:tc>
      </w:tr>
      <w:tr>
        <w:trPr/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b/>
              </w:rPr>
            </w:pPr>
            <w:r>
              <w:rPr>
                <w:rFonts w:cs="Century Gothic" w:ascii="Century Gothic" w:hAnsi="Century Gothic"/>
                <w:b/>
              </w:rPr>
            </w:r>
          </w:p>
        </w:tc>
        <w:tc>
          <w:tcPr>
            <w:tcW w:w="745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snapToGrid w:val="false"/>
              <w:rPr>
                <w:rFonts w:ascii="Century Gothic" w:hAnsi="Century Gothic" w:cs="Century Gothic"/>
                <w:b/>
                <w:b/>
              </w:rPr>
            </w:pPr>
            <w:r>
              <w:rPr>
                <w:rFonts w:cs="Century Gothic" w:ascii="Century Gothic" w:hAnsi="Century Gothic"/>
                <w:b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134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4"/>
      </w:tblGrid>
      <w:tr>
        <w:trPr/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rPr>
                <w:rFonts w:ascii="Century Gothic" w:hAnsi="Century Gothic" w:cs="Century Gothic"/>
                <w:sz w:val="24"/>
              </w:rPr>
            </w:pPr>
            <w:r>
              <w:rPr>
                <w:rFonts w:cs="Century Gothic" w:ascii="Century Gothic" w:hAnsi="Century Gothic"/>
                <w:sz w:val="24"/>
              </w:rPr>
              <w:t xml:space="preserve">SPECIAL CONDITIONS </w:t>
            </w:r>
          </w:p>
          <w:p>
            <w:pPr>
              <w:pStyle w:val="Normal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</w:r>
          </w:p>
          <w:p>
            <w:pPr>
              <w:pStyle w:val="Normal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DBS Required – Enhanced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Title"/>
        <w:rPr>
          <w:rFonts w:ascii="Century Gothic" w:hAnsi="Century Gothic" w:cs="Century Gothic"/>
          <w:sz w:val="28"/>
          <w:u w:val="single"/>
        </w:rPr>
      </w:pPr>
      <w:r>
        <w:rPr>
          <w:rFonts w:cs="Century Gothic" w:ascii="Century Gothic" w:hAnsi="Century Gothic"/>
          <w:sz w:val="28"/>
          <w:u w:val="single"/>
        </w:rPr>
        <w:t>PERSON SPECIFICATION</w:t>
      </w:r>
    </w:p>
    <w:p>
      <w:pPr>
        <w:pStyle w:val="Title"/>
        <w:jc w:val="left"/>
        <w:rPr>
          <w:rFonts w:ascii="Century Gothic" w:hAnsi="Century Gothic" w:cs="Century Gothic"/>
          <w:szCs w:val="24"/>
          <w:u w:val="single"/>
        </w:rPr>
      </w:pPr>
      <w:r>
        <w:rPr>
          <w:rFonts w:cs="Century Gothic" w:ascii="Century Gothic" w:hAnsi="Century Gothic"/>
          <w:szCs w:val="24"/>
          <w:u w:val="single"/>
        </w:rPr>
      </w:r>
    </w:p>
    <w:p>
      <w:pPr>
        <w:pStyle w:val="Title"/>
        <w:jc w:val="left"/>
        <w:rPr/>
      </w:pPr>
      <w:r>
        <w:rPr>
          <w:rFonts w:cs="Century Gothic" w:ascii="Century Gothic" w:hAnsi="Century Gothic"/>
          <w:szCs w:val="24"/>
        </w:rPr>
        <w:t xml:space="preserve">Job Title: </w:t>
      </w:r>
      <w:r>
        <w:rPr>
          <w:rFonts w:cs="Century Gothic" w:ascii="Century Gothic" w:hAnsi="Century Gothic"/>
          <w:b w:val="false"/>
          <w:szCs w:val="24"/>
        </w:rPr>
        <w:t>PLAYWORKER</w:t>
      </w:r>
    </w:p>
    <w:p>
      <w:pPr>
        <w:pStyle w:val="Normal"/>
        <w:rPr>
          <w:rFonts w:ascii="Century Gothic" w:hAnsi="Century Gothic" w:cs="Century Gothic"/>
          <w:b/>
          <w:b/>
        </w:rPr>
      </w:pPr>
      <w:r>
        <w:rPr>
          <w:rFonts w:cs="Century Gothic" w:ascii="Century Gothic" w:hAnsi="Century Gothic"/>
          <w:b/>
        </w:rPr>
      </w:r>
    </w:p>
    <w:tbl>
      <w:tblPr>
        <w:tblW w:w="99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3681"/>
        <w:gridCol w:w="2640"/>
        <w:gridCol w:w="1454"/>
      </w:tblGrid>
      <w:tr>
        <w:trPr/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  <w:t>Selection Criteria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  <w:t>Essential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  <w:t>Selection Criteria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  <w:t>Desirable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  <w:t>How Assessed</w:t>
            </w:r>
          </w:p>
        </w:tc>
      </w:tr>
      <w:tr>
        <w:trPr>
          <w:trHeight w:val="2555" w:hRule="atLeast"/>
        </w:trPr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  <w:t>Education &amp; Qualifications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Willingness to work towards NVQ Level 3 qualification in Child Care or Playwork</w:t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Willingness to work towards a paediatric first aid qualification</w:t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Willingness to gain basic Food Hygiene Certificate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NVQ level 3 in childcare or equivalent</w:t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Paediatric first aid qualification</w:t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Web"/>
              <w:spacing w:before="280" w:after="0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Basic Food Hygiene Certificate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b/>
                <w:b/>
                <w:sz w:val="22"/>
                <w:szCs w:val="22"/>
              </w:rPr>
            </w:pPr>
            <w:r>
              <w:rPr>
                <w:rFonts w:cs="Avenir Book" w:ascii="Avenir Book" w:hAnsi="Avenir Boo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</w:tc>
      </w:tr>
      <w:tr>
        <w:trPr>
          <w:trHeight w:val="1943" w:hRule="atLeast"/>
        </w:trPr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  <w:t>Experience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Experience working with children aged 3–11 in an educational, childcare or wraparound setting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Experience planning and leading activities for children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Experience working part of a team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Experience managing behaviour and supporting children with SEMH needs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Experience working in a school environment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0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</w:tc>
      </w:tr>
      <w:tr>
        <w:trPr>
          <w:trHeight w:val="1185" w:hRule="atLeast"/>
        </w:trPr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  <w:t>Skills &amp; Abilities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Strong interpersonal and communication skills with children and adults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Ability to manage behaviour using restorative and positive approaches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280"/>
              <w:rPr>
                <w:rFonts w:ascii="Avenir Book" w:hAnsi="Avenir Book" w:cs="Avenir Book"/>
                <w:color w:val="000000"/>
                <w:sz w:val="22"/>
                <w:szCs w:val="22"/>
              </w:rPr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Ability to support routines and activities effectively</w:t>
            </w:r>
          </w:p>
          <w:p>
            <w:pPr>
              <w:pStyle w:val="NormalWeb"/>
              <w:spacing w:before="28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Ability to maintain accurate records and follow safeguarding procedures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Ability to respond calmly and effectively in emergencies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b/>
                <w:b/>
                <w:sz w:val="22"/>
                <w:szCs w:val="22"/>
              </w:rPr>
            </w:pPr>
            <w:r>
              <w:rPr>
                <w:rFonts w:cs="Avenir Book" w:ascii="Avenir Book" w:hAnsi="Avenir Book"/>
                <w:b/>
                <w:sz w:val="22"/>
                <w:szCs w:val="22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AF/I</w:t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  <w:t>Knowledge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Understanding of safeguarding, child protection and safer working practices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Knowledge of health &amp; safety, food hygiene and risk assessment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Understanding of inclusive practice and supporting diverse needs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b/>
                <w:b/>
                <w:sz w:val="22"/>
                <w:szCs w:val="22"/>
              </w:rPr>
            </w:pPr>
            <w:r>
              <w:rPr>
                <w:rFonts w:cs="Avenir Book" w:ascii="Avenir Book" w:hAnsi="Avenir Book"/>
                <w:b/>
                <w:sz w:val="22"/>
                <w:szCs w:val="22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b/>
                <w:b/>
                <w:sz w:val="22"/>
                <w:szCs w:val="22"/>
              </w:rPr>
            </w:pPr>
            <w:r>
              <w:rPr>
                <w:rFonts w:cs="Avenir Book" w:ascii="Avenir Book" w:hAnsi="Avenir Boo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</w:tc>
      </w:tr>
      <w:tr>
        <w:trPr/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  <w:t>Work circumstances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Commitment to working the required wraparound hours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Commitment to professional development and training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b/>
                <w:b/>
                <w:sz w:val="22"/>
                <w:szCs w:val="22"/>
              </w:rPr>
            </w:pPr>
            <w:r>
              <w:rPr>
                <w:rFonts w:cs="Avenir Book" w:ascii="Avenir Book" w:hAnsi="Avenir Book"/>
                <w:b/>
                <w:sz w:val="22"/>
                <w:szCs w:val="22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</w:tc>
      </w:tr>
    </w:tbl>
    <w:p>
      <w:pPr>
        <w:pStyle w:val="Normal"/>
        <w:jc w:val="center"/>
        <w:rPr>
          <w:rFonts w:ascii="Century Gothic" w:hAnsi="Century Gothic" w:cs="Century Gothic"/>
          <w:b/>
          <w:b/>
          <w:sz w:val="20"/>
          <w:szCs w:val="20"/>
        </w:rPr>
      </w:pPr>
      <w:r>
        <w:rPr>
          <w:rFonts w:cs="Century Gothic" w:ascii="Century Gothic" w:hAnsi="Century Gothic"/>
          <w:b/>
          <w:sz w:val="20"/>
          <w:szCs w:val="20"/>
        </w:rPr>
      </w:r>
    </w:p>
    <w:p>
      <w:pPr>
        <w:pStyle w:val="Normal"/>
        <w:spacing w:before="0" w:after="60"/>
        <w:jc w:val="both"/>
        <w:rPr/>
      </w:pPr>
      <w:r>
        <w:rPr>
          <w:rFonts w:cs="Century Gothic" w:ascii="Century Gothic" w:hAnsi="Century Gothic"/>
          <w:i/>
          <w:sz w:val="20"/>
          <w:szCs w:val="20"/>
        </w:rPr>
        <w:t>Abbreviations:</w:t>
      </w:r>
      <w:r>
        <w:rPr>
          <w:rFonts w:cs="Century Gothic" w:ascii="Century Gothic" w:hAnsi="Century Gothic"/>
          <w:sz w:val="20"/>
          <w:szCs w:val="20"/>
        </w:rPr>
        <w:t xml:space="preserve"> AF = Application Form; I = Interview.</w:t>
      </w:r>
    </w:p>
    <w:p>
      <w:pPr>
        <w:pStyle w:val="Normal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</w:rPr>
      </w:r>
    </w:p>
    <w:p>
      <w:pPr>
        <w:pStyle w:val="Normal"/>
        <w:jc w:val="center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  <w:t xml:space="preserve">N.B. – Any candidate with a disability who meets the </w:t>
      </w:r>
    </w:p>
    <w:p>
      <w:pPr>
        <w:pStyle w:val="Normal"/>
        <w:jc w:val="center"/>
        <w:rPr>
          <w:rFonts w:ascii="Century Gothic" w:hAnsi="Century Gothic" w:cs="Century Gothic"/>
          <w:b/>
          <w:b/>
          <w:sz w:val="20"/>
          <w:szCs w:val="20"/>
        </w:rPr>
      </w:pPr>
      <w:r>
        <w:rPr>
          <w:rFonts w:cs="Century Gothic" w:ascii="Century Gothic" w:hAnsi="Century Gothic"/>
          <w:b/>
          <w:sz w:val="20"/>
          <w:szCs w:val="20"/>
        </w:rPr>
        <w:t>essential criteria will be guaranteed an interview</w:t>
      </w:r>
    </w:p>
    <w:sectPr>
      <w:footerReference w:type="default" r:id="rId2"/>
      <w:type w:val="nextPage"/>
      <w:pgSz w:w="11906" w:h="16838"/>
      <w:pgMar w:left="1418" w:right="1418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Avenir Book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>
        <w:rFonts w:eastAsia="Symbol" w:cs="Symbol" w:ascii="Symbol" w:hAnsi="Symbol"/>
        <w:sz w:val="20"/>
      </w:rPr>
      <w:t></w:t>
    </w:r>
    <w:r>
      <w:rPr>
        <w:rFonts w:eastAsia="Arial"/>
        <w:sz w:val="20"/>
      </w:rPr>
      <w:t xml:space="preserve"> </w:t>
    </w:r>
    <w:r>
      <w:rPr>
        <w:sz w:val="20"/>
      </w:rPr>
      <w:t>Oldham Council, 2011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Appleconvertedspace">
    <w:name w:val="apple-converted-space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dnote">
    <w:name w:val="Endnote Text"/>
    <w:basedOn w:val="Normal"/>
    <w:pPr>
      <w:overflowPunct w:val="true"/>
      <w:textAlignment w:val="baseline"/>
    </w:pPr>
    <w:rPr>
      <w:rFonts w:ascii="Palatino" w:hAnsi="Palatino" w:cs="Times New Roman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  <w:overflowPunct w:val="true"/>
      <w:textAlignment w:val="baseline"/>
    </w:pPr>
    <w:rPr>
      <w:rFonts w:cs="Times New Roman"/>
      <w:szCs w:val="20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itle">
    <w:name w:val="Title"/>
    <w:basedOn w:val="Normal"/>
    <w:next w:val="TextBody"/>
    <w:qFormat/>
    <w:pPr>
      <w:overflowPunct w:val="true"/>
      <w:jc w:val="center"/>
      <w:textAlignment w:val="baseline"/>
    </w:pPr>
    <w:rPr>
      <w:rFonts w:cs="Times New Roman"/>
      <w:b/>
      <w:szCs w:val="20"/>
      <w:lang w:eastAsia="en-GB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lang w:eastAsia="en-GB"/>
    </w:rPr>
  </w:style>
  <w:style w:type="paragraph" w:styleId="Isselectedend">
    <w:name w:val="isselectedend"/>
    <w:basedOn w:val="Normal"/>
    <w:qFormat/>
    <w:pPr>
      <w:spacing w:before="280" w:after="280"/>
    </w:pPr>
    <w:rPr>
      <w:rFonts w:ascii="Times New Roman" w:hAnsi="Times New Roman" w:cs="Times New Roman"/>
      <w:lang w:eastAsia="en-GB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OMBC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2026-05-15T12:22:00Z</dcterms:created>
  <dc:creator>Elaine Middleton</dc:creator>
  <dc:description/>
  <dc:language>en-US</dc:language>
  <cp:lastModifiedBy>Ian Robinson (HR)</cp:lastModifiedBy>
  <cp:lastPrinted>1995-11-21T17:41:00Z</cp:lastPrinted>
  <dcterms:modified xsi:type="dcterms:W3CDTF">2026-05-15T12:22:00Z</dcterms:modified>
  <cp:revision>2</cp:revision>
  <dc:subject/>
  <dc:title>OLDHAM METROPOLITAN BOROUGH COUNCIL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OMBC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