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t>-</w:t>
      </w:r>
    </w:p>
    <w:p>
      <w:pPr>
        <w:pStyle w:val="Heading1"/>
        <w:spacing w:lineRule="auto" w:line="240"/>
        <w:rPr>
          <w:rFonts w:cs="Arial"/>
          <w:szCs w:val="22"/>
        </w:rPr>
      </w:pPr>
      <w:r>
        <w:rPr>
          <w:rFonts w:cs="Arial"/>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Early Years Funding Support Officer</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People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Education, Early Years &amp; Skills</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5</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11066</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rHeight w:val="3009"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ListParagraph"/>
              <w:overflowPunct w:val="true"/>
              <w:snapToGrid w:val="false"/>
              <w:textAlignment w:val="baseline"/>
              <w:rPr>
                <w:rFonts w:ascii="Arial" w:hAnsi="Arial" w:cs="Arial"/>
                <w:kern w:val="2"/>
                <w:sz w:val="22"/>
                <w:szCs w:val="22"/>
              </w:rPr>
            </w:pPr>
            <w:r>
              <w:rPr>
                <w:rFonts w:cs="Arial" w:ascii="Arial" w:hAnsi="Arial"/>
                <w:kern w:val="2"/>
                <w:sz w:val="22"/>
                <w:szCs w:val="22"/>
              </w:rPr>
            </w:r>
          </w:p>
          <w:p>
            <w:pPr>
              <w:pStyle w:val="ListParagraph"/>
              <w:numPr>
                <w:ilvl w:val="0"/>
                <w:numId w:val="5"/>
              </w:numPr>
              <w:overflowPunct w:val="true"/>
              <w:spacing w:before="0" w:after="0"/>
              <w:ind w:left="720" w:right="0" w:hanging="225"/>
              <w:contextualSpacing/>
              <w:textAlignment w:val="baseline"/>
              <w:rPr>
                <w:rFonts w:ascii="Arial" w:hAnsi="Arial" w:cs="Arial"/>
                <w:kern w:val="2"/>
              </w:rPr>
            </w:pPr>
            <w:r>
              <w:rPr>
                <w:rFonts w:cs="Arial" w:ascii="Arial" w:hAnsi="Arial"/>
                <w:kern w:val="2"/>
              </w:rPr>
              <w:t>To work with early years providers and service delivery partners to increase uptake of the free early education entitlements to improve school readiness and enhance/improve life chances of vulnerable children.</w:t>
            </w:r>
          </w:p>
          <w:p>
            <w:pPr>
              <w:pStyle w:val="Normal"/>
              <w:overflowPunct w:val="true"/>
              <w:textAlignment w:val="baseline"/>
              <w:rPr>
                <w:rFonts w:cs="Arial"/>
                <w:kern w:val="2"/>
                <w:sz w:val="22"/>
                <w:szCs w:val="22"/>
              </w:rPr>
            </w:pPr>
            <w:r>
              <w:rPr>
                <w:rFonts w:cs="Arial"/>
                <w:kern w:val="2"/>
                <w:sz w:val="22"/>
                <w:szCs w:val="22"/>
              </w:rPr>
            </w:r>
          </w:p>
          <w:p>
            <w:pPr>
              <w:pStyle w:val="Endnote"/>
              <w:numPr>
                <w:ilvl w:val="0"/>
                <w:numId w:val="5"/>
              </w:numPr>
              <w:rPr>
                <w:rFonts w:ascii="Arial" w:hAnsi="Arial" w:cs="Arial"/>
                <w:sz w:val="22"/>
                <w:szCs w:val="22"/>
              </w:rPr>
            </w:pPr>
            <w:r>
              <w:rPr>
                <w:rFonts w:cs="Arial" w:ascii="Arial" w:hAnsi="Arial"/>
                <w:sz w:val="22"/>
                <w:szCs w:val="22"/>
              </w:rPr>
              <w:t>To manage and deliver identified special projects to support delivery of the Council’s statutory duties relating to early years funding and childcare sufficiency.</w:t>
            </w:r>
          </w:p>
          <w:p>
            <w:pPr>
              <w:pStyle w:val="ListParagraph"/>
              <w:spacing w:before="0" w:after="0"/>
              <w:contextualSpacing/>
              <w:rPr>
                <w:rFonts w:ascii="Arial" w:hAnsi="Arial" w:cs="Arial"/>
              </w:rPr>
            </w:pPr>
            <w:r>
              <w:rPr>
                <w:rFonts w:cs="Arial" w:ascii="Arial" w:hAnsi="Arial"/>
              </w:rPr>
            </w:r>
          </w:p>
          <w:p>
            <w:pPr>
              <w:pStyle w:val="Endnote"/>
              <w:numPr>
                <w:ilvl w:val="0"/>
                <w:numId w:val="5"/>
              </w:numPr>
              <w:rPr>
                <w:rFonts w:ascii="Arial" w:hAnsi="Arial" w:cs="Arial"/>
                <w:sz w:val="22"/>
                <w:szCs w:val="22"/>
              </w:rPr>
            </w:pPr>
            <w:r>
              <w:rPr>
                <w:rFonts w:cs="Arial" w:ascii="Arial" w:hAnsi="Arial"/>
                <w:sz w:val="22"/>
                <w:szCs w:val="22"/>
              </w:rPr>
              <w:t>To provide advice and information in respect of early education funding to early years providers, service delivery partners and parents.</w:t>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ListParagraph"/>
              <w:numPr>
                <w:ilvl w:val="0"/>
                <w:numId w:val="4"/>
              </w:numPr>
              <w:overflowPunct w:val="true"/>
              <w:spacing w:before="0" w:after="0"/>
              <w:contextualSpacing/>
              <w:textAlignment w:val="baseline"/>
              <w:rPr>
                <w:rFonts w:ascii="Arial" w:hAnsi="Arial" w:cs="Arial"/>
              </w:rPr>
            </w:pPr>
            <w:r>
              <w:rPr>
                <w:rFonts w:cs="Arial" w:ascii="Arial" w:hAnsi="Arial"/>
              </w:rPr>
              <w:t>Promote increased uptake of the free early education entitlements by working with key partners from statutory and voluntary sector services to broker joint working to deliver a programme of appropriately coordinated and targeted parental outreach activity.</w:t>
            </w:r>
          </w:p>
          <w:p>
            <w:pPr>
              <w:pStyle w:val="Normal"/>
              <w:overflowPunct w:val="true"/>
              <w:textAlignment w:val="baseline"/>
              <w:rPr>
                <w:rFonts w:cs="Arial"/>
                <w:sz w:val="22"/>
                <w:szCs w:val="22"/>
              </w:rPr>
            </w:pPr>
            <w:r>
              <w:rPr>
                <w:rFonts w:cs="Arial"/>
                <w:sz w:val="22"/>
                <w:szCs w:val="22"/>
              </w:rPr>
            </w:r>
          </w:p>
          <w:p>
            <w:pPr>
              <w:pStyle w:val="ListParagraph"/>
              <w:numPr>
                <w:ilvl w:val="0"/>
                <w:numId w:val="4"/>
              </w:numPr>
              <w:overflowPunct w:val="true"/>
              <w:spacing w:before="0" w:after="0"/>
              <w:contextualSpacing/>
              <w:textAlignment w:val="baseline"/>
              <w:rPr>
                <w:rFonts w:ascii="Arial" w:hAnsi="Arial" w:cs="Arial"/>
              </w:rPr>
            </w:pPr>
            <w:r>
              <w:rPr>
                <w:rFonts w:cs="Arial" w:ascii="Arial" w:hAnsi="Arial"/>
              </w:rPr>
              <w:t xml:space="preserve">Work closely with Health Visitors, Social Care staff and, Early Help workers to ensure the consistent application of local free entitlement eligibility criteria in order to increase uptake of free early education by vulnerable children. </w:t>
            </w:r>
          </w:p>
          <w:p>
            <w:pPr>
              <w:pStyle w:val="Normal"/>
              <w:overflowPunct w:val="true"/>
              <w:ind w:left="495" w:right="0" w:hanging="426"/>
              <w:textAlignment w:val="baseline"/>
              <w:rPr>
                <w:rFonts w:cs="Arial"/>
                <w:sz w:val="22"/>
                <w:szCs w:val="22"/>
              </w:rPr>
            </w:pPr>
            <w:r>
              <w:rPr>
                <w:rFonts w:cs="Arial"/>
                <w:sz w:val="22"/>
                <w:szCs w:val="22"/>
              </w:rPr>
            </w:r>
          </w:p>
          <w:p>
            <w:pPr>
              <w:pStyle w:val="ListParagraph"/>
              <w:numPr>
                <w:ilvl w:val="0"/>
                <w:numId w:val="4"/>
              </w:numPr>
              <w:overflowPunct w:val="true"/>
              <w:spacing w:before="0" w:after="0"/>
              <w:contextualSpacing/>
              <w:textAlignment w:val="baseline"/>
              <w:rPr>
                <w:rFonts w:ascii="Arial" w:hAnsi="Arial" w:cs="Arial"/>
              </w:rPr>
            </w:pPr>
            <w:r>
              <w:rPr>
                <w:rFonts w:cs="Arial" w:ascii="Arial" w:hAnsi="Arial"/>
              </w:rPr>
              <w:t>Produce termly early years funding performance reports with analysis of budget, uptake rates and profile, and effectiveness of outreach activity to target areas with low uptake rates.</w:t>
            </w:r>
          </w:p>
          <w:p>
            <w:pPr>
              <w:pStyle w:val="Normal"/>
              <w:overflowPunct w:val="true"/>
              <w:ind w:left="495" w:right="0" w:hanging="426"/>
              <w:textAlignment w:val="baseline"/>
              <w:rPr>
                <w:rFonts w:cs="Arial"/>
                <w:kern w:val="2"/>
                <w:sz w:val="22"/>
                <w:szCs w:val="22"/>
              </w:rPr>
            </w:pPr>
            <w:r>
              <w:rPr>
                <w:rFonts w:cs="Arial"/>
                <w:kern w:val="2"/>
                <w:sz w:val="22"/>
                <w:szCs w:val="22"/>
              </w:rPr>
            </w:r>
          </w:p>
          <w:p>
            <w:pPr>
              <w:pStyle w:val="ListParagraph"/>
              <w:numPr>
                <w:ilvl w:val="0"/>
                <w:numId w:val="4"/>
              </w:numPr>
              <w:overflowPunct w:val="true"/>
              <w:spacing w:before="0" w:after="0"/>
              <w:contextualSpacing/>
              <w:textAlignment w:val="baseline"/>
              <w:rPr>
                <w:rFonts w:ascii="Arial" w:hAnsi="Arial" w:cs="Arial"/>
              </w:rPr>
            </w:pPr>
            <w:r>
              <w:rPr>
                <w:rFonts w:cs="Arial" w:ascii="Arial" w:hAnsi="Arial"/>
              </w:rPr>
              <w:t>Support the sustainability of early years’ providers across Oldham by providing business health checks to identify development needs and signpost to relevant training and support</w:t>
            </w:r>
          </w:p>
          <w:p>
            <w:pPr>
              <w:pStyle w:val="ListParagraph"/>
              <w:spacing w:before="0" w:after="0"/>
              <w:contextualSpacing/>
              <w:rPr>
                <w:rFonts w:ascii="Arial" w:hAnsi="Arial" w:cs="Arial"/>
                <w:kern w:val="2"/>
              </w:rPr>
            </w:pPr>
            <w:r>
              <w:rPr>
                <w:rFonts w:cs="Arial" w:ascii="Arial" w:hAnsi="Arial"/>
                <w:kern w:val="2"/>
              </w:rPr>
            </w:r>
          </w:p>
          <w:p>
            <w:pPr>
              <w:pStyle w:val="Normal"/>
              <w:numPr>
                <w:ilvl w:val="0"/>
                <w:numId w:val="4"/>
              </w:numPr>
              <w:rPr>
                <w:rFonts w:cs="Arial"/>
                <w:sz w:val="22"/>
                <w:szCs w:val="22"/>
              </w:rPr>
            </w:pPr>
            <w:r>
              <w:rPr>
                <w:rFonts w:cs="Arial"/>
                <w:sz w:val="22"/>
                <w:szCs w:val="22"/>
              </w:rPr>
              <w:t xml:space="preserve">To undertake audits of providers in receipt of early education funding, producing and monitoring progress of related action plans. </w:t>
            </w:r>
          </w:p>
          <w:p>
            <w:pPr>
              <w:pStyle w:val="Normal"/>
              <w:overflowPunct w:val="true"/>
              <w:ind w:left="495" w:right="0" w:hanging="426"/>
              <w:textAlignment w:val="baseline"/>
              <w:rPr>
                <w:rFonts w:cs="Arial"/>
                <w:sz w:val="22"/>
                <w:szCs w:val="22"/>
              </w:rPr>
            </w:pPr>
            <w:r>
              <w:rPr>
                <w:rFonts w:cs="Arial"/>
                <w:sz w:val="22"/>
                <w:szCs w:val="22"/>
              </w:rPr>
            </w:r>
          </w:p>
          <w:p>
            <w:pPr>
              <w:pStyle w:val="Normal"/>
              <w:numPr>
                <w:ilvl w:val="0"/>
                <w:numId w:val="4"/>
              </w:numPr>
              <w:rPr>
                <w:sz w:val="22"/>
                <w:szCs w:val="22"/>
              </w:rPr>
            </w:pPr>
            <w:r>
              <w:rPr>
                <w:sz w:val="22"/>
                <w:szCs w:val="22"/>
              </w:rPr>
              <w:t>Contribute to a range of projects relating to early years funding and sufficiency, completing tasks within specified time, cost and resource allocation, and ensuring compliance with relevant legislation.</w:t>
            </w:r>
          </w:p>
          <w:p>
            <w:pPr>
              <w:pStyle w:val="Normal"/>
              <w:rPr>
                <w:rFonts w:cs="Arial"/>
                <w:sz w:val="22"/>
                <w:szCs w:val="22"/>
              </w:rPr>
            </w:pPr>
            <w:r>
              <w:rPr>
                <w:rFonts w:cs="Arial"/>
                <w:sz w:val="22"/>
                <w:szCs w:val="22"/>
              </w:rPr>
            </w:r>
          </w:p>
          <w:p>
            <w:pPr>
              <w:pStyle w:val="ListParagraph"/>
              <w:numPr>
                <w:ilvl w:val="0"/>
                <w:numId w:val="4"/>
              </w:numPr>
              <w:rPr>
                <w:rFonts w:ascii="Arial" w:hAnsi="Arial" w:cs="Arial"/>
              </w:rPr>
            </w:pPr>
            <w:r>
              <w:rPr>
                <w:rFonts w:cs="Arial" w:ascii="Arial" w:hAnsi="Arial"/>
              </w:rPr>
              <w:t>Effectively apply project management methodology, ensuring effective risk management through identification, recording and action/risk management planning and review.</w:t>
            </w:r>
          </w:p>
          <w:p>
            <w:pPr>
              <w:pStyle w:val="Normal"/>
              <w:ind w:left="720" w:right="0" w:hanging="0"/>
              <w:rPr>
                <w:sz w:val="22"/>
                <w:szCs w:val="22"/>
              </w:rPr>
            </w:pPr>
            <w:r>
              <w:rPr>
                <w:sz w:val="22"/>
                <w:szCs w:val="22"/>
              </w:rPr>
            </w:r>
          </w:p>
          <w:p>
            <w:pPr>
              <w:pStyle w:val="Normal"/>
              <w:numPr>
                <w:ilvl w:val="0"/>
                <w:numId w:val="4"/>
              </w:numPr>
              <w:rPr>
                <w:sz w:val="22"/>
                <w:szCs w:val="22"/>
              </w:rPr>
            </w:pPr>
            <w:r>
              <w:rPr>
                <w:sz w:val="22"/>
                <w:szCs w:val="22"/>
              </w:rPr>
              <w:t>Support the Early Years Funding and Sufficiency Manager in the development and implementation of grant application processes and funding agreements, including liaison with Legal services.</w:t>
            </w:r>
          </w:p>
          <w:p>
            <w:pPr>
              <w:pStyle w:val="ListParagraph"/>
              <w:rPr>
                <w:rFonts w:ascii="Arial" w:hAnsi="Arial" w:cs="Arial"/>
              </w:rPr>
            </w:pPr>
            <w:r>
              <w:rPr>
                <w:rFonts w:cs="Arial" w:ascii="Arial" w:hAnsi="Arial"/>
              </w:rPr>
            </w:r>
          </w:p>
          <w:p>
            <w:pPr>
              <w:pStyle w:val="ListParagraph"/>
              <w:numPr>
                <w:ilvl w:val="0"/>
                <w:numId w:val="4"/>
              </w:numPr>
              <w:spacing w:before="0" w:after="200"/>
              <w:contextualSpacing/>
              <w:rPr>
                <w:rFonts w:ascii="Arial" w:hAnsi="Arial" w:cs="Arial"/>
              </w:rPr>
            </w:pPr>
            <w:r>
              <w:rPr>
                <w:rFonts w:cs="Arial" w:ascii="Arial" w:hAnsi="Arial"/>
              </w:rPr>
              <w:t>To review, and report on guidance that supports the delivery of service outcomes and prepare clear and concise reports for a range of audiences.</w:t>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rial"/>
                <w:b/>
                <w:sz w:val="22"/>
                <w:szCs w:val="22"/>
              </w:rPr>
              <w:t>Contacts:</w:t>
            </w:r>
            <w:r>
              <w:rPr>
                <w:rFonts w:cs="Arial"/>
                <w:sz w:val="22"/>
                <w:szCs w:val="22"/>
              </w:rPr>
              <w:t xml:space="preserve"> </w:t>
            </w:r>
          </w:p>
          <w:p>
            <w:pPr>
              <w:pStyle w:val="Default"/>
              <w:jc w:val="both"/>
              <w:rPr>
                <w:color w:val="auto"/>
                <w:sz w:val="22"/>
                <w:szCs w:val="22"/>
              </w:rPr>
            </w:pPr>
            <w:r>
              <w:rPr>
                <w:color w:val="auto"/>
                <w:sz w:val="22"/>
                <w:szCs w:val="22"/>
              </w:rPr>
              <w:t xml:space="preserve">Other team members, Managers, other Council Officers, external agencies (including other local authorities, schools, PVI childcare providers, parents, general public. </w:t>
            </w:r>
          </w:p>
          <w:p>
            <w:pPr>
              <w:pStyle w:val="Normal"/>
              <w:overflowPunct w:val="true"/>
              <w:textAlignment w:val="baseline"/>
              <w:rPr>
                <w:rFonts w:cs="Arial"/>
                <w:sz w:val="22"/>
                <w:szCs w:val="22"/>
              </w:rPr>
            </w:pPr>
            <w:r>
              <w:rPr>
                <w:rFonts w:cs="Arial"/>
                <w:sz w:val="22"/>
                <w:szCs w:val="22"/>
              </w:rPr>
            </w:r>
          </w:p>
        </w:tc>
      </w:tr>
    </w:tbl>
    <w:p>
      <w:pPr>
        <w:pStyle w:val="Normal"/>
        <w:rPr>
          <w:rFonts w:cs="Arial"/>
          <w:sz w:val="22"/>
          <w:szCs w:val="22"/>
        </w:rPr>
      </w:pPr>
      <w:r>
        <w:rPr>
          <w:rFonts w:cs="Arial"/>
          <w:sz w:val="22"/>
          <w:szCs w:val="22"/>
        </w:rPr>
      </w:r>
      <w:bookmarkStart w:id="0" w:name="_Hlk95121094"/>
      <w:bookmarkStart w:id="1" w:name="_Hlk95121094"/>
      <w:bookmarkEnd w:id="1"/>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b w:val="false"/>
                <w:b w:val="false"/>
                <w:kern w:val="2"/>
                <w:szCs w:val="22"/>
              </w:rPr>
            </w:pPr>
            <w:r>
              <w:rPr>
                <w:b w:val="false"/>
                <w:kern w:val="2"/>
                <w:szCs w:val="22"/>
              </w:rPr>
              <w:t>Early Years Funding and Sufficiency Manager</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overflowPunct w:val="true"/>
              <w:snapToGrid w:val="false"/>
              <w:textAlignment w:val="baseline"/>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Normal"/>
              <w:rPr>
                <w:rFonts w:cs="Arial"/>
                <w:b/>
                <w:b/>
                <w:sz w:val="22"/>
                <w:szCs w:val="22"/>
              </w:rPr>
            </w:pPr>
            <w:r>
              <w:rPr>
                <w:rFonts w:cs="Arial"/>
                <w:b/>
                <w:sz w:val="22"/>
                <w:szCs w:val="22"/>
              </w:rPr>
            </w:r>
          </w:p>
          <w:p>
            <w:pPr>
              <w:pStyle w:val="Normal"/>
              <w:overflowPunct w:val="true"/>
              <w:textAlignment w:val="baseline"/>
              <w:rPr>
                <w:kern w:val="2"/>
              </w:rPr>
            </w:pPr>
            <w:r>
              <w:rPr>
                <w:kern w:val="2"/>
              </w:rPr>
              <w:t>Casual car user allowance</w:t>
            </w:r>
          </w:p>
          <w:p>
            <w:pPr>
              <w:pStyle w:val="Normal"/>
              <w:overflowPunct w:val="true"/>
              <w:textAlignment w:val="baseline"/>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 w:eastAsia="en-GB"/>
              </w:rPr>
            </w:pPr>
            <w:r>
              <w:rPr>
                <w:rFonts w:cs="Arial"/>
                <w:sz w:val="22"/>
                <w:szCs w:val="22"/>
                <w:lang w:val="en" w:eastAsia="en-GB"/>
              </w:rPr>
              <w:t>We have a clear set of values that outline how we do business. We share these Borough-wide with our residents, partners and businesses:</w:t>
            </w:r>
          </w:p>
          <w:p>
            <w:pPr>
              <w:pStyle w:val="Normal"/>
              <w:numPr>
                <w:ilvl w:val="0"/>
                <w:numId w:val="3"/>
              </w:numPr>
              <w:spacing w:before="280" w:after="0"/>
              <w:jc w:val="both"/>
              <w:rPr/>
            </w:pPr>
            <w:r>
              <w:rPr>
                <w:rFonts w:cs="Arial"/>
                <w:b/>
                <w:bCs/>
                <w:sz w:val="22"/>
                <w:szCs w:val="22"/>
                <w:lang w:val="en" w:eastAsia="en-GB"/>
              </w:rPr>
              <w:t>Fairness - </w:t>
            </w:r>
            <w:r>
              <w:rPr>
                <w:rFonts w:cs="Arial"/>
                <w:sz w:val="22"/>
                <w:szCs w:val="22"/>
                <w:lang w:val="en" w:eastAsia="en-GB"/>
              </w:rPr>
              <w:t>We will champion fairness and equality of opportunity and ensure working together brings mutual benefits and the greatest possible added value. We will enable everyone to be involved.</w:t>
            </w:r>
          </w:p>
          <w:p>
            <w:pPr>
              <w:pStyle w:val="Normal"/>
              <w:numPr>
                <w:ilvl w:val="0"/>
                <w:numId w:val="3"/>
              </w:numPr>
              <w:spacing w:before="0" w:after="0"/>
              <w:jc w:val="both"/>
              <w:rPr/>
            </w:pPr>
            <w:r>
              <w:rPr>
                <w:rFonts w:cs="Arial"/>
                <w:b/>
                <w:bCs/>
                <w:sz w:val="22"/>
                <w:szCs w:val="22"/>
                <w:lang w:val="en" w:eastAsia="en-GB"/>
              </w:rPr>
              <w:t>Openness - </w:t>
            </w:r>
            <w:r>
              <w:rPr>
                <w:rFonts w:cs="Arial"/>
                <w:sz w:val="22"/>
                <w:szCs w:val="22"/>
                <w:lang w:val="en" w:eastAsia="en-GB"/>
              </w:rPr>
              <w:t>We will be open and honest in our actions and communications. We will take decisions in a transparent way and at the most local level possible.</w:t>
            </w:r>
          </w:p>
          <w:p>
            <w:pPr>
              <w:pStyle w:val="Normal"/>
              <w:numPr>
                <w:ilvl w:val="0"/>
                <w:numId w:val="3"/>
              </w:numPr>
              <w:spacing w:before="0" w:after="0"/>
              <w:jc w:val="both"/>
              <w:rPr/>
            </w:pPr>
            <w:r>
              <w:rPr>
                <w:rFonts w:cs="Arial"/>
                <w:b/>
                <w:bCs/>
                <w:sz w:val="22"/>
                <w:szCs w:val="22"/>
                <w:lang w:val="en" w:eastAsia="en-GB"/>
              </w:rPr>
              <w:t>Responsibility - </w:t>
            </w:r>
            <w:r>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pPr>
              <w:pStyle w:val="Normal"/>
              <w:numPr>
                <w:ilvl w:val="0"/>
                <w:numId w:val="3"/>
              </w:numPr>
              <w:spacing w:before="0" w:after="0"/>
              <w:jc w:val="both"/>
              <w:rPr/>
            </w:pPr>
            <w:r>
              <w:rPr>
                <w:rFonts w:cs="Arial"/>
                <w:b/>
                <w:bCs/>
                <w:sz w:val="22"/>
                <w:szCs w:val="22"/>
                <w:lang w:val="en" w:eastAsia="en-GB"/>
              </w:rPr>
              <w:t>Working together - </w:t>
            </w:r>
            <w:r>
              <w:rPr>
                <w:rFonts w:cs="Arial"/>
                <w:sz w:val="22"/>
                <w:szCs w:val="22"/>
                <w:lang w:val="en" w:eastAsia="en-GB"/>
              </w:rPr>
              <w:t>We will work together and support each other in achieving common goals, making sure the environment is in place for self-help.</w:t>
            </w:r>
          </w:p>
          <w:p>
            <w:pPr>
              <w:pStyle w:val="Normal"/>
              <w:numPr>
                <w:ilvl w:val="0"/>
                <w:numId w:val="3"/>
              </w:numPr>
              <w:spacing w:before="0" w:after="0"/>
              <w:jc w:val="both"/>
              <w:rPr/>
            </w:pPr>
            <w:r>
              <w:rPr>
                <w:rFonts w:cs="Arial"/>
                <w:b/>
                <w:bCs/>
                <w:sz w:val="22"/>
                <w:szCs w:val="22"/>
                <w:lang w:val="en" w:eastAsia="en-GB"/>
              </w:rPr>
              <w:t>Accountability - </w:t>
            </w:r>
            <w:r>
              <w:rPr>
                <w:rFonts w:cs="Arial"/>
                <w:sz w:val="22"/>
                <w:szCs w:val="22"/>
                <w:lang w:val="en" w:eastAsia="en-GB"/>
              </w:rPr>
              <w:t>We recognise and act upon the impact of our actions on others and hold ourselves accountable to our stakeholders.</w:t>
            </w:r>
          </w:p>
          <w:p>
            <w:pPr>
              <w:pStyle w:val="Normal"/>
              <w:numPr>
                <w:ilvl w:val="0"/>
                <w:numId w:val="3"/>
              </w:numPr>
              <w:spacing w:before="0" w:after="0"/>
              <w:jc w:val="both"/>
              <w:rPr/>
            </w:pPr>
            <w:r>
              <w:rPr>
                <w:rFonts w:cs="Arial"/>
                <w:b/>
                <w:bCs/>
                <w:sz w:val="22"/>
                <w:szCs w:val="22"/>
                <w:lang w:val="en" w:eastAsia="en-GB"/>
              </w:rPr>
              <w:t>Respect - </w:t>
            </w:r>
            <w:r>
              <w:rPr>
                <w:rFonts w:cs="Arial"/>
                <w:sz w:val="22"/>
                <w:szCs w:val="22"/>
                <w:lang w:val="en" w:eastAsia="en-GB"/>
              </w:rPr>
              <w:t>We recognise and welcome different views and treat each other with dignity and respect.</w:t>
            </w:r>
          </w:p>
          <w:p>
            <w:pPr>
              <w:pStyle w:val="Normal"/>
              <w:numPr>
                <w:ilvl w:val="0"/>
                <w:numId w:val="3"/>
              </w:numPr>
              <w:spacing w:before="0" w:after="280"/>
              <w:jc w:val="both"/>
              <w:rPr/>
            </w:pPr>
            <w:r>
              <w:rPr>
                <w:rFonts w:cs="Arial"/>
                <w:b/>
                <w:bCs/>
                <w:sz w:val="22"/>
                <w:szCs w:val="22"/>
                <w:lang w:val="en" w:eastAsia="en-GB"/>
              </w:rPr>
              <w:t>Democracy - </w:t>
            </w:r>
            <w:r>
              <w:rPr>
                <w:rFonts w:cs="Arial"/>
                <w:sz w:val="22"/>
                <w:szCs w:val="22"/>
                <w:lang w:val="en" w:eastAsia="en-GB"/>
              </w:rPr>
              <w:t>We believe and act within the principles of democracy and promote these across the borough. </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Internally we’ve translated these values into five Co-operative behaviours which outline the priority areas of focus for staff at all levels.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Work with a Resident Focus</w:t>
            </w:r>
          </w:p>
          <w:p>
            <w:pPr>
              <w:pStyle w:val="Normal"/>
              <w:numPr>
                <w:ilvl w:val="0"/>
                <w:numId w:val="2"/>
              </w:numPr>
              <w:rPr>
                <w:rFonts w:cs="Arial"/>
                <w:sz w:val="22"/>
                <w:szCs w:val="22"/>
              </w:rPr>
            </w:pPr>
            <w:r>
              <w:rPr>
                <w:rFonts w:cs="Arial"/>
                <w:sz w:val="22"/>
                <w:szCs w:val="22"/>
              </w:rPr>
              <w:t>Support Local Leaders</w:t>
            </w:r>
          </w:p>
          <w:p>
            <w:pPr>
              <w:pStyle w:val="Normal"/>
              <w:numPr>
                <w:ilvl w:val="0"/>
                <w:numId w:val="2"/>
              </w:numPr>
              <w:rPr>
                <w:rFonts w:cs="Arial"/>
                <w:sz w:val="22"/>
                <w:szCs w:val="22"/>
              </w:rPr>
            </w:pPr>
            <w:r>
              <w:rPr>
                <w:rFonts w:cs="Arial"/>
                <w:sz w:val="22"/>
                <w:szCs w:val="22"/>
              </w:rPr>
              <w:t>Committed to the Borough</w:t>
            </w:r>
          </w:p>
          <w:p>
            <w:pPr>
              <w:pStyle w:val="Normal"/>
              <w:numPr>
                <w:ilvl w:val="0"/>
                <w:numId w:val="2"/>
              </w:numPr>
              <w:rPr>
                <w:rFonts w:cs="Arial"/>
                <w:sz w:val="22"/>
                <w:szCs w:val="22"/>
              </w:rPr>
            </w:pPr>
            <w:r>
              <w:rPr>
                <w:rFonts w:cs="Arial"/>
                <w:sz w:val="22"/>
                <w:szCs w:val="22"/>
              </w:rPr>
              <w:t>Take Ownership and Drive Change</w:t>
            </w:r>
          </w:p>
          <w:p>
            <w:pPr>
              <w:pStyle w:val="Normal"/>
              <w:numPr>
                <w:ilvl w:val="0"/>
                <w:numId w:val="2"/>
              </w:numPr>
              <w:rPr>
                <w:rFonts w:cs="Arial"/>
                <w:sz w:val="22"/>
                <w:szCs w:val="22"/>
              </w:rPr>
            </w:pPr>
            <w:r>
              <w:rPr>
                <w:rFonts w:cs="Arial"/>
                <w:sz w:val="22"/>
                <w:szCs w:val="22"/>
              </w:rPr>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Greater.Jobs pages.</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13/9/23</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Jenny Dennis</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Early Years Provision Manager</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ind w:left="0" w:right="0" w:hanging="567"/>
        <w:rPr/>
      </w:pPr>
      <w:r>
        <w:rPr>
          <w:rFonts w:cs="Arial" w:ascii="Arial" w:hAnsi="Arial"/>
          <w:b/>
          <w:bCs/>
          <w:sz w:val="22"/>
          <w:szCs w:val="22"/>
        </w:rPr>
        <w:t xml:space="preserve">Job Title:      </w:t>
      </w:r>
      <w:r>
        <w:rPr>
          <w:rFonts w:cs="Arial" w:ascii="Arial" w:hAnsi="Arial"/>
          <w:sz w:val="22"/>
          <w:szCs w:val="22"/>
        </w:rPr>
        <w:t xml:space="preserve">Early Years Funding Support Officer </w:t>
      </w:r>
    </w:p>
    <w:p>
      <w:pPr>
        <w:pStyle w:val="Endnote"/>
        <w:ind w:left="0" w:right="0" w:hanging="567"/>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41"/>
        <w:gridCol w:w="5245"/>
        <w:gridCol w:w="2126"/>
        <w:gridCol w:w="1337"/>
      </w:tblGrid>
      <w:tr>
        <w:trPr>
          <w:trHeight w:val="1000" w:hRule="atLeast"/>
          <w:cantSplit w:val="true"/>
        </w:trPr>
        <w:tc>
          <w:tcPr>
            <w:tcW w:w="1741"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5245"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2126"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337"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rHeight w:val="1894" w:hRule="atLeast"/>
        </w:trPr>
        <w:tc>
          <w:tcPr>
            <w:tcW w:w="1741"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5245" w:type="dxa"/>
            <w:tcBorders>
              <w:top w:val="single" w:sz="4" w:space="0" w:color="000000"/>
              <w:left w:val="single" w:sz="4" w:space="0" w:color="000000"/>
              <w:bottom w:val="single" w:sz="4" w:space="0" w:color="000000"/>
            </w:tcBorders>
            <w:shd w:fill="auto" w:val="clear"/>
          </w:tcPr>
          <w:p>
            <w:pPr>
              <w:pStyle w:val="Normal"/>
              <w:rPr>
                <w:rFonts w:cs="Arial"/>
                <w:sz w:val="22"/>
                <w:szCs w:val="22"/>
                <w:lang w:eastAsia="en-GB"/>
              </w:rPr>
            </w:pPr>
            <w:r>
              <w:rPr>
                <w:rFonts w:cs="Arial"/>
                <w:sz w:val="22"/>
                <w:szCs w:val="22"/>
                <w:lang w:eastAsia="en-GB"/>
              </w:rPr>
              <w:t>Literacy and numeracy sufficient to undertake the tasks and duties contained in the Job Description</w:t>
            </w:r>
          </w:p>
          <w:p>
            <w:pPr>
              <w:pStyle w:val="Normal"/>
              <w:rPr>
                <w:sz w:val="22"/>
                <w:szCs w:val="22"/>
              </w:rPr>
            </w:pPr>
            <w:r>
              <w:rPr>
                <w:sz w:val="22"/>
                <w:szCs w:val="22"/>
              </w:rPr>
            </w:r>
          </w:p>
          <w:p>
            <w:pPr>
              <w:pStyle w:val="Normal"/>
              <w:rPr>
                <w:sz w:val="22"/>
                <w:szCs w:val="22"/>
              </w:rPr>
            </w:pPr>
            <w:r>
              <w:rPr>
                <w:sz w:val="22"/>
                <w:szCs w:val="22"/>
              </w:rPr>
              <w:t>Educated to Level 4 (e.g. NVQ BTEC A Level) EDCL qualification or equivalent work experience</w:t>
            </w:r>
          </w:p>
          <w:p>
            <w:pPr>
              <w:pStyle w:val="Normal"/>
              <w:rPr>
                <w:rFonts w:cs="Arial"/>
                <w:sz w:val="22"/>
                <w:szCs w:val="22"/>
                <w:lang w:eastAsia="en-GB"/>
              </w:rPr>
            </w:pPr>
            <w:r>
              <w:rPr>
                <w:rFonts w:cs="Arial"/>
                <w:sz w:val="22"/>
                <w:szCs w:val="22"/>
                <w:lang w:eastAsia="en-GB"/>
              </w:rPr>
            </w:r>
          </w:p>
          <w:p>
            <w:pPr>
              <w:pStyle w:val="Normal"/>
              <w:rPr>
                <w:sz w:val="22"/>
                <w:szCs w:val="22"/>
              </w:rPr>
            </w:pPr>
            <w:r>
              <w:rPr>
                <w:sz w:val="22"/>
                <w:szCs w:val="22"/>
              </w:rPr>
              <w:t>Evidence of continued professional and personal development</w:t>
            </w:r>
          </w:p>
          <w:p>
            <w:pPr>
              <w:pStyle w:val="Normal"/>
              <w:rPr>
                <w:rFonts w:cs="Arial"/>
                <w:sz w:val="22"/>
                <w:szCs w:val="22"/>
              </w:rPr>
            </w:pPr>
            <w:r>
              <w:rPr>
                <w:rFonts w:cs="Arial"/>
                <w:sz w:val="22"/>
                <w:szCs w:val="22"/>
              </w:rPr>
            </w:r>
          </w:p>
        </w:tc>
        <w:tc>
          <w:tcPr>
            <w:tcW w:w="2126"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Project Management methodology training </w:t>
            </w:r>
          </w:p>
          <w:p>
            <w:pPr>
              <w:pStyle w:val="Header"/>
              <w:tabs>
                <w:tab w:val="clear" w:pos="4153"/>
                <w:tab w:val="clear" w:pos="8306"/>
              </w:tabs>
              <w:rPr>
                <w:rFonts w:cs="Arial"/>
                <w:szCs w:val="22"/>
              </w:rPr>
            </w:pPr>
            <w:r>
              <w:rPr>
                <w:rFonts w:cs="Arial"/>
                <w:szCs w:val="22"/>
              </w:rPr>
            </w:r>
          </w:p>
        </w:tc>
        <w:tc>
          <w:tcPr>
            <w:tcW w:w="1337" w:type="dxa"/>
            <w:tcBorders>
              <w:top w:val="single" w:sz="4" w:space="0" w:color="000000"/>
              <w:left w:val="single" w:sz="4" w:space="0" w:color="000000"/>
              <w:bottom w:val="single" w:sz="4" w:space="0" w:color="000000"/>
              <w:right w:val="single" w:sz="4" w:space="0" w:color="000000"/>
            </w:tcBorders>
            <w:shd w:fill="auto" w:val="clear"/>
          </w:tcPr>
          <w:p>
            <w:pPr>
              <w:pStyle w:val="Endnote"/>
              <w:jc w:val="center"/>
              <w:rPr>
                <w:rFonts w:ascii="Arial" w:hAnsi="Arial" w:cs="Arial"/>
                <w:sz w:val="22"/>
                <w:szCs w:val="22"/>
              </w:rPr>
            </w:pPr>
            <w:r>
              <w:rPr>
                <w:rFonts w:cs="Arial" w:ascii="Arial" w:hAnsi="Arial"/>
                <w:sz w:val="22"/>
                <w:szCs w:val="22"/>
              </w:rPr>
              <w:t>AF</w:t>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t>AF/I</w:t>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r>
          </w:p>
          <w:p>
            <w:pPr>
              <w:pStyle w:val="Endnote"/>
              <w:jc w:val="center"/>
              <w:rPr>
                <w:rFonts w:ascii="Arial" w:hAnsi="Arial" w:cs="Arial"/>
                <w:sz w:val="22"/>
                <w:szCs w:val="22"/>
              </w:rPr>
            </w:pPr>
            <w:r>
              <w:rPr>
                <w:rFonts w:cs="Arial" w:ascii="Arial" w:hAnsi="Arial"/>
                <w:sz w:val="22"/>
                <w:szCs w:val="22"/>
              </w:rPr>
              <w:t>AF</w:t>
            </w:r>
          </w:p>
        </w:tc>
      </w:tr>
      <w:tr>
        <w:trPr>
          <w:trHeight w:val="1162" w:hRule="atLeast"/>
        </w:trPr>
        <w:tc>
          <w:tcPr>
            <w:tcW w:w="1741"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524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Experience of multi-agency working to achieve shared outcomes.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Implementing Project Management processes to achieve agreed outcomes within timescale and budget</w:t>
            </w:r>
          </w:p>
          <w:p>
            <w:pPr>
              <w:pStyle w:val="Normal"/>
              <w:rPr>
                <w:rFonts w:cs="Arial"/>
                <w:sz w:val="22"/>
                <w:szCs w:val="22"/>
              </w:rPr>
            </w:pPr>
            <w:r>
              <w:rPr>
                <w:rFonts w:cs="Arial"/>
                <w:sz w:val="22"/>
                <w:szCs w:val="22"/>
              </w:rPr>
            </w:r>
          </w:p>
          <w:p>
            <w:pPr>
              <w:pStyle w:val="Normal"/>
              <w:rPr>
                <w:sz w:val="22"/>
                <w:szCs w:val="22"/>
              </w:rPr>
            </w:pPr>
            <w:r>
              <w:rPr>
                <w:sz w:val="22"/>
                <w:szCs w:val="22"/>
              </w:rPr>
              <w:t>Experience of grant processing, audit systems and procedures</w:t>
            </w:r>
          </w:p>
          <w:p>
            <w:pPr>
              <w:pStyle w:val="Normal"/>
              <w:rPr>
                <w:rFonts w:cs="Arial"/>
                <w:sz w:val="22"/>
                <w:szCs w:val="22"/>
              </w:rPr>
            </w:pPr>
            <w:r>
              <w:rPr>
                <w:rFonts w:cs="Arial"/>
                <w:sz w:val="22"/>
                <w:szCs w:val="22"/>
              </w:rPr>
            </w:r>
          </w:p>
          <w:p>
            <w:pPr>
              <w:pStyle w:val="Normal"/>
              <w:rPr>
                <w:sz w:val="22"/>
                <w:szCs w:val="22"/>
              </w:rPr>
            </w:pPr>
            <w:r>
              <w:rPr>
                <w:sz w:val="22"/>
                <w:szCs w:val="22"/>
              </w:rPr>
              <w:t>Using Microsoft Office applications (Word, Excel, PowerPoint, Outlook) and computerised financial/accounting management packages</w:t>
            </w:r>
          </w:p>
          <w:p>
            <w:pPr>
              <w:pStyle w:val="Normal"/>
              <w:rPr>
                <w:rFonts w:cs="Arial"/>
                <w:sz w:val="22"/>
                <w:szCs w:val="22"/>
                <w:lang w:eastAsia="en-GB"/>
              </w:rPr>
            </w:pPr>
            <w:r>
              <w:rPr>
                <w:rFonts w:cs="Arial"/>
                <w:sz w:val="22"/>
                <w:szCs w:val="22"/>
                <w:lang w:eastAsia="en-GB"/>
              </w:rPr>
            </w:r>
          </w:p>
          <w:p>
            <w:pPr>
              <w:pStyle w:val="Normal"/>
              <w:rPr>
                <w:rFonts w:cs="Arial"/>
                <w:sz w:val="22"/>
                <w:szCs w:val="22"/>
              </w:rPr>
            </w:pPr>
            <w:r>
              <w:rPr>
                <w:rFonts w:cs="Arial"/>
                <w:sz w:val="22"/>
                <w:szCs w:val="22"/>
              </w:rPr>
              <w:t>Using a range of media tools, e.g. internet for sourcing relevant data.</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Collating, recording, interpreting analysing and summarising complex information from multiple sources</w:t>
            </w:r>
          </w:p>
          <w:p>
            <w:pPr>
              <w:pStyle w:val="Normal"/>
              <w:rPr>
                <w:rFonts w:cs="Arial"/>
                <w:sz w:val="22"/>
                <w:szCs w:val="22"/>
              </w:rPr>
            </w:pPr>
            <w:r>
              <w:rPr>
                <w:rFonts w:cs="Arial"/>
                <w:sz w:val="22"/>
                <w:szCs w:val="22"/>
              </w:rPr>
            </w:r>
          </w:p>
          <w:p>
            <w:pPr>
              <w:pStyle w:val="Normal"/>
              <w:rPr>
                <w:rFonts w:cs="Arial"/>
                <w:sz w:val="22"/>
                <w:szCs w:val="22"/>
                <w:lang w:eastAsia="en-GB"/>
              </w:rPr>
            </w:pPr>
            <w:r>
              <w:rPr>
                <w:rFonts w:cs="Arial"/>
                <w:sz w:val="22"/>
                <w:szCs w:val="22"/>
                <w:lang w:eastAsia="en-GB"/>
              </w:rPr>
              <w:t>Working with financial systems, records and undertaking complex financial assessments.</w:t>
            </w:r>
          </w:p>
          <w:p>
            <w:pPr>
              <w:pStyle w:val="Normal"/>
              <w:rPr>
                <w:rFonts w:cs="Arial"/>
                <w:sz w:val="22"/>
                <w:szCs w:val="22"/>
                <w:lang w:eastAsia="en-GB"/>
              </w:rPr>
            </w:pPr>
            <w:r>
              <w:rPr>
                <w:rFonts w:cs="Arial"/>
                <w:sz w:val="22"/>
                <w:szCs w:val="22"/>
                <w:lang w:eastAsia="en-GB"/>
              </w:rPr>
            </w:r>
          </w:p>
          <w:p>
            <w:pPr>
              <w:pStyle w:val="Normal"/>
              <w:rPr>
                <w:sz w:val="22"/>
                <w:szCs w:val="22"/>
              </w:rPr>
            </w:pPr>
            <w:r>
              <w:rPr>
                <w:sz w:val="22"/>
                <w:szCs w:val="22"/>
              </w:rPr>
              <w:t>Experience of providing high level customer care and communicating information and complex information to a variety of audiences</w:t>
            </w:r>
          </w:p>
          <w:p>
            <w:pPr>
              <w:pStyle w:val="Normal"/>
              <w:rPr>
                <w:rFonts w:cs="Arial"/>
                <w:sz w:val="22"/>
                <w:szCs w:val="22"/>
              </w:rPr>
            </w:pPr>
            <w:r>
              <w:rPr>
                <w:rFonts w:cs="Arial"/>
                <w:sz w:val="22"/>
                <w:szCs w:val="22"/>
              </w:rPr>
            </w:r>
          </w:p>
        </w:tc>
        <w:tc>
          <w:tcPr>
            <w:tcW w:w="2126"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Experience of liaising with a wide range of agencies across the public, private and voluntary sector.</w:t>
            </w:r>
          </w:p>
        </w:tc>
        <w:tc>
          <w:tcPr>
            <w:tcW w:w="133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tc>
      </w:tr>
      <w:tr>
        <w:trPr>
          <w:trHeight w:val="7966" w:hRule="atLeast"/>
        </w:trPr>
        <w:tc>
          <w:tcPr>
            <w:tcW w:w="1741"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5245"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Analytical skills to investigate and interpret complex data sets, draw conclusions and make practical recommendations for action. Including proven ability to concentrate, to be methodical and have attention to detail for the processing of financial information and grants</w:t>
            </w:r>
          </w:p>
          <w:p>
            <w:pPr>
              <w:pStyle w:val="Normal"/>
              <w:rPr>
                <w:sz w:val="22"/>
                <w:szCs w:val="22"/>
              </w:rPr>
            </w:pPr>
            <w:r>
              <w:rPr>
                <w:sz w:val="22"/>
                <w:szCs w:val="22"/>
              </w:rPr>
            </w:r>
          </w:p>
          <w:p>
            <w:pPr>
              <w:pStyle w:val="Normal"/>
              <w:rPr>
                <w:sz w:val="22"/>
                <w:szCs w:val="22"/>
              </w:rPr>
            </w:pPr>
            <w:r>
              <w:rPr>
                <w:sz w:val="22"/>
                <w:szCs w:val="22"/>
              </w:rPr>
              <w:t>Interpersonal skills to establish and maintain effective working relationships with partners and childcare providers to provide technical advice and guidance.</w:t>
            </w:r>
          </w:p>
          <w:p>
            <w:pPr>
              <w:pStyle w:val="Normal"/>
              <w:rPr>
                <w:sz w:val="22"/>
                <w:szCs w:val="22"/>
              </w:rPr>
            </w:pPr>
            <w:r>
              <w:rPr>
                <w:sz w:val="22"/>
                <w:szCs w:val="22"/>
              </w:rPr>
            </w:r>
          </w:p>
          <w:p>
            <w:pPr>
              <w:pStyle w:val="Normal"/>
              <w:rPr>
                <w:rFonts w:cs="Arial"/>
                <w:sz w:val="22"/>
                <w:szCs w:val="22"/>
                <w:lang w:eastAsia="en-GB"/>
              </w:rPr>
            </w:pPr>
            <w:r>
              <w:rPr>
                <w:rFonts w:cs="Arial"/>
                <w:sz w:val="22"/>
                <w:szCs w:val="22"/>
                <w:lang w:eastAsia="en-GB"/>
              </w:rPr>
              <w:t>Ability to influence and negotiate with others</w:t>
            </w:r>
          </w:p>
          <w:p>
            <w:pPr>
              <w:pStyle w:val="Normal"/>
              <w:rPr>
                <w:sz w:val="22"/>
                <w:szCs w:val="22"/>
              </w:rPr>
            </w:pPr>
            <w:r>
              <w:rPr>
                <w:sz w:val="22"/>
                <w:szCs w:val="22"/>
              </w:rPr>
            </w:r>
          </w:p>
          <w:p>
            <w:pPr>
              <w:pStyle w:val="Normal"/>
              <w:rPr/>
            </w:pPr>
            <w:r>
              <w:rPr>
                <w:sz w:val="22"/>
                <w:szCs w:val="22"/>
              </w:rPr>
              <w:t>Written communication skills to compile clear and concise reports and presentations from databases that are accurate and up to date</w:t>
            </w:r>
            <w:r>
              <w:rPr>
                <w:rFonts w:cs="Arial"/>
                <w:sz w:val="22"/>
                <w:szCs w:val="22"/>
              </w:rPr>
              <w:t xml:space="preserve"> </w:t>
            </w:r>
          </w:p>
          <w:p>
            <w:pPr>
              <w:pStyle w:val="Normal"/>
              <w:rPr>
                <w:sz w:val="22"/>
                <w:szCs w:val="22"/>
              </w:rPr>
            </w:pPr>
            <w:r>
              <w:rPr>
                <w:sz w:val="22"/>
                <w:szCs w:val="22"/>
              </w:rPr>
            </w:r>
          </w:p>
          <w:p>
            <w:pPr>
              <w:pStyle w:val="Normal"/>
              <w:rPr>
                <w:sz w:val="22"/>
                <w:szCs w:val="22"/>
              </w:rPr>
            </w:pPr>
            <w:r>
              <w:rPr>
                <w:sz w:val="22"/>
                <w:szCs w:val="22"/>
              </w:rPr>
              <w:t>Organisational skills to prioritise own work and to complete tasks to potentially conflicting deadlines</w:t>
            </w:r>
          </w:p>
          <w:p>
            <w:pPr>
              <w:pStyle w:val="Normal"/>
              <w:rPr>
                <w:sz w:val="22"/>
                <w:szCs w:val="22"/>
              </w:rPr>
            </w:pPr>
            <w:r>
              <w:rPr>
                <w:sz w:val="22"/>
                <w:szCs w:val="22"/>
              </w:rPr>
            </w:r>
          </w:p>
          <w:p>
            <w:pPr>
              <w:pStyle w:val="Normal"/>
              <w:rPr>
                <w:sz w:val="22"/>
                <w:szCs w:val="22"/>
              </w:rPr>
            </w:pPr>
            <w:r>
              <w:rPr>
                <w:sz w:val="22"/>
                <w:szCs w:val="22"/>
              </w:rPr>
              <w:t>Teamwork skills to ensure work is consistently completed to service quality standards and deadlines are achieved</w:t>
            </w:r>
          </w:p>
          <w:p>
            <w:pPr>
              <w:pStyle w:val="Normal"/>
              <w:rPr>
                <w:sz w:val="22"/>
                <w:szCs w:val="22"/>
              </w:rPr>
            </w:pPr>
            <w:r>
              <w:rPr>
                <w:sz w:val="22"/>
                <w:szCs w:val="22"/>
              </w:rPr>
            </w:r>
          </w:p>
          <w:p>
            <w:pPr>
              <w:pStyle w:val="Normal"/>
              <w:rPr>
                <w:sz w:val="22"/>
                <w:szCs w:val="22"/>
              </w:rPr>
            </w:pPr>
            <w:r>
              <w:rPr>
                <w:sz w:val="22"/>
                <w:szCs w:val="22"/>
              </w:rPr>
              <w:t>Able to complete site visits to childcare providers, to carry out support and audit visits and monitor action plans</w:t>
            </w:r>
          </w:p>
          <w:p>
            <w:pPr>
              <w:pStyle w:val="Normal"/>
              <w:rPr>
                <w:rFonts w:cs="Arial"/>
                <w:sz w:val="22"/>
                <w:szCs w:val="22"/>
                <w:lang w:eastAsia="en-GB"/>
              </w:rPr>
            </w:pPr>
            <w:r>
              <w:rPr>
                <w:rFonts w:cs="Arial"/>
                <w:sz w:val="22"/>
                <w:szCs w:val="22"/>
                <w:lang w:eastAsia="en-GB"/>
              </w:rPr>
            </w:r>
          </w:p>
          <w:p>
            <w:pPr>
              <w:pStyle w:val="Normal"/>
              <w:rPr>
                <w:rFonts w:cs="Arial"/>
                <w:sz w:val="22"/>
                <w:szCs w:val="22"/>
              </w:rPr>
            </w:pPr>
            <w:r>
              <w:rPr>
                <w:rFonts w:cs="Arial"/>
                <w:sz w:val="22"/>
                <w:szCs w:val="22"/>
              </w:rPr>
              <w:t>Strong skills in using Microsoft Office applications – Word, Excel, PowerPoint and Outlook</w:t>
            </w:r>
          </w:p>
          <w:p>
            <w:pPr>
              <w:pStyle w:val="Normal"/>
              <w:rPr>
                <w:rFonts w:cs="Arial"/>
                <w:sz w:val="22"/>
                <w:szCs w:val="22"/>
              </w:rPr>
            </w:pPr>
            <w:r>
              <w:rPr>
                <w:rFonts w:cs="Arial"/>
                <w:sz w:val="22"/>
                <w:szCs w:val="22"/>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33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w:t>
            </w:r>
          </w:p>
          <w:p>
            <w:pPr>
              <w:pStyle w:val="Normal"/>
              <w:rPr>
                <w:rFonts w:cs="Arial"/>
                <w:sz w:val="22"/>
                <w:szCs w:val="22"/>
              </w:rPr>
            </w:pPr>
            <w:r>
              <w:rPr>
                <w:rFonts w:cs="Arial"/>
                <w:sz w:val="22"/>
                <w:szCs w:val="22"/>
              </w:rPr>
            </w:r>
          </w:p>
        </w:tc>
      </w:tr>
      <w:tr>
        <w:trPr/>
        <w:tc>
          <w:tcPr>
            <w:tcW w:w="1741"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5245" w:type="dxa"/>
            <w:tcBorders>
              <w:top w:val="single" w:sz="4" w:space="0" w:color="000000"/>
              <w:left w:val="single" w:sz="4" w:space="0" w:color="000000"/>
              <w:bottom w:val="single" w:sz="4" w:space="0" w:color="000000"/>
            </w:tcBorders>
            <w:shd w:fill="auto" w:val="clear"/>
          </w:tcPr>
          <w:p>
            <w:pPr>
              <w:pStyle w:val="Normal"/>
              <w:rPr>
                <w:sz w:val="22"/>
                <w:szCs w:val="22"/>
                <w:lang w:val="en-US"/>
              </w:rPr>
            </w:pPr>
            <w:r>
              <w:rPr>
                <w:sz w:val="22"/>
                <w:szCs w:val="22"/>
                <w:lang w:val="en-US"/>
              </w:rPr>
              <w:t>Knowledge of key national policy drivers, Legislation, guidance and broader influences relating to the role</w:t>
            </w:r>
          </w:p>
          <w:p>
            <w:pPr>
              <w:pStyle w:val="Normal"/>
              <w:rPr>
                <w:rFonts w:cs="Arial"/>
                <w:sz w:val="22"/>
                <w:szCs w:val="22"/>
                <w:lang w:val="en-US"/>
              </w:rPr>
            </w:pPr>
            <w:r>
              <w:rPr>
                <w:rFonts w:cs="Arial"/>
                <w:sz w:val="22"/>
                <w:szCs w:val="22"/>
                <w:lang w:val="en-US"/>
              </w:rPr>
            </w:r>
          </w:p>
          <w:p>
            <w:pPr>
              <w:pStyle w:val="Normal"/>
              <w:rPr>
                <w:sz w:val="22"/>
                <w:szCs w:val="22"/>
                <w:lang w:val="en-US"/>
              </w:rPr>
            </w:pPr>
            <w:r>
              <w:rPr>
                <w:sz w:val="22"/>
                <w:szCs w:val="22"/>
                <w:lang w:val="en-US"/>
              </w:rPr>
              <w:t>Knowledge of grant terms and conditions relating to Early Years funding arrangements</w:t>
            </w:r>
          </w:p>
          <w:p>
            <w:pPr>
              <w:pStyle w:val="Normal"/>
              <w:rPr>
                <w:rFonts w:cs="Arial"/>
                <w:sz w:val="22"/>
                <w:szCs w:val="22"/>
                <w:lang w:val="en-US"/>
              </w:rPr>
            </w:pPr>
            <w:r>
              <w:rPr>
                <w:rFonts w:cs="Arial"/>
                <w:sz w:val="22"/>
                <w:szCs w:val="22"/>
                <w:lang w:val="en-US"/>
              </w:rPr>
            </w:r>
          </w:p>
          <w:p>
            <w:pPr>
              <w:pStyle w:val="Normal"/>
              <w:rPr>
                <w:sz w:val="22"/>
                <w:szCs w:val="22"/>
                <w:lang w:val="en-US"/>
              </w:rPr>
            </w:pPr>
            <w:r>
              <w:rPr>
                <w:sz w:val="22"/>
                <w:szCs w:val="22"/>
                <w:lang w:val="en-US"/>
              </w:rPr>
              <w:t>Knowledge of project mannagement methodoligies and how they are applied in business context.</w:t>
            </w:r>
          </w:p>
          <w:p>
            <w:pPr>
              <w:pStyle w:val="Normal"/>
              <w:rPr>
                <w:rFonts w:cs="Arial"/>
                <w:sz w:val="22"/>
                <w:szCs w:val="22"/>
                <w:lang w:val="en-US"/>
              </w:rPr>
            </w:pPr>
            <w:r>
              <w:rPr>
                <w:rFonts w:cs="Arial"/>
                <w:sz w:val="22"/>
                <w:szCs w:val="22"/>
                <w:lang w:val="en-US"/>
              </w:rPr>
            </w:r>
          </w:p>
          <w:p>
            <w:pPr>
              <w:pStyle w:val="Normal"/>
              <w:rPr>
                <w:rFonts w:cs="Arial"/>
                <w:sz w:val="22"/>
                <w:szCs w:val="22"/>
                <w:lang w:val="en-US"/>
              </w:rPr>
            </w:pPr>
            <w:r>
              <w:rPr>
                <w:rFonts w:cs="Arial"/>
                <w:sz w:val="22"/>
                <w:szCs w:val="22"/>
                <w:lang w:val="en-US"/>
              </w:rPr>
              <w:t>Knowledge of Equal Opportunities and the ability to apply to working practices</w:t>
            </w:r>
          </w:p>
          <w:p>
            <w:pPr>
              <w:pStyle w:val="Normal"/>
              <w:rPr>
                <w:rFonts w:cs="Arial"/>
                <w:sz w:val="22"/>
                <w:szCs w:val="22"/>
                <w:lang w:val="en-US"/>
              </w:rPr>
            </w:pPr>
            <w:r>
              <w:rPr>
                <w:rFonts w:cs="Arial"/>
                <w:sz w:val="22"/>
                <w:szCs w:val="22"/>
                <w:lang w:val="en-US"/>
              </w:rPr>
            </w:r>
          </w:p>
          <w:p>
            <w:pPr>
              <w:pStyle w:val="Normal"/>
              <w:rPr>
                <w:sz w:val="22"/>
                <w:szCs w:val="22"/>
                <w:lang w:val="en-US"/>
              </w:rPr>
            </w:pPr>
            <w:r>
              <w:rPr>
                <w:sz w:val="22"/>
                <w:szCs w:val="22"/>
                <w:lang w:val="en-US"/>
              </w:rPr>
              <w:t>Knowledge of information security and data protection and its importance</w:t>
            </w:r>
          </w:p>
          <w:p>
            <w:pPr>
              <w:pStyle w:val="Normal"/>
              <w:rPr>
                <w:rFonts w:cs="Arial"/>
                <w:sz w:val="22"/>
                <w:szCs w:val="22"/>
                <w:lang w:val="en-US"/>
              </w:rPr>
            </w:pPr>
            <w:r>
              <w:rPr>
                <w:rFonts w:cs="Arial"/>
                <w:sz w:val="22"/>
                <w:szCs w:val="22"/>
                <w:lang w:val="en-US"/>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tc>
        <w:tc>
          <w:tcPr>
            <w:tcW w:w="133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tc>
      </w:tr>
      <w:tr>
        <w:trPr/>
        <w:tc>
          <w:tcPr>
            <w:tcW w:w="1741"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ind w:left="0" w:right="-114" w:hanging="0"/>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5245"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 xml:space="preserve">Able to travel to different sites across the Borough </w:t>
            </w:r>
          </w:p>
          <w:p>
            <w:pPr>
              <w:pStyle w:val="Normal"/>
              <w:rPr>
                <w:rFonts w:cs="Arial"/>
                <w:sz w:val="22"/>
                <w:szCs w:val="22"/>
              </w:rPr>
            </w:pPr>
            <w:r>
              <w:rPr>
                <w:rFonts w:cs="Arial"/>
                <w:sz w:val="22"/>
                <w:szCs w:val="22"/>
              </w:rPr>
            </w:r>
          </w:p>
          <w:p>
            <w:pPr>
              <w:pStyle w:val="Normal"/>
              <w:tabs>
                <w:tab w:val="clear" w:pos="720"/>
                <w:tab w:val="left" w:pos="389" w:leader="none"/>
              </w:tabs>
              <w:overflowPunct w:val="true"/>
              <w:textAlignment w:val="baseline"/>
              <w:rPr>
                <w:rFonts w:cs="Arial"/>
              </w:rPr>
            </w:pPr>
            <w:r>
              <w:rPr>
                <w:rFonts w:cs="Arial"/>
              </w:rPr>
              <w:t>Able to work flexibly to meet the demands of the service (including evening and weekend as necessary)</w:t>
            </w:r>
          </w:p>
          <w:p>
            <w:pPr>
              <w:pStyle w:val="Normal"/>
              <w:rPr>
                <w:rFonts w:cs="Arial"/>
                <w:sz w:val="22"/>
                <w:szCs w:val="22"/>
              </w:rPr>
            </w:pPr>
            <w:r>
              <w:rPr>
                <w:rFonts w:cs="Arial"/>
                <w:sz w:val="22"/>
                <w:szCs w:val="22"/>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33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AF/I</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jc w:val="both"/>
        <w:rPr/>
      </w:pPr>
      <w:r>
        <w:rPr/>
      </w:r>
    </w:p>
    <w:sectPr>
      <w:headerReference w:type="default" r:id="rId2"/>
      <w:headerReference w:type="first" r:id="rId3"/>
      <w:footerReference w:type="default" r:id="rId4"/>
      <w:footerReference w:type="first" r:id="rId5"/>
      <w:type w:val="nextPage"/>
      <w:pgSz w:w="11906" w:h="16838"/>
      <w:pgMar w:left="1440" w:right="1440" w:header="567" w:top="624" w:footer="709" w:bottom="1135"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szCs w:val="22"/>
        <w:rFonts w:cs="Symbol"/>
        <w:lang w:val="en" w:eastAsia="en-GB"/>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szCs w:val="22"/>
      <w:lang w:val="en" w:eastAsia="en-GB"/>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BodyText2Char">
    <w:name w:val="Body Text 2 Char"/>
    <w:basedOn w:val="DefaultParagraphFont"/>
    <w:qFormat/>
    <w:rPr>
      <w:rFonts w:ascii="Arial" w:hAnsi="Arial" w:cs="Arial"/>
      <w:sz w:val="24"/>
      <w:szCs w:val="24"/>
      <w:lang w:eastAsia="en-US"/>
    </w:rPr>
  </w:style>
  <w:style w:type="character" w:styleId="FooterChar">
    <w:name w:val="Footer Char"/>
    <w:basedOn w:val="DefaultParagraphFont"/>
    <w:qFormat/>
    <w:rPr>
      <w:rFonts w:ascii="Arial" w:hAnsi="Arial" w:cs="Arial"/>
      <w:sz w:val="24"/>
      <w:szCs w:val="24"/>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BodyText2">
    <w:name w:val="Body Text 2"/>
    <w:basedOn w:val="Normal"/>
    <w:qFormat/>
    <w:pPr>
      <w:spacing w:lineRule="auto" w:line="480" w:before="0" w:after="120"/>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2026-06-03T09:05:00Z</dcterms:created>
  <dc:creator>OMBC</dc:creator>
  <dc:description/>
  <dc:language>en-US</dc:language>
  <cp:lastModifiedBy>Ian Robinson (HR)</cp:lastModifiedBy>
  <cp:lastPrinted>1995-11-21T17:41:00Z</cp:lastPrinted>
  <dcterms:modified xsi:type="dcterms:W3CDTF">2026-06-03T09:05:00Z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