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451"/>
        <w:gridCol w:w="8998"/>
      </w:tblGrid>
      <w:tr>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Empty Homes Co-ordinator</w:t>
            </w:r>
          </w:p>
        </w:tc>
      </w:tr>
    </w:tbl>
    <w:p>
      <w:pPr>
        <w:pStyle w:val="Normal"/>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575"/>
        <w:gridCol w:w="2745"/>
        <w:gridCol w:w="2179"/>
        <w:gridCol w:w="3950"/>
      </w:tblGrid>
      <w:tr>
        <w:trPr/>
        <w:tc>
          <w:tcPr>
            <w:tcW w:w="1575"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Place</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Communities</w:t>
            </w:r>
          </w:p>
          <w:p>
            <w:pPr>
              <w:pStyle w:val="Normal"/>
              <w:rPr>
                <w:rFonts w:cs="Arial"/>
                <w:sz w:val="22"/>
                <w:szCs w:val="22"/>
              </w:rPr>
            </w:pPr>
            <w:r>
              <w:rPr>
                <w:rFonts w:cs="Arial"/>
                <w:sz w:val="22"/>
                <w:szCs w:val="22"/>
              </w:rPr>
            </w:r>
          </w:p>
        </w:tc>
      </w:tr>
      <w:tr>
        <w:trPr/>
        <w:tc>
          <w:tcPr>
            <w:tcW w:w="1575"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 w:val="22"/>
                <w:szCs w:val="22"/>
              </w:rPr>
            </w:pPr>
            <w:r>
              <w:rPr>
                <w:rFonts w:cs="Arial"/>
                <w:sz w:val="22"/>
                <w:szCs w:val="22"/>
              </w:rPr>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rPr>
                <w:rFonts w:cs="Arial"/>
                <w:szCs w:val="22"/>
              </w:rPr>
            </w:pPr>
            <w:r>
              <w:rPr>
                <w:rFonts w:cs="Arial"/>
                <w:szCs w:val="22"/>
              </w:rPr>
            </w:r>
          </w:p>
        </w:tc>
      </w:tr>
    </w:tbl>
    <w:p>
      <w:pPr>
        <w:pStyle w:val="Normal"/>
        <w:rPr>
          <w:rFonts w:cs="Arial"/>
          <w:sz w:val="22"/>
          <w:szCs w:val="22"/>
        </w:rPr>
      </w:pPr>
      <w:r>
        <w:rPr>
          <w:rFonts w:cs="Arial"/>
          <w:sz w:val="22"/>
          <w:szCs w:val="22"/>
        </w:rPr>
      </w:r>
    </w:p>
    <w:tbl>
      <w:tblPr>
        <w:tblW w:w="10358" w:type="dxa"/>
        <w:jc w:val="left"/>
        <w:tblInd w:w="-672"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bCs/>
                <w:sz w:val="22"/>
                <w:szCs w:val="22"/>
              </w:rPr>
            </w:pPr>
            <w:r>
              <w:rPr>
                <w:rFonts w:cs="Arial"/>
                <w:bCs/>
                <w:sz w:val="22"/>
                <w:szCs w:val="22"/>
              </w:rPr>
              <w:t xml:space="preserve">To contribute to the development, implementation and delivery of the Council’s Empty Homes Strategy, </w:t>
            </w:r>
          </w:p>
          <w:p>
            <w:pPr>
              <w:pStyle w:val="Normal"/>
              <w:jc w:val="both"/>
              <w:rPr>
                <w:rFonts w:cs="Arial"/>
                <w:bCs/>
                <w:sz w:val="22"/>
                <w:szCs w:val="22"/>
              </w:rPr>
            </w:pPr>
            <w:r>
              <w:rPr>
                <w:rFonts w:cs="Arial"/>
                <w:bCs/>
                <w:sz w:val="22"/>
                <w:szCs w:val="22"/>
              </w:rPr>
              <w:t>to bring empty homes into use through utilising a range of statutory powers and funding a range of statutory and voluntary provisions contained within the strategy and relevant funding programmes.</w:t>
            </w:r>
          </w:p>
          <w:p>
            <w:pPr>
              <w:pStyle w:val="Normal"/>
              <w:jc w:val="both"/>
              <w:rPr>
                <w:rFonts w:cs="Arial"/>
                <w:bCs/>
                <w:sz w:val="22"/>
                <w:szCs w:val="22"/>
              </w:rPr>
            </w:pPr>
            <w:r>
              <w:rPr>
                <w:rFonts w:cs="Arial"/>
                <w:bCs/>
                <w:sz w:val="22"/>
                <w:szCs w:val="22"/>
              </w:rPr>
            </w:r>
          </w:p>
          <w:p>
            <w:pPr>
              <w:pStyle w:val="Normal"/>
              <w:spacing w:lineRule="auto" w:line="276" w:before="0" w:after="160"/>
              <w:rPr>
                <w:rFonts w:cs="Arial"/>
                <w:sz w:val="22"/>
                <w:szCs w:val="22"/>
              </w:rPr>
            </w:pPr>
            <w:r>
              <w:rPr>
                <w:rFonts w:cs="Arial"/>
                <w:sz w:val="22"/>
                <w:szCs w:val="22"/>
              </w:rPr>
              <w:t>The postholder will work with property owners, executors, landlords, developers and partner organisations to bring empty homes back into use, helping to increase housing supply, improve neighbourhoods and support the Council's wider housing and regeneration objectives.</w:t>
            </w:r>
          </w:p>
          <w:p>
            <w:pPr>
              <w:pStyle w:val="Normal"/>
              <w:spacing w:lineRule="auto" w:line="276" w:before="0" w:after="160"/>
              <w:rPr>
                <w:rFonts w:cs="Arial"/>
                <w:sz w:val="22"/>
                <w:szCs w:val="22"/>
              </w:rPr>
            </w:pPr>
            <w:r>
              <w:rPr>
                <w:rFonts w:cs="Arial"/>
                <w:sz w:val="22"/>
                <w:szCs w:val="22"/>
              </w:rPr>
              <w:t>The postholder will manage a complex caseload of empty homes, maintain and develop the Council's Empty Homes Database, undertake property inspections and ownership investigations, and utilise a range of informal and formal interventions to secure positive outcomes. This will include providing advice, guidance and practical assistance to owners, as well as supporting enforcement action where voluntary solutions cannot be achieved.</w:t>
            </w:r>
          </w:p>
          <w:p>
            <w:pPr>
              <w:pStyle w:val="Normal"/>
              <w:spacing w:lineRule="auto" w:line="276" w:before="0" w:after="160"/>
              <w:rPr>
                <w:rFonts w:cs="Arial"/>
                <w:sz w:val="22"/>
                <w:szCs w:val="22"/>
              </w:rPr>
            </w:pPr>
            <w:r>
              <w:rPr>
                <w:rFonts w:cs="Arial"/>
                <w:sz w:val="22"/>
                <w:szCs w:val="22"/>
              </w:rPr>
              <w:t>In addition, the postholder will support the delivery of investment and intervention programmes designed to increase the number of long-term empty homes returned to occupation. Working with funding provided through the Greater Manchester Empty Homes Programme and other opportunities that may arise, the postholder will identify suitable properties for intervention, develop solutions to overcome barriers to occupation, and support the effective use of financial assistance, refurbishment, leasing, acquisition and other initiatives that contribute to the re-use of vacant homes.</w:t>
            </w:r>
          </w:p>
          <w:p>
            <w:pPr>
              <w:pStyle w:val="Normal"/>
              <w:spacing w:lineRule="auto" w:line="276" w:before="0" w:after="160"/>
              <w:rPr>
                <w:rFonts w:cs="Arial"/>
                <w:sz w:val="22"/>
                <w:szCs w:val="22"/>
              </w:rPr>
            </w:pPr>
            <w:r>
              <w:rPr>
                <w:rFonts w:cs="Arial"/>
                <w:sz w:val="22"/>
                <w:szCs w:val="22"/>
              </w:rPr>
              <w:t>Working collaboratively with colleagues across Housing, Revenues and Benefits, Legal Services, Planning, Environmental Health, Registered Providers and Greater Manchester partners, the postholder will play a key role in reducing empty homes, improving communities, maximising the use of existing housing stock and delivering the objectives of the Council's Empty Homes Strategy.</w:t>
            </w:r>
          </w:p>
        </w:tc>
      </w:tr>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3"/>
              </w:numPr>
              <w:rPr>
                <w:rFonts w:cs="Arial"/>
                <w:sz w:val="22"/>
                <w:szCs w:val="22"/>
              </w:rPr>
            </w:pPr>
            <w:r>
              <w:rPr>
                <w:rFonts w:cs="Arial"/>
                <w:sz w:val="22"/>
                <w:szCs w:val="22"/>
              </w:rPr>
              <w:t>Working in conjunction with the Housing Strategy Manager to devise, develop and implement the Council's Empty Homes Strategy and associated action plans.</w:t>
              <w:br/>
            </w:r>
          </w:p>
          <w:p>
            <w:pPr>
              <w:pStyle w:val="Normal"/>
              <w:numPr>
                <w:ilvl w:val="0"/>
                <w:numId w:val="3"/>
              </w:numPr>
              <w:rPr>
                <w:rFonts w:cs="Arial"/>
                <w:sz w:val="22"/>
                <w:szCs w:val="22"/>
              </w:rPr>
            </w:pPr>
            <w:r>
              <w:rPr>
                <w:rFonts w:cs="Arial"/>
                <w:sz w:val="22"/>
                <w:szCs w:val="22"/>
              </w:rPr>
              <w:t>To support the delivery of a professional and effective Empty Homes Service, helping to develop policy, procedures and operational mechanisms, whilst ensuring compliance with relevant legislation, guidance and best practice and maintaining effective relationships with a range of internal and external stakeholders.</w:t>
            </w:r>
          </w:p>
          <w:p>
            <w:pPr>
              <w:pStyle w:val="Normal"/>
              <w:ind w:left="720" w:right="0" w:hanging="0"/>
              <w:rPr>
                <w:rFonts w:cs="Arial"/>
                <w:sz w:val="22"/>
                <w:szCs w:val="22"/>
              </w:rPr>
            </w:pPr>
            <w:r>
              <w:rPr>
                <w:rFonts w:cs="Arial"/>
                <w:sz w:val="22"/>
                <w:szCs w:val="22"/>
              </w:rPr>
            </w:r>
          </w:p>
          <w:p>
            <w:pPr>
              <w:pStyle w:val="Normal"/>
              <w:numPr>
                <w:ilvl w:val="0"/>
                <w:numId w:val="3"/>
              </w:numPr>
              <w:rPr>
                <w:rFonts w:cs="Arial"/>
                <w:sz w:val="22"/>
                <w:szCs w:val="22"/>
              </w:rPr>
            </w:pPr>
            <w:r>
              <w:rPr>
                <w:rFonts w:cs="Arial"/>
                <w:sz w:val="22"/>
                <w:szCs w:val="22"/>
              </w:rPr>
              <w:t>To trace, engage and communicate with owners, occupiers, executors, landlords and other relevant parties associated with empty properties to facilitate the return of properties to occupation.</w:t>
              <w:br/>
            </w:r>
          </w:p>
          <w:p>
            <w:pPr>
              <w:pStyle w:val="Normal"/>
              <w:numPr>
                <w:ilvl w:val="0"/>
                <w:numId w:val="3"/>
              </w:numPr>
              <w:rPr>
                <w:rFonts w:cs="Arial"/>
                <w:sz w:val="22"/>
                <w:szCs w:val="22"/>
              </w:rPr>
            </w:pPr>
            <w:r>
              <w:rPr>
                <w:rFonts w:cs="Arial"/>
                <w:sz w:val="22"/>
                <w:szCs w:val="22"/>
              </w:rPr>
              <w:t>To act as a key point of contact for empty homes enquiries, ensuring appropriate, timely and customer-focused responses to residents, elected members, partners and other stakeholders.</w:t>
              <w:br/>
            </w:r>
          </w:p>
          <w:p>
            <w:pPr>
              <w:pStyle w:val="Normal"/>
              <w:numPr>
                <w:ilvl w:val="0"/>
                <w:numId w:val="3"/>
              </w:numPr>
              <w:rPr>
                <w:rFonts w:cs="Arial"/>
                <w:sz w:val="22"/>
                <w:szCs w:val="22"/>
              </w:rPr>
            </w:pPr>
            <w:r>
              <w:rPr>
                <w:rFonts w:cs="Arial"/>
                <w:sz w:val="22"/>
                <w:szCs w:val="22"/>
              </w:rPr>
              <w:t>To support the Council's intervention and enforcement activity in relation to empty properties and coordinate activity with colleagues across Strategic Housing, Regeneration, Planning, Revenues and Benefits, Legal Services, Environmental Health and other relevant teams.</w:t>
            </w:r>
          </w:p>
          <w:p>
            <w:pPr>
              <w:pStyle w:val="Normal"/>
              <w:ind w:left="720" w:right="0" w:hanging="0"/>
              <w:rPr>
                <w:rFonts w:cs="Arial"/>
                <w:sz w:val="22"/>
                <w:szCs w:val="22"/>
              </w:rPr>
            </w:pPr>
            <w:r>
              <w:rPr>
                <w:rFonts w:cs="Arial"/>
                <w:sz w:val="22"/>
                <w:szCs w:val="22"/>
              </w:rPr>
            </w:r>
          </w:p>
          <w:p>
            <w:pPr>
              <w:pStyle w:val="Normal"/>
              <w:numPr>
                <w:ilvl w:val="0"/>
                <w:numId w:val="3"/>
              </w:numPr>
              <w:rPr>
                <w:rFonts w:cs="Arial"/>
                <w:sz w:val="22"/>
                <w:szCs w:val="22"/>
              </w:rPr>
            </w:pPr>
            <w:r>
              <w:rPr>
                <w:rFonts w:cs="Arial"/>
                <w:sz w:val="22"/>
                <w:szCs w:val="22"/>
              </w:rPr>
              <w:t>To work with relevant colleagues to prepare schedules of work, Statements of Reasons, evidence packs, statutory notices, reports and supporting documentation required to progress interventions and enforcement action.</w:t>
              <w:br/>
            </w:r>
          </w:p>
          <w:p>
            <w:pPr>
              <w:pStyle w:val="Normal"/>
              <w:numPr>
                <w:ilvl w:val="0"/>
                <w:numId w:val="3"/>
              </w:numPr>
              <w:rPr>
                <w:rFonts w:cs="Arial"/>
                <w:sz w:val="22"/>
                <w:szCs w:val="22"/>
              </w:rPr>
            </w:pPr>
            <w:r>
              <w:rPr>
                <w:rFonts w:cs="Arial"/>
                <w:sz w:val="22"/>
                <w:szCs w:val="22"/>
              </w:rPr>
              <w:t>Under the guidance of the Housing Strategy Manager, to investigate, prepare and progress enforcement and intervention activities in relation to empty properties, including but not limited to property auctions, Empty Dwelling Management Orders (EDMOs), Enforced Sale Procedures, Compulsory Purchase Orders (CPOs) and other statutory powers available to the Council.</w:t>
              <w:br/>
            </w:r>
          </w:p>
          <w:p>
            <w:pPr>
              <w:pStyle w:val="Normal"/>
              <w:numPr>
                <w:ilvl w:val="0"/>
                <w:numId w:val="3"/>
              </w:numPr>
              <w:rPr>
                <w:rFonts w:cs="Arial"/>
                <w:sz w:val="22"/>
                <w:szCs w:val="22"/>
              </w:rPr>
            </w:pPr>
            <w:r>
              <w:rPr>
                <w:rFonts w:cs="Arial"/>
                <w:sz w:val="22"/>
                <w:szCs w:val="22"/>
              </w:rPr>
              <w:t>To assess, risk-rate and prioritise empty homes cases in accordance with the Council's Empty Homes Strategy, procedures and prioritisation framework, ensuring resources are targeted at properties presenting the greatest risk or opportunity.</w:t>
              <w:br/>
            </w:r>
          </w:p>
          <w:p>
            <w:pPr>
              <w:pStyle w:val="Normal"/>
              <w:numPr>
                <w:ilvl w:val="0"/>
                <w:numId w:val="3"/>
              </w:numPr>
              <w:rPr>
                <w:rFonts w:cs="Arial"/>
                <w:sz w:val="22"/>
                <w:szCs w:val="22"/>
              </w:rPr>
            </w:pPr>
            <w:r>
              <w:rPr>
                <w:rFonts w:cs="Arial"/>
                <w:sz w:val="22"/>
                <w:szCs w:val="22"/>
              </w:rPr>
              <w:t>To develop, maintain and monitor the Council's Empty Homes Database, coordinating the collection, analysis and sharing of relevant information with other services and organisations in accordance with GDPR and information governance requirements.</w:t>
              <w:br/>
            </w:r>
          </w:p>
          <w:p>
            <w:pPr>
              <w:pStyle w:val="Normal"/>
              <w:numPr>
                <w:ilvl w:val="0"/>
                <w:numId w:val="3"/>
              </w:numPr>
              <w:rPr>
                <w:rFonts w:cs="Arial"/>
                <w:sz w:val="22"/>
                <w:szCs w:val="22"/>
              </w:rPr>
            </w:pPr>
            <w:r>
              <w:rPr>
                <w:rFonts w:cs="Arial"/>
                <w:sz w:val="22"/>
                <w:szCs w:val="22"/>
              </w:rPr>
              <w:t>To contribute to the development, implementation and delivery of new initiatives, incentives and intervention programmes, including grant assistance, leasing schemes, acquisition opportunities and other measures designed to bring empty properties back into use.</w:t>
              <w:br/>
            </w:r>
          </w:p>
          <w:p>
            <w:pPr>
              <w:pStyle w:val="Normal"/>
              <w:numPr>
                <w:ilvl w:val="0"/>
                <w:numId w:val="3"/>
              </w:numPr>
              <w:rPr>
                <w:rFonts w:cs="Arial"/>
                <w:sz w:val="22"/>
                <w:szCs w:val="22"/>
              </w:rPr>
            </w:pPr>
            <w:r>
              <w:rPr>
                <w:rFonts w:cs="Arial"/>
                <w:sz w:val="22"/>
                <w:szCs w:val="22"/>
              </w:rPr>
              <w:t>To identify properties suitable for investment and financial intervention and support the administration, monitoring and evaluation of funding programmes designed to facilitate property refurbishment and occupation.</w:t>
              <w:br/>
            </w:r>
          </w:p>
          <w:p>
            <w:pPr>
              <w:pStyle w:val="Normal"/>
              <w:numPr>
                <w:ilvl w:val="0"/>
                <w:numId w:val="3"/>
              </w:numPr>
              <w:rPr>
                <w:rFonts w:cs="Arial"/>
                <w:sz w:val="22"/>
                <w:szCs w:val="22"/>
              </w:rPr>
            </w:pPr>
            <w:r>
              <w:rPr>
                <w:rFonts w:cs="Arial"/>
                <w:sz w:val="22"/>
                <w:szCs w:val="22"/>
              </w:rPr>
              <w:t>To work closely with Revenues and Benefits, Legal Services and other relevant teams to maximise opportunities relating to Council Tax premiums, debt recovery, and enforcement cost recovery.</w:t>
              <w:br/>
            </w:r>
          </w:p>
          <w:p>
            <w:pPr>
              <w:pStyle w:val="Normal"/>
              <w:numPr>
                <w:ilvl w:val="0"/>
                <w:numId w:val="3"/>
              </w:numPr>
              <w:rPr>
                <w:rFonts w:cs="Arial"/>
                <w:sz w:val="22"/>
                <w:szCs w:val="22"/>
              </w:rPr>
            </w:pPr>
            <w:r>
              <w:rPr>
                <w:rFonts w:cs="Arial"/>
                <w:sz w:val="22"/>
                <w:szCs w:val="22"/>
              </w:rPr>
              <w:t>To work as part of a team, supporting colleagues and attending team meetings, recording and sharing information appropriately and confidentially, and developing effective networks of internal and external stakeholders to support empty homes activity.</w:t>
              <w:br/>
            </w:r>
          </w:p>
          <w:p>
            <w:pPr>
              <w:pStyle w:val="Normal"/>
              <w:numPr>
                <w:ilvl w:val="0"/>
                <w:numId w:val="3"/>
              </w:numPr>
              <w:rPr>
                <w:rFonts w:cs="Arial"/>
                <w:sz w:val="22"/>
                <w:szCs w:val="22"/>
              </w:rPr>
            </w:pPr>
            <w:r>
              <w:rPr>
                <w:rFonts w:cs="Arial"/>
                <w:sz w:val="22"/>
                <w:szCs w:val="22"/>
              </w:rPr>
              <w:t>Working with the Council Communications Team, to develop and deliver publicity, marketing, awareness-raising and media activities that promote the Council's Empty Homes Strategy, services and achievements.</w:t>
              <w:br/>
            </w:r>
          </w:p>
          <w:p>
            <w:pPr>
              <w:pStyle w:val="Normal"/>
              <w:numPr>
                <w:ilvl w:val="0"/>
                <w:numId w:val="3"/>
              </w:numPr>
              <w:rPr>
                <w:rFonts w:cs="Arial"/>
                <w:sz w:val="22"/>
                <w:szCs w:val="22"/>
              </w:rPr>
            </w:pPr>
            <w:r>
              <w:rPr>
                <w:rFonts w:cs="Arial"/>
                <w:sz w:val="22"/>
                <w:szCs w:val="22"/>
              </w:rPr>
              <w:t>To monitor and report on service performance, programme outcomes, financial interventions and key performance indicators, providing regular reports to the Housing Strategy Manager  and other identified stakeholders, including where required external funders and partners.</w:t>
              <w:br/>
            </w:r>
          </w:p>
          <w:p>
            <w:pPr>
              <w:pStyle w:val="Normal"/>
              <w:numPr>
                <w:ilvl w:val="0"/>
                <w:numId w:val="3"/>
              </w:numPr>
              <w:rPr>
                <w:rFonts w:cs="Arial"/>
                <w:sz w:val="22"/>
                <w:szCs w:val="22"/>
              </w:rPr>
            </w:pPr>
            <w:r>
              <w:rPr>
                <w:rFonts w:cs="Arial"/>
                <w:sz w:val="22"/>
                <w:szCs w:val="22"/>
              </w:rPr>
              <w:t>To represent the service and the Council at such meetings, forums, working groups and partnership events as required, related to empty homes.</w:t>
              <w:br/>
            </w:r>
          </w:p>
          <w:p>
            <w:pPr>
              <w:pStyle w:val="Normal"/>
              <w:numPr>
                <w:ilvl w:val="0"/>
                <w:numId w:val="3"/>
              </w:numPr>
              <w:rPr>
                <w:rFonts w:cs="Arial"/>
                <w:sz w:val="22"/>
                <w:szCs w:val="22"/>
              </w:rPr>
            </w:pPr>
            <w:r>
              <w:rPr>
                <w:rFonts w:cs="Arial"/>
                <w:sz w:val="22"/>
                <w:szCs w:val="22"/>
              </w:rPr>
              <w:t>To help develop and deliver training, guidance and awareness sessions for colleagues, customers and stakeholders, including supporting the development of peers through the sharing of skills, knowledge and experience.</w:t>
              <w:br/>
            </w:r>
          </w:p>
          <w:p>
            <w:pPr>
              <w:pStyle w:val="Normal"/>
              <w:numPr>
                <w:ilvl w:val="0"/>
                <w:numId w:val="3"/>
              </w:numPr>
              <w:rPr>
                <w:rFonts w:cs="Arial"/>
                <w:sz w:val="22"/>
                <w:szCs w:val="22"/>
              </w:rPr>
            </w:pPr>
            <w:r>
              <w:rPr>
                <w:rFonts w:cs="Arial"/>
                <w:sz w:val="22"/>
                <w:szCs w:val="22"/>
              </w:rPr>
              <w:t>To maintain the professional competence, knowledge and skills required to perform the role effectively and keep abreast of legislative, regulatory and policy developments relevant to empty homes work.</w:t>
              <w:br/>
            </w:r>
          </w:p>
          <w:p>
            <w:pPr>
              <w:pStyle w:val="Normal"/>
              <w:numPr>
                <w:ilvl w:val="0"/>
                <w:numId w:val="3"/>
              </w:numPr>
              <w:rPr>
                <w:rFonts w:cs="Arial"/>
                <w:sz w:val="22"/>
                <w:szCs w:val="22"/>
              </w:rPr>
            </w:pPr>
            <w:r>
              <w:rPr>
                <w:rFonts w:cs="Arial"/>
                <w:sz w:val="22"/>
                <w:szCs w:val="22"/>
              </w:rPr>
              <w:t>To ensure that any information collected, recorded, analysed or reported whilst undertaking the duties of the post is accurate, reliable, timely and compliant with the Council's information governance, data protection and information-sharing protocols.</w:t>
              <w:br/>
            </w:r>
          </w:p>
          <w:p>
            <w:pPr>
              <w:pStyle w:val="Normal"/>
              <w:numPr>
                <w:ilvl w:val="0"/>
                <w:numId w:val="3"/>
              </w:numPr>
              <w:rPr>
                <w:rFonts w:cs="Arial"/>
                <w:sz w:val="22"/>
                <w:szCs w:val="22"/>
              </w:rPr>
            </w:pPr>
            <w:r>
              <w:rPr>
                <w:rFonts w:cs="Arial"/>
                <w:sz w:val="22"/>
                <w:szCs w:val="22"/>
              </w:rPr>
              <w:t>To undertake such other duties as may reasonably be requested from time to time, commensurate with the grade and responsibilities of the post.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522"/>
        <w:gridCol w:w="9927"/>
      </w:tblGrid>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ind w:left="1560" w:right="0" w:hanging="1560"/>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center"/>
        <w:tblInd w:w="0" w:type="dxa"/>
        <w:tblCellMar>
          <w:top w:w="0" w:type="dxa"/>
          <w:left w:w="108" w:type="dxa"/>
          <w:bottom w:w="0" w:type="dxa"/>
          <w:right w:w="108" w:type="dxa"/>
        </w:tblCellMar>
      </w:tblPr>
      <w:tblGrid>
        <w:gridCol w:w="2106"/>
        <w:gridCol w:w="8343"/>
      </w:tblGrid>
      <w:tr>
        <w:trPr>
          <w:trHeight w:val="518"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TextBody"/>
              <w:rPr>
                <w:rFonts w:cs="Arial"/>
                <w:b w:val="false"/>
                <w:b w:val="false"/>
                <w:bCs/>
                <w:szCs w:val="22"/>
              </w:rPr>
            </w:pPr>
            <w:r>
              <w:rPr>
                <w:rFonts w:cs="Arial"/>
                <w:b w:val="false"/>
                <w:bCs/>
                <w:szCs w:val="22"/>
              </w:rPr>
              <w:t>Housing Strategy Manager</w:t>
            </w:r>
          </w:p>
        </w:tc>
      </w:tr>
      <w:tr>
        <w:trPr>
          <w:trHeight w:val="517"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N/A</w:t>
            </w:r>
            <w:bookmarkStart w:id="0" w:name="_Hlk95121094"/>
            <w:bookmarkEnd w:id="0"/>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None</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rFonts w:ascii="Arial" w:hAnsi="Arial" w:eastAsia="Arial" w:cs="Arial"/>
              </w:rPr>
            </w:pPr>
            <w:r>
              <w:rPr>
                <w:rFonts w:eastAsia="Arial" w:cs="Arial" w:ascii="Arial" w:hAnsi="Arial"/>
              </w:rPr>
              <w:t>Work with a Resident Focus</w:t>
            </w:r>
          </w:p>
          <w:p>
            <w:pPr>
              <w:pStyle w:val="ListParagraph"/>
              <w:numPr>
                <w:ilvl w:val="0"/>
                <w:numId w:val="2"/>
              </w:numPr>
              <w:rPr>
                <w:rFonts w:ascii="Arial" w:hAnsi="Arial" w:eastAsia="Arial" w:cs="Arial"/>
              </w:rPr>
            </w:pPr>
            <w:r>
              <w:rPr>
                <w:rFonts w:eastAsia="Arial" w:cs="Arial" w:ascii="Arial" w:hAnsi="Arial"/>
              </w:rPr>
              <w:t>Support Local Leaders</w:t>
            </w:r>
          </w:p>
          <w:p>
            <w:pPr>
              <w:pStyle w:val="ListParagraph"/>
              <w:numPr>
                <w:ilvl w:val="0"/>
                <w:numId w:val="2"/>
              </w:numPr>
              <w:rPr>
                <w:rFonts w:ascii="Arial" w:hAnsi="Arial" w:eastAsia="Arial" w:cs="Arial"/>
              </w:rPr>
            </w:pPr>
            <w:r>
              <w:rPr>
                <w:rFonts w:eastAsia="Arial" w:cs="Arial" w:ascii="Arial" w:hAnsi="Arial"/>
              </w:rPr>
              <w:t>Committed to the Borough</w:t>
            </w:r>
          </w:p>
          <w:p>
            <w:pPr>
              <w:pStyle w:val="ListParagraph"/>
              <w:numPr>
                <w:ilvl w:val="0"/>
                <w:numId w:val="2"/>
              </w:numPr>
              <w:rPr>
                <w:rFonts w:ascii="Arial" w:hAnsi="Arial" w:eastAsia="Arial" w:cs="Arial"/>
              </w:rPr>
            </w:pPr>
            <w:r>
              <w:rPr>
                <w:rFonts w:eastAsia="Arial" w:cs="Arial" w:ascii="Arial" w:hAnsi="Arial"/>
              </w:rPr>
              <w:t>Take Ownership and Drive Change</w:t>
            </w:r>
          </w:p>
          <w:p>
            <w:pPr>
              <w:pStyle w:val="ListParagraph"/>
              <w:numPr>
                <w:ilvl w:val="0"/>
                <w:numId w:val="2"/>
              </w:numPr>
              <w:rPr>
                <w:rFonts w:ascii="Arial" w:hAnsi="Arial" w:eastAsia="Arial" w:cs="Arial"/>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Internet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3/6/26</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G Gallagher</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27/7/26</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S Shuttleworth</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rFonts w:ascii="Arial" w:hAnsi="Arial" w:cs="Arial"/>
          <w:b/>
          <w:b/>
          <w:bCs/>
          <w:sz w:val="22"/>
          <w:szCs w:val="22"/>
        </w:rPr>
      </w:pPr>
      <w:r>
        <w:rPr>
          <w:rFonts w:cs="Arial" w:ascii="Arial" w:hAnsi="Arial"/>
          <w:b/>
          <w:bCs/>
          <w:sz w:val="22"/>
          <w:szCs w:val="22"/>
        </w:rPr>
      </w:r>
    </w:p>
    <w:p>
      <w:pPr>
        <w:pStyle w:val="Endnote"/>
        <w:rPr>
          <w:rFonts w:ascii="Arial" w:hAnsi="Arial" w:cs="Arial"/>
          <w:b/>
          <w:b/>
          <w:bCs/>
          <w:sz w:val="22"/>
          <w:szCs w:val="22"/>
        </w:rPr>
      </w:pPr>
      <w:r>
        <w:rPr>
          <w:rFonts w:cs="Arial" w:ascii="Arial" w:hAnsi="Arial"/>
          <w:b/>
          <w:bCs/>
          <w:sz w:val="22"/>
          <w:szCs w:val="22"/>
        </w:rPr>
        <w:t>Job Title: Empty Homes Co-ordinator</w:t>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964"/>
        <w:gridCol w:w="3795"/>
        <w:gridCol w:w="3060"/>
        <w:gridCol w:w="1630"/>
      </w:tblGrid>
      <w:tr>
        <w:trPr>
          <w:trHeight w:val="1000" w:hRule="atLeast"/>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spacing w:lineRule="auto" w:line="276" w:before="0" w:after="160"/>
              <w:rPr>
                <w:rFonts w:cs="Arial"/>
                <w:sz w:val="22"/>
                <w:szCs w:val="22"/>
              </w:rPr>
            </w:pPr>
            <w:r>
              <w:rPr>
                <w:rFonts w:cs="Arial"/>
                <w:sz w:val="22"/>
                <w:szCs w:val="22"/>
              </w:rPr>
              <w:t>Educated to A-Level standard, NVQ Level 4 or equivalent relevant professional experience.</w:t>
            </w:r>
          </w:p>
          <w:p>
            <w:pPr>
              <w:pStyle w:val="Normal"/>
              <w:spacing w:lineRule="auto" w:line="276" w:before="0" w:after="160"/>
              <w:rPr>
                <w:rFonts w:cs="Arial"/>
                <w:sz w:val="22"/>
                <w:szCs w:val="22"/>
              </w:rPr>
            </w:pPr>
            <w:r>
              <w:rPr>
                <w:rFonts w:cs="Arial"/>
                <w:sz w:val="22"/>
                <w:szCs w:val="22"/>
              </w:rPr>
              <w:t>Evidence of continuing professional development.</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pacing w:lineRule="auto" w:line="276" w:before="0" w:after="160"/>
              <w:rPr>
                <w:rFonts w:cs="Arial"/>
                <w:sz w:val="22"/>
                <w:szCs w:val="22"/>
              </w:rPr>
            </w:pPr>
            <w:r>
              <w:rPr>
                <w:rFonts w:cs="Arial"/>
                <w:sz w:val="22"/>
                <w:szCs w:val="22"/>
              </w:rPr>
              <w:t>Degree or professional qualification in Housing, Regeneration, Property, Planning, Environmental Health, Law or a related discipline.</w:t>
            </w:r>
          </w:p>
          <w:p>
            <w:pPr>
              <w:pStyle w:val="Normal"/>
              <w:spacing w:lineRule="auto" w:line="276" w:before="0" w:after="160"/>
              <w:rPr>
                <w:rFonts w:cs="Arial"/>
                <w:sz w:val="22"/>
                <w:szCs w:val="22"/>
              </w:rPr>
            </w:pPr>
            <w:r>
              <w:rPr>
                <w:rFonts w:cs="Arial"/>
                <w:sz w:val="22"/>
                <w:szCs w:val="22"/>
              </w:rPr>
              <w:t>Project management qualification or relevant training.</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AF/I</w:t>
            </w:r>
          </w:p>
          <w:p>
            <w:pPr>
              <w:pStyle w:val="Normal"/>
              <w:rPr/>
            </w:pPr>
            <w:r>
              <w:rPr/>
            </w:r>
          </w:p>
          <w:p>
            <w:pPr>
              <w:pStyle w:val="Normal"/>
              <w:rPr/>
            </w:pPr>
            <w:r>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spacing w:lineRule="auto" w:line="276" w:before="0" w:after="160"/>
              <w:rPr>
                <w:rFonts w:cs="Arial"/>
                <w:sz w:val="22"/>
                <w:szCs w:val="22"/>
              </w:rPr>
            </w:pPr>
            <w:r>
              <w:rPr>
                <w:rFonts w:cs="Arial"/>
                <w:sz w:val="22"/>
                <w:szCs w:val="22"/>
              </w:rPr>
              <w:t>Experience of working within housing, property, regeneration, enforcement, environmental health or a related service.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Experience of effectively engaging, empathising and communicating with vulnerable and hard to engage residents </w:t>
            </w:r>
          </w:p>
          <w:p>
            <w:pPr>
              <w:pStyle w:val="Normal"/>
              <w:rPr>
                <w:rFonts w:cs="Arial"/>
                <w:sz w:val="22"/>
                <w:szCs w:val="22"/>
              </w:rPr>
            </w:pPr>
            <w:r>
              <w:rPr>
                <w:rFonts w:cs="Arial"/>
                <w:sz w:val="22"/>
                <w:szCs w:val="22"/>
              </w:rPr>
            </w:r>
          </w:p>
          <w:p>
            <w:pPr>
              <w:pStyle w:val="Normal"/>
              <w:spacing w:lineRule="auto" w:line="276" w:before="0" w:after="160"/>
              <w:rPr>
                <w:rFonts w:cs="Arial"/>
                <w:sz w:val="22"/>
                <w:szCs w:val="22"/>
              </w:rPr>
            </w:pPr>
            <w:r>
              <w:rPr>
                <w:rFonts w:cs="Arial"/>
                <w:sz w:val="22"/>
                <w:szCs w:val="22"/>
              </w:rPr>
              <w:t>Experience of managing a complex caseload and delivering outcomes against targets.</w:t>
            </w:r>
          </w:p>
          <w:p>
            <w:pPr>
              <w:pStyle w:val="Normal"/>
              <w:spacing w:lineRule="auto" w:line="276" w:before="0" w:after="160"/>
              <w:rPr>
                <w:rFonts w:cs="Arial"/>
                <w:sz w:val="22"/>
                <w:szCs w:val="22"/>
              </w:rPr>
            </w:pPr>
            <w:r>
              <w:rPr>
                <w:rFonts w:cs="Arial"/>
                <w:sz w:val="22"/>
                <w:szCs w:val="22"/>
              </w:rPr>
              <w:t>Experience of investigating issues, gathering evidence and maintaining accurate records.</w:t>
            </w:r>
          </w:p>
          <w:p>
            <w:pPr>
              <w:pStyle w:val="Normal"/>
              <w:spacing w:lineRule="auto" w:line="276" w:before="0" w:after="160"/>
              <w:rPr>
                <w:rFonts w:cs="Arial"/>
                <w:sz w:val="22"/>
                <w:szCs w:val="22"/>
              </w:rPr>
            </w:pPr>
            <w:r>
              <w:rPr>
                <w:rFonts w:cs="Arial"/>
                <w:sz w:val="22"/>
                <w:szCs w:val="22"/>
              </w:rPr>
              <w:t>Experience of partnership working across organisations and service areas.</w:t>
            </w:r>
          </w:p>
          <w:p>
            <w:pPr>
              <w:pStyle w:val="Normal"/>
              <w:spacing w:lineRule="auto" w:line="276" w:before="0" w:after="160"/>
              <w:rPr>
                <w:rFonts w:cs="Arial"/>
                <w:sz w:val="22"/>
                <w:szCs w:val="22"/>
              </w:rPr>
            </w:pPr>
            <w:r>
              <w:rPr>
                <w:rFonts w:cs="Arial"/>
                <w:sz w:val="22"/>
                <w:szCs w:val="22"/>
              </w:rPr>
              <w:t>Experience of producing reports, correspondence and case documentation.</w:t>
            </w:r>
          </w:p>
          <w:p>
            <w:pPr>
              <w:pStyle w:val="Normal"/>
              <w:rPr>
                <w:rFonts w:cs="Arial"/>
                <w:sz w:val="22"/>
                <w:szCs w:val="22"/>
              </w:rPr>
            </w:pPr>
            <w:r>
              <w:rPr>
                <w:rFonts w:cs="Arial"/>
                <w:sz w:val="22"/>
                <w:szCs w:val="22"/>
              </w:rPr>
              <w:t>Experience of managing projects, programmes or funded initiatives.</w:t>
            </w:r>
          </w:p>
          <w:p>
            <w:pPr>
              <w:pStyle w:val="Normal"/>
              <w:spacing w:lineRule="auto" w:line="276" w:before="0" w:after="160"/>
              <w:rPr>
                <w:rFonts w:cs="Arial"/>
                <w:sz w:val="22"/>
                <w:szCs w:val="22"/>
              </w:rPr>
            </w:pPr>
            <w:r>
              <w:rPr>
                <w:rFonts w:cs="Arial"/>
                <w:sz w:val="22"/>
                <w:szCs w:val="22"/>
              </w:rPr>
              <w:t>Experience of working with multiple stakeholders to deliver property, housing or regeneration outcomes.</w:t>
            </w:r>
          </w:p>
        </w:tc>
        <w:tc>
          <w:tcPr>
            <w:tcW w:w="3060" w:type="dxa"/>
            <w:tcBorders>
              <w:top w:val="single" w:sz="4" w:space="0" w:color="000000"/>
              <w:left w:val="single" w:sz="4" w:space="0" w:color="000000"/>
              <w:bottom w:val="single" w:sz="4" w:space="0" w:color="000000"/>
            </w:tcBorders>
            <w:shd w:fill="auto" w:val="clear"/>
          </w:tcPr>
          <w:p>
            <w:pPr>
              <w:pStyle w:val="Normal"/>
              <w:spacing w:lineRule="auto" w:line="276" w:before="0" w:after="160"/>
              <w:rPr>
                <w:rFonts w:cs="Arial"/>
                <w:sz w:val="22"/>
                <w:szCs w:val="22"/>
              </w:rPr>
            </w:pPr>
            <w:r>
              <w:rPr>
                <w:rFonts w:cs="Arial"/>
                <w:sz w:val="22"/>
                <w:szCs w:val="22"/>
              </w:rPr>
              <w:t>Experience of empty homes work within a local authority or housing organisation.</w:t>
            </w:r>
          </w:p>
          <w:p>
            <w:pPr>
              <w:pStyle w:val="Normal"/>
              <w:spacing w:lineRule="auto" w:line="276" w:before="0" w:after="160"/>
              <w:rPr>
                <w:rFonts w:cs="Arial"/>
                <w:sz w:val="22"/>
                <w:szCs w:val="22"/>
              </w:rPr>
            </w:pPr>
            <w:r>
              <w:rPr>
                <w:rFonts w:cs="Arial"/>
                <w:sz w:val="22"/>
                <w:szCs w:val="22"/>
              </w:rPr>
              <w:t>Experience of carrying out property inspections and investigations.</w:t>
            </w:r>
          </w:p>
          <w:p>
            <w:pPr>
              <w:pStyle w:val="Normal"/>
              <w:spacing w:lineRule="auto" w:line="276" w:before="0" w:after="160"/>
              <w:rPr>
                <w:rFonts w:cs="Arial"/>
                <w:sz w:val="22"/>
                <w:szCs w:val="22"/>
              </w:rPr>
            </w:pPr>
            <w:r>
              <w:rPr>
                <w:rFonts w:cs="Arial"/>
                <w:sz w:val="22"/>
                <w:szCs w:val="22"/>
              </w:rPr>
              <w:t>Experience of preparing cases for legal or formal enforcement action.</w:t>
            </w:r>
          </w:p>
          <w:p>
            <w:pPr>
              <w:pStyle w:val="Normal"/>
              <w:rPr>
                <w:rFonts w:cs="Arial"/>
                <w:sz w:val="22"/>
                <w:szCs w:val="22"/>
              </w:rPr>
            </w:pPr>
            <w:r>
              <w:rPr>
                <w:rFonts w:cs="Arial"/>
                <w:sz w:val="22"/>
                <w:szCs w:val="22"/>
              </w:rPr>
              <w:t>Experience of administering grants, financial assistance schemes or capital funding programmes.</w:t>
            </w:r>
          </w:p>
          <w:p>
            <w:pPr>
              <w:pStyle w:val="Normal"/>
              <w:spacing w:lineRule="auto" w:line="276" w:before="0" w:after="160"/>
              <w:rPr>
                <w:rFonts w:cs="Arial"/>
                <w:sz w:val="22"/>
                <w:szCs w:val="22"/>
              </w:rPr>
            </w:pPr>
            <w:r>
              <w:rPr>
                <w:rFonts w:cs="Arial"/>
                <w:sz w:val="22"/>
                <w:szCs w:val="22"/>
              </w:rPr>
            </w:r>
          </w:p>
          <w:p>
            <w:pPr>
              <w:pStyle w:val="Normal"/>
              <w:spacing w:lineRule="auto" w:line="276" w:before="0" w:after="160"/>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 xml:space="preserve">The ability to effectively manage complex case work, prioritise competing demands and deliver agreed outcomes with the </w:t>
            </w:r>
          </w:p>
          <w:p>
            <w:pPr>
              <w:pStyle w:val="Normal"/>
              <w:rPr>
                <w:rFonts w:cs="Arial"/>
                <w:sz w:val="22"/>
                <w:szCs w:val="22"/>
              </w:rPr>
            </w:pPr>
            <w:r>
              <w:rPr>
                <w:rFonts w:cs="Arial"/>
                <w:sz w:val="22"/>
                <w:szCs w:val="22"/>
              </w:rPr>
              <w:t xml:space="preserve">minimum of supervision.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Excellent communication skills, particularly the ability to negotiate with people at all levels to secure a desirable outcome.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The ability to produce clear, accurate and professional correspondence. </w:t>
            </w:r>
          </w:p>
          <w:p>
            <w:pPr>
              <w:pStyle w:val="Normal"/>
              <w:rPr>
                <w:rFonts w:eastAsia="Arial" w:cs="Arial"/>
                <w:sz w:val="22"/>
                <w:szCs w:val="22"/>
              </w:rPr>
            </w:pPr>
            <w:r>
              <w:rPr>
                <w:rFonts w:eastAsia="Arial" w:cs="Arial"/>
                <w:sz w:val="22"/>
                <w:szCs w:val="22"/>
              </w:rPr>
              <w:t xml:space="preserve"> </w:t>
            </w:r>
          </w:p>
          <w:p>
            <w:pPr>
              <w:pStyle w:val="Normal"/>
              <w:rPr>
                <w:rFonts w:cs="Arial"/>
                <w:sz w:val="22"/>
                <w:szCs w:val="22"/>
              </w:rPr>
            </w:pPr>
            <w:r>
              <w:rPr>
                <w:rFonts w:cs="Arial"/>
                <w:sz w:val="22"/>
                <w:szCs w:val="22"/>
              </w:rPr>
              <w:t xml:space="preserve">The ability to write concise reports, prepare evidence and present information in a variety of forms including representations at Court, presentations to other </w:t>
            </w:r>
          </w:p>
          <w:p>
            <w:pPr>
              <w:pStyle w:val="Normal"/>
              <w:rPr>
                <w:rFonts w:cs="Arial"/>
                <w:sz w:val="22"/>
                <w:szCs w:val="22"/>
              </w:rPr>
            </w:pPr>
            <w:r>
              <w:rPr>
                <w:rFonts w:cs="Arial"/>
                <w:sz w:val="22"/>
                <w:szCs w:val="22"/>
              </w:rPr>
              <w:t>Council Officers, Elected Members or other external bodies.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Computer literate in MS Office applications, Word, Excel &amp; Outlook and use of software case management and recording systems.</w:t>
            </w:r>
          </w:p>
          <w:p>
            <w:pPr>
              <w:pStyle w:val="Normal"/>
              <w:rPr>
                <w:rFonts w:eastAsia="Arial" w:cs="Arial"/>
                <w:sz w:val="22"/>
                <w:szCs w:val="22"/>
              </w:rPr>
            </w:pPr>
            <w:r>
              <w:rPr>
                <w:rFonts w:eastAsia="Arial" w:cs="Arial"/>
                <w:sz w:val="22"/>
                <w:szCs w:val="22"/>
              </w:rPr>
              <w:t xml:space="preserve"> </w:t>
            </w:r>
          </w:p>
          <w:p>
            <w:pPr>
              <w:pStyle w:val="Normal"/>
              <w:rPr>
                <w:rFonts w:cs="Arial"/>
                <w:sz w:val="22"/>
                <w:szCs w:val="22"/>
              </w:rPr>
            </w:pPr>
            <w:r>
              <w:rPr>
                <w:rFonts w:cs="Arial"/>
                <w:sz w:val="22"/>
                <w:szCs w:val="22"/>
              </w:rPr>
              <w:t xml:space="preserve">Able to use initiative in problem solving and developing innovative solutions.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The ability to analyse information, assess risk and make evidence-based decisions in relation to case management, enforcement activity and investment opportunities.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The ability to monitor performance, maintain accurate records and evaluate the effectiveness of interventions and projects.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A track record in developing and delivering service improvements.</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pPr>
            <w:r>
              <w:rPr>
                <w:rFonts w:cs="Arial"/>
                <w:sz w:val="22"/>
                <w:szCs w:val="22"/>
                <w:lang w:val="en-US"/>
              </w:rPr>
              <w:t>Detailed knowledge of pertinent Housing Acts and associated legislation (</w:t>
            </w:r>
            <w:r>
              <w:rPr>
                <w:rFonts w:cs="Arial"/>
                <w:sz w:val="22"/>
                <w:szCs w:val="22"/>
              </w:rPr>
              <w:t xml:space="preserve">Town &amp; Country Planning Act, Building Regulations, </w:t>
            </w:r>
          </w:p>
          <w:p>
            <w:pPr>
              <w:pStyle w:val="Normal"/>
              <w:rPr/>
            </w:pPr>
            <w:r>
              <w:rPr>
                <w:rFonts w:cs="Arial"/>
                <w:sz w:val="22"/>
                <w:szCs w:val="22"/>
              </w:rPr>
              <w:t>Environmental Protection Act &amp; Building Act.</w:t>
            </w:r>
            <w:r>
              <w:rPr>
                <w:rFonts w:cs="Arial"/>
                <w:sz w:val="22"/>
                <w:szCs w:val="22"/>
                <w:lang w:val="en-US"/>
              </w:rPr>
              <w:t>)</w:t>
            </w:r>
          </w:p>
          <w:p>
            <w:pPr>
              <w:pStyle w:val="Normal"/>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t>Knowledge of the Housing Health and Safety Rating System (HHSRS) and its application in assessing housing conditions and associated risks.</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 xml:space="preserve">Knowledge of informal and formal investigative and enforcement procedures  </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 xml:space="preserve">Knowledge of housing defects and their implications for the health and safety of the occupants. </w:t>
            </w:r>
          </w:p>
          <w:p>
            <w:pPr>
              <w:pStyle w:val="Normal"/>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t>Knowledge of the powers available to local authorities to address empty homes, including enforcement and intervention options.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of information management, data protection and GDPR requirements relating to the collection and sharing of information.</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external funding programmes</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 xml:space="preserve">Wider experience of the law pertaining to housing of all tenures.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Awareness of current national, regional and local housing policy affecting empty homes and housing supply.</w:t>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 xml:space="preserve">Willingness to work flexibly outside normal working hours, to undertake training and to attend meetings / conferences / seminars within and outside the Borough, as required. </w:t>
            </w:r>
          </w:p>
          <w:p>
            <w:pPr>
              <w:pStyle w:val="Normal"/>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To demonstrate a commitment to the Council’s equality and diversity policies.</w:t>
              <w:br/>
            </w:r>
          </w:p>
          <w:p>
            <w:pPr>
              <w:pStyle w:val="Normal"/>
              <w:rPr>
                <w:rFonts w:cs="Arial"/>
                <w:sz w:val="22"/>
                <w:szCs w:val="22"/>
              </w:rPr>
            </w:pPr>
            <w:r>
              <w:rPr>
                <w:rFonts w:cs="Arial"/>
                <w:sz w:val="22"/>
                <w:szCs w:val="22"/>
              </w:rPr>
              <w:t>Full driving licence and use of own vehicle.</w:t>
            </w:r>
          </w:p>
          <w:p>
            <w:pPr>
              <w:pStyle w:val="Normal"/>
              <w:overflowPunct w:val="true"/>
              <w:textAlignment w:val="baselin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those who are aged 24 or under and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