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r>
    </w:p>
    <w:p>
      <w:pPr>
        <w:pStyle w:val="Heading1"/>
        <w:spacing w:lineRule="auto" w:line="240"/>
        <w:ind w:hanging="0" w:left="0"/>
        <w:rPr>
          <w:sz w:val="24"/>
          <w:szCs w:val="24"/>
        </w:rPr>
      </w:pPr>
      <w:r>
        <w:rPr>
          <w:sz w:val="24"/>
          <w:szCs w:val="24"/>
        </w:rPr>
      </w:r>
    </w:p>
    <w:p>
      <w:pPr>
        <w:pStyle w:val="Normal"/>
        <w:jc w:val="center"/>
        <w:rPr>
          <w:b/>
          <w:bCs/>
          <w:u w:val="single"/>
        </w:rPr>
      </w:pPr>
      <w:r>
        <w:rPr>
          <w:b/>
          <w:bCs/>
          <w:u w:val="single"/>
        </w:rPr>
        <w:t>OLDHAM COUNCIL</w:t>
      </w:r>
    </w:p>
    <w:p>
      <w:pPr>
        <w:pStyle w:val="Normal"/>
        <w:jc w:val="center"/>
        <w:rPr>
          <w:b/>
          <w:bCs/>
          <w:u w:val="single"/>
        </w:rPr>
      </w:pPr>
      <w:r>
        <w:rPr>
          <w:b/>
          <w:bCs/>
          <w:u w:val="single"/>
        </w:rPr>
      </w:r>
    </w:p>
    <w:p>
      <w:pPr>
        <w:pStyle w:val="Normal"/>
        <w:jc w:val="center"/>
        <w:rPr>
          <w:b/>
          <w:bCs/>
          <w:u w:val="single"/>
        </w:rPr>
      </w:pPr>
      <w:r>
        <w:rPr>
          <w:b/>
          <w:bCs/>
          <w:u w:val="single"/>
        </w:rPr>
        <w:t>JOB DESCRIPTION</w:t>
      </w:r>
    </w:p>
    <w:p>
      <w:pPr>
        <w:pStyle w:val="Normal"/>
        <w:jc w:val="center"/>
        <w:rPr/>
      </w:pPr>
      <w:r>
        <w:rPr/>
        <w:t>Job Title: Higher Apprentice - Information, Advice and Guidance Officer</w:t>
      </w:r>
    </w:p>
    <w:p>
      <w:pPr>
        <w:pStyle w:val="Normal"/>
        <w:jc w:val="center"/>
        <w:rPr>
          <w:b/>
          <w:bCs/>
          <w:sz w:val="22"/>
          <w:szCs w:val="22"/>
          <w:u w:val="single"/>
        </w:rPr>
      </w:pPr>
      <w:r>
        <w:rPr>
          <w:b/>
          <w:bCs/>
          <w:sz w:val="22"/>
          <w:szCs w:val="22"/>
          <w:u w:val="single"/>
        </w:rPr>
      </w:r>
    </w:p>
    <w:tbl>
      <w:tblPr>
        <w:tblW w:w="10439" w:type="dxa"/>
        <w:jc w:val="left"/>
        <w:tblInd w:w="-612"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Normal"/>
              <w:rPr/>
            </w:pPr>
            <w:r>
              <w:rPr/>
              <w:t>Higher Apprentice - Information, Advice and Guidance (IAG) Officer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pPr>
            <w:r>
              <w:rPr/>
              <w:t>Place and Economy</w:t>
            </w:r>
          </w:p>
        </w:tc>
        <w:tc>
          <w:tcPr>
            <w:tcW w:w="2179" w:type="dxa"/>
            <w:tcBorders>
              <w:top w:val="single" w:sz="4" w:space="0" w:color="000000"/>
              <w:bottom w:val="single" w:sz="4" w:space="0" w:color="000000"/>
              <w:right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pPr>
            <w:r>
              <w:rPr/>
              <w:t>Get Oldham Working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Normal"/>
              <w:rPr/>
            </w:pPr>
            <w:r>
              <w:rPr/>
              <w:t>Apprentice  Grade 2</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b/>
                <w:color w:val="FFFFFF"/>
                <w:szCs w:val="22"/>
              </w:rPr>
            </w:pPr>
            <w:r>
              <w:rPr>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szCs w:val="22"/>
              </w:rPr>
            </w:pPr>
            <w:r>
              <w:rPr>
                <w:szCs w:val="22"/>
              </w:rPr>
            </w:r>
          </w:p>
        </w:tc>
      </w:tr>
    </w:tbl>
    <w:p>
      <w:pPr>
        <w:pStyle w:val="Normal"/>
        <w:rPr>
          <w:sz w:val="22"/>
          <w:szCs w:val="22"/>
        </w:rPr>
      </w:pPr>
      <w:r>
        <w:rPr>
          <w:sz w:val="22"/>
          <w:szCs w:val="22"/>
        </w:rPr>
      </w:r>
    </w:p>
    <w:tbl>
      <w:tblPr>
        <w:tblW w:w="10440" w:type="dxa"/>
        <w:jc w:val="left"/>
        <w:tblInd w:w="-612"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t>Job Purpose:</w:t>
              <w:br/>
              <w:t>To support the delivery of the Get Oldham Working programme by providing information, advice and guidance to residents, trainees and apprentices. The postholder will assist individuals to access employment, education and training opportunities whilst undertaking a Level 4 Information, Advice and Guidance apprenticeship.</w:t>
            </w:r>
          </w:p>
        </w:tc>
      </w:tr>
    </w:tbl>
    <w:p>
      <w:pPr>
        <w:pStyle w:val="Normal"/>
        <w:rPr>
          <w:sz w:val="22"/>
          <w:szCs w:val="22"/>
        </w:rPr>
      </w:pPr>
      <w:r>
        <w:rPr>
          <w:sz w:val="22"/>
          <w:szCs w:val="22"/>
        </w:rPr>
      </w:r>
    </w:p>
    <w:tbl>
      <w:tblPr>
        <w:tblW w:w="10439" w:type="dxa"/>
        <w:jc w:val="left"/>
        <w:tblInd w:w="-612" w:type="dxa"/>
        <w:tblLayout w:type="fixed"/>
        <w:tblCellMar>
          <w:top w:w="0" w:type="dxa"/>
          <w:left w:w="108" w:type="dxa"/>
          <w:bottom w:w="0" w:type="dxa"/>
          <w:right w:w="108" w:type="dxa"/>
        </w:tblCellMar>
      </w:tblPr>
      <w:tblGrid>
        <w:gridCol w:w="539"/>
        <w:gridCol w:w="9900"/>
      </w:tblGrid>
      <w:tr>
        <w:trPr>
          <w:trHeight w:val="390" w:hRule="atLeast"/>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EndnoteText"/>
              <w:jc w:val="both"/>
              <w:rPr>
                <w:rFonts w:ascii="Arial" w:hAnsi="Arial" w:cs="Arial"/>
                <w:b/>
                <w:color w:val="FFFFFF"/>
                <w:sz w:val="22"/>
                <w:szCs w:val="22"/>
              </w:rPr>
            </w:pPr>
            <w:r>
              <w:rPr>
                <w:rFonts w:cs="Arial" w:ascii="Arial" w:hAnsi="Arial"/>
                <w:b/>
                <w:color w:val="FFFFFF"/>
                <w:sz w:val="22"/>
                <w:szCs w:val="22"/>
              </w:rPr>
              <w:t xml:space="preserve">Key Tasks:  </w:t>
            </w:r>
          </w:p>
        </w:tc>
      </w:tr>
      <w:tr>
        <w:trPr>
          <w:trHeight w:val="390" w:hRule="atLeast"/>
        </w:trPr>
        <w:tc>
          <w:tcPr>
            <w:tcW w:w="539" w:type="dxa"/>
            <w:tcBorders>
              <w:top w:val="single" w:sz="4" w:space="0" w:color="000000"/>
              <w:left w:val="single" w:sz="4" w:space="0" w:color="000000"/>
            </w:tcBorders>
          </w:tcPr>
          <w:p>
            <w:pPr>
              <w:pStyle w:val="Normal"/>
              <w:rPr/>
            </w:pPr>
            <w:r>
              <w:rPr/>
              <w:t>A.</w:t>
            </w:r>
          </w:p>
        </w:tc>
        <w:tc>
          <w:tcPr>
            <w:tcW w:w="9900" w:type="dxa"/>
            <w:tcBorders>
              <w:top w:val="single" w:sz="4" w:space="0" w:color="000000"/>
              <w:right w:val="single" w:sz="4" w:space="0" w:color="000000"/>
            </w:tcBorders>
          </w:tcPr>
          <w:p>
            <w:pPr>
              <w:pStyle w:val="Normal"/>
              <w:rPr/>
            </w:pPr>
            <w:r>
              <w:rPr/>
              <w:t>Support residents, trainees and apprentices to access information on employment, education, training and apprenticeship opportunities.</w:t>
            </w:r>
          </w:p>
        </w:tc>
      </w:tr>
      <w:tr>
        <w:trPr>
          <w:trHeight w:val="390" w:hRule="atLeast"/>
        </w:trPr>
        <w:tc>
          <w:tcPr>
            <w:tcW w:w="539" w:type="dxa"/>
            <w:tcBorders>
              <w:left w:val="single" w:sz="4" w:space="0" w:color="000000"/>
            </w:tcBorders>
          </w:tcPr>
          <w:p>
            <w:pPr>
              <w:pStyle w:val="Normal"/>
              <w:rPr/>
            </w:pPr>
            <w:r>
              <w:rPr/>
              <w:t>B.</w:t>
            </w:r>
          </w:p>
        </w:tc>
        <w:tc>
          <w:tcPr>
            <w:tcW w:w="9900" w:type="dxa"/>
            <w:tcBorders>
              <w:right w:val="single" w:sz="4" w:space="0" w:color="000000"/>
            </w:tcBorders>
          </w:tcPr>
          <w:p>
            <w:pPr>
              <w:pStyle w:val="Normal"/>
              <w:rPr/>
            </w:pPr>
            <w:r>
              <w:rPr/>
              <w:t>Assist with delivery of information, advice and guidance activities including one-to-one and group sessions.</w:t>
            </w:r>
          </w:p>
        </w:tc>
      </w:tr>
      <w:tr>
        <w:trPr>
          <w:trHeight w:val="390" w:hRule="atLeast"/>
        </w:trPr>
        <w:tc>
          <w:tcPr>
            <w:tcW w:w="539" w:type="dxa"/>
            <w:tcBorders>
              <w:left w:val="single" w:sz="4" w:space="0" w:color="000000"/>
            </w:tcBorders>
          </w:tcPr>
          <w:p>
            <w:pPr>
              <w:pStyle w:val="Normal"/>
              <w:rPr/>
            </w:pPr>
            <w:r>
              <w:rPr/>
              <w:t>C.</w:t>
            </w:r>
          </w:p>
        </w:tc>
        <w:tc>
          <w:tcPr>
            <w:tcW w:w="9900" w:type="dxa"/>
            <w:tcBorders>
              <w:right w:val="single" w:sz="4" w:space="0" w:color="000000"/>
            </w:tcBorders>
          </w:tcPr>
          <w:p>
            <w:pPr>
              <w:pStyle w:val="Normal"/>
              <w:rPr/>
            </w:pPr>
            <w:r>
              <w:rPr/>
              <w:t>Support individuals to identify goals and progression opportunities.</w:t>
            </w:r>
          </w:p>
        </w:tc>
      </w:tr>
      <w:tr>
        <w:trPr>
          <w:trHeight w:val="390" w:hRule="atLeast"/>
        </w:trPr>
        <w:tc>
          <w:tcPr>
            <w:tcW w:w="539" w:type="dxa"/>
            <w:tcBorders>
              <w:left w:val="single" w:sz="4" w:space="0" w:color="000000"/>
            </w:tcBorders>
          </w:tcPr>
          <w:p>
            <w:pPr>
              <w:pStyle w:val="Normal"/>
              <w:rPr/>
            </w:pPr>
            <w:r>
              <w:rPr/>
              <w:t>D.</w:t>
            </w:r>
          </w:p>
        </w:tc>
        <w:tc>
          <w:tcPr>
            <w:tcW w:w="9900" w:type="dxa"/>
            <w:tcBorders>
              <w:right w:val="single" w:sz="4" w:space="0" w:color="000000"/>
            </w:tcBorders>
          </w:tcPr>
          <w:p>
            <w:pPr>
              <w:pStyle w:val="Normal"/>
              <w:rPr/>
            </w:pPr>
            <w:r>
              <w:rPr/>
              <w:t>Maintain accurate participant records and update management information systems.</w:t>
            </w:r>
          </w:p>
        </w:tc>
      </w:tr>
      <w:tr>
        <w:trPr>
          <w:trHeight w:val="390" w:hRule="atLeast"/>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rPr/>
            </w:pPr>
            <w:r>
              <w:rPr/>
              <w:t>Work alongside Learning Mentors and Advisers through observation, coaching and supported practice.</w:t>
            </w:r>
          </w:p>
        </w:tc>
      </w:tr>
      <w:tr>
        <w:trPr>
          <w:trHeight w:val="390" w:hRule="atLeast"/>
        </w:trPr>
        <w:tc>
          <w:tcPr>
            <w:tcW w:w="539" w:type="dxa"/>
            <w:tcBorders>
              <w:top w:val="single" w:sz="4" w:space="0" w:color="000000"/>
              <w:left w:val="single" w:sz="4" w:space="0" w:color="000000"/>
            </w:tcBorders>
          </w:tcPr>
          <w:p>
            <w:pPr>
              <w:pStyle w:val="Normal"/>
              <w:rPr/>
            </w:pPr>
            <w:r>
              <w:rPr/>
              <w:t>2.</w:t>
            </w:r>
          </w:p>
        </w:tc>
        <w:tc>
          <w:tcPr>
            <w:tcW w:w="9900" w:type="dxa"/>
            <w:tcBorders>
              <w:top w:val="single" w:sz="4" w:space="0" w:color="000000"/>
              <w:right w:val="single" w:sz="4" w:space="0" w:color="000000"/>
            </w:tcBorders>
          </w:tcPr>
          <w:p>
            <w:pPr>
              <w:pStyle w:val="Normal"/>
              <w:rPr/>
            </w:pPr>
            <w:r>
              <w:rPr/>
              <w:t>Monitor engagement, progress and outcomes and record information appropriately.</w:t>
            </w:r>
          </w:p>
        </w:tc>
      </w:tr>
      <w:tr>
        <w:trPr>
          <w:trHeight w:val="390" w:hRule="atLeast"/>
        </w:trPr>
        <w:tc>
          <w:tcPr>
            <w:tcW w:w="539" w:type="dxa"/>
            <w:tcBorders>
              <w:left w:val="single" w:sz="4" w:space="0" w:color="000000"/>
            </w:tcBorders>
          </w:tcPr>
          <w:p>
            <w:pPr>
              <w:pStyle w:val="Normal"/>
              <w:rPr/>
            </w:pPr>
            <w:r>
              <w:rPr/>
              <w:t>3.</w:t>
            </w:r>
          </w:p>
        </w:tc>
        <w:tc>
          <w:tcPr>
            <w:tcW w:w="9900" w:type="dxa"/>
            <w:tcBorders>
              <w:right w:val="single" w:sz="4" w:space="0" w:color="000000"/>
            </w:tcBorders>
          </w:tcPr>
          <w:p>
            <w:pPr>
              <w:pStyle w:val="Normal"/>
              <w:rPr/>
            </w:pPr>
            <w:r>
              <w:rPr/>
              <w:t>Signpost residents to specialist support and partner services where appropriate.</w:t>
            </w:r>
          </w:p>
        </w:tc>
      </w:tr>
      <w:tr>
        <w:trPr>
          <w:trHeight w:val="390" w:hRule="atLeast"/>
        </w:trPr>
        <w:tc>
          <w:tcPr>
            <w:tcW w:w="539" w:type="dxa"/>
            <w:tcBorders>
              <w:left w:val="single" w:sz="4" w:space="0" w:color="000000"/>
            </w:tcBorders>
          </w:tcPr>
          <w:p>
            <w:pPr>
              <w:pStyle w:val="Normal"/>
              <w:rPr/>
            </w:pPr>
            <w:r>
              <w:rPr/>
              <w:t>4.</w:t>
            </w:r>
          </w:p>
        </w:tc>
        <w:tc>
          <w:tcPr>
            <w:tcW w:w="9900" w:type="dxa"/>
            <w:tcBorders>
              <w:right w:val="single" w:sz="4" w:space="0" w:color="000000"/>
            </w:tcBorders>
          </w:tcPr>
          <w:p>
            <w:pPr>
              <w:pStyle w:val="Normal"/>
              <w:rPr/>
            </w:pPr>
            <w:r>
              <w:rPr/>
              <w:t>Maintain confidentiality and comply with data protection requirements.</w:t>
            </w:r>
          </w:p>
        </w:tc>
      </w:tr>
      <w:tr>
        <w:trPr>
          <w:trHeight w:val="390" w:hRule="atLeast"/>
        </w:trPr>
        <w:tc>
          <w:tcPr>
            <w:tcW w:w="539" w:type="dxa"/>
            <w:tcBorders>
              <w:left w:val="single" w:sz="4" w:space="0" w:color="000000"/>
            </w:tcBorders>
          </w:tcPr>
          <w:p>
            <w:pPr>
              <w:pStyle w:val="Normal"/>
              <w:rPr/>
            </w:pPr>
            <w:r>
              <w:rPr/>
              <w:t>5.</w:t>
            </w:r>
          </w:p>
        </w:tc>
        <w:tc>
          <w:tcPr>
            <w:tcW w:w="9900" w:type="dxa"/>
            <w:tcBorders>
              <w:right w:val="single" w:sz="4" w:space="0" w:color="000000"/>
            </w:tcBorders>
          </w:tcPr>
          <w:p>
            <w:pPr>
              <w:pStyle w:val="Normal"/>
              <w:rPr/>
            </w:pPr>
            <w:r>
              <w:rPr/>
              <w:t>Promote equality, diversity, inclusion and safeguarding in all aspects of the role.</w:t>
            </w:r>
          </w:p>
        </w:tc>
      </w:tr>
      <w:tr>
        <w:trPr>
          <w:trHeight w:val="390" w:hRule="atLeast"/>
        </w:trPr>
        <w:tc>
          <w:tcPr>
            <w:tcW w:w="539" w:type="dxa"/>
            <w:tcBorders>
              <w:left w:val="single" w:sz="4" w:space="0" w:color="000000"/>
            </w:tcBorders>
          </w:tcPr>
          <w:p>
            <w:pPr>
              <w:pStyle w:val="Normal"/>
              <w:rPr/>
            </w:pPr>
            <w:r>
              <w:rPr/>
              <w:t>7.</w:t>
            </w:r>
          </w:p>
        </w:tc>
        <w:tc>
          <w:tcPr>
            <w:tcW w:w="9900" w:type="dxa"/>
            <w:tcBorders>
              <w:right w:val="single" w:sz="4" w:space="0" w:color="000000"/>
            </w:tcBorders>
          </w:tcPr>
          <w:p>
            <w:pPr>
              <w:pStyle w:val="Normal"/>
              <w:rPr/>
            </w:pPr>
            <w:r>
              <w:rPr/>
              <w:t>Successfully complete the Level 4 Information, Advice and Guidance Apprenticeship, including off-the-job learning requirements, within the agreed apprenticeship timescale.</w:t>
            </w:r>
          </w:p>
        </w:tc>
      </w:tr>
      <w:tr>
        <w:trPr>
          <w:trHeight w:val="390" w:hRule="atLeast"/>
        </w:trPr>
        <w:tc>
          <w:tcPr>
            <w:tcW w:w="539" w:type="dxa"/>
            <w:tcBorders>
              <w:left w:val="single" w:sz="4" w:space="0" w:color="000000"/>
            </w:tcBorders>
          </w:tcPr>
          <w:p>
            <w:pPr>
              <w:pStyle w:val="EndnoteText"/>
              <w:snapToGrid w:val="false"/>
              <w:jc w:val="both"/>
              <w:rPr>
                <w:rFonts w:ascii="Arial" w:hAnsi="Arial" w:cs="Arial"/>
                <w:sz w:val="22"/>
                <w:szCs w:val="22"/>
              </w:rPr>
            </w:pPr>
            <w:r>
              <w:rPr>
                <w:rFonts w:cs="Arial" w:ascii="Arial" w:hAnsi="Arial"/>
                <w:sz w:val="22"/>
                <w:szCs w:val="22"/>
              </w:rPr>
            </w:r>
          </w:p>
        </w:tc>
        <w:tc>
          <w:tcPr>
            <w:tcW w:w="9900" w:type="dxa"/>
            <w:tcBorders>
              <w:right w:val="single" w:sz="4" w:space="0" w:color="000000"/>
            </w:tcBorders>
          </w:tcPr>
          <w:p>
            <w:pPr>
              <w:pStyle w:val="EndnoteText"/>
              <w:snapToGrid w:val="false"/>
              <w:jc w:val="both"/>
              <w:rPr>
                <w:rFonts w:ascii="Arial" w:hAnsi="Arial" w:cs="Arial"/>
                <w:sz w:val="22"/>
                <w:szCs w:val="22"/>
              </w:rPr>
            </w:pPr>
            <w:r>
              <w:rPr>
                <w:rFonts w:cs="Arial" w:ascii="Arial" w:hAnsi="Arial"/>
                <w:sz w:val="22"/>
                <w:szCs w:val="22"/>
              </w:rPr>
            </w:r>
          </w:p>
        </w:tc>
      </w:tr>
      <w:tr>
        <w:trPr>
          <w:trHeight w:val="390" w:hRule="atLeast"/>
        </w:trPr>
        <w:tc>
          <w:tcPr>
            <w:tcW w:w="539" w:type="dxa"/>
            <w:tcBorders>
              <w:left w:val="single" w:sz="4" w:space="0" w:color="000000"/>
              <w:bottom w:val="single" w:sz="4" w:space="0" w:color="000000"/>
            </w:tcBorders>
          </w:tcPr>
          <w:p>
            <w:pPr>
              <w:pStyle w:val="EndnoteText"/>
              <w:snapToGrid w:val="false"/>
              <w:jc w:val="both"/>
              <w:rPr>
                <w:rFonts w:ascii="Arial" w:hAnsi="Arial" w:cs="Arial"/>
                <w:sz w:val="22"/>
                <w:szCs w:val="22"/>
              </w:rPr>
            </w:pPr>
            <w:r>
              <w:rPr>
                <w:rFonts w:cs="Arial" w:ascii="Arial" w:hAnsi="Arial"/>
                <w:sz w:val="22"/>
                <w:szCs w:val="22"/>
              </w:rPr>
            </w:r>
          </w:p>
        </w:tc>
        <w:tc>
          <w:tcPr>
            <w:tcW w:w="9900" w:type="dxa"/>
            <w:tcBorders>
              <w:bottom w:val="single" w:sz="4" w:space="0" w:color="000000"/>
              <w:right w:val="single" w:sz="4" w:space="0" w:color="000000"/>
            </w:tcBorders>
          </w:tcPr>
          <w:p>
            <w:pPr>
              <w:pStyle w:val="EndnoteText"/>
              <w:snapToGrid w:val="false"/>
              <w:jc w:val="both"/>
              <w:rPr>
                <w:rFonts w:ascii="Arial" w:hAnsi="Arial" w:cs="Arial"/>
                <w:sz w:val="22"/>
                <w:szCs w:val="22"/>
              </w:rPr>
            </w:pPr>
            <w:r>
              <w:rPr>
                <w:rFonts w:cs="Arial" w:ascii="Arial" w:hAnsi="Arial"/>
                <w:sz w:val="22"/>
                <w:szCs w:val="22"/>
              </w:rPr>
            </w:r>
          </w:p>
        </w:tc>
      </w:tr>
    </w:tbl>
    <w:p>
      <w:pPr>
        <w:pStyle w:val="Normal"/>
        <w:rPr>
          <w:sz w:val="22"/>
          <w:szCs w:val="22"/>
        </w:rPr>
      </w:pPr>
      <w:r>
        <w:rPr>
          <w:sz w:val="22"/>
          <w:szCs w:val="22"/>
        </w:rPr>
      </w:r>
    </w:p>
    <w:tbl>
      <w:tblPr>
        <w:tblW w:w="10439" w:type="dxa"/>
        <w:jc w:val="left"/>
        <w:tblInd w:w="-612"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17" w:type="dxa"/>
            <w:tcBorders>
              <w:top w:val="single" w:sz="4" w:space="0" w:color="000000"/>
              <w:right w:val="single" w:sz="4" w:space="0" w:color="000000"/>
            </w:tcBorders>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2.</w:t>
            </w:r>
          </w:p>
        </w:tc>
        <w:tc>
          <w:tcPr>
            <w:tcW w:w="9917" w:type="dxa"/>
            <w:tcBorders>
              <w:right w:val="single" w:sz="4" w:space="0" w:color="000000"/>
            </w:tcBorders>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3.</w:t>
            </w:r>
          </w:p>
        </w:tc>
        <w:tc>
          <w:tcPr>
            <w:tcW w:w="9917" w:type="dxa"/>
            <w:tcBorders>
              <w:right w:val="single" w:sz="4" w:space="0" w:color="000000"/>
            </w:tcBorders>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4.</w:t>
            </w:r>
          </w:p>
        </w:tc>
        <w:tc>
          <w:tcPr>
            <w:tcW w:w="9917" w:type="dxa"/>
            <w:tcBorders>
              <w:right w:val="single" w:sz="4" w:space="0" w:color="000000"/>
            </w:tcBorders>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sz w:val="22"/>
                <w:szCs w:val="22"/>
              </w:rPr>
            </w:pPr>
            <w:r>
              <w:rPr>
                <w:sz w:val="22"/>
                <w:szCs w:val="22"/>
              </w:rPr>
              <w:t>5.</w:t>
            </w:r>
          </w:p>
        </w:tc>
        <w:tc>
          <w:tcPr>
            <w:tcW w:w="9917" w:type="dxa"/>
            <w:tcBorders>
              <w:bottom w:val="single" w:sz="4" w:space="0" w:color="000000"/>
              <w:right w:val="single" w:sz="4" w:space="0" w:color="000000"/>
            </w:tcBorders>
          </w:tcPr>
          <w:p>
            <w:pPr>
              <w:pStyle w:val="Normal"/>
              <w:jc w:val="both"/>
              <w:rPr>
                <w:sz w:val="22"/>
                <w:szCs w:val="22"/>
              </w:rPr>
            </w:pPr>
            <w:r>
              <w:rPr>
                <w:sz w:val="22"/>
                <w:szCs w:val="22"/>
              </w:rPr>
              <w:t>Undertake any additional duties commensurate with the level of the post.</w:t>
            </w:r>
          </w:p>
          <w:p>
            <w:pPr>
              <w:pStyle w:val="Normal"/>
              <w:jc w:val="both"/>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0" w:type="dxa"/>
        <w:jc w:val="left"/>
        <w:tblInd w:w="-612"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Contacts:</w:t>
            </w:r>
          </w:p>
          <w:p>
            <w:pPr>
              <w:pStyle w:val="Normal"/>
              <w:rPr>
                <w:b/>
                <w:sz w:val="22"/>
                <w:szCs w:val="22"/>
              </w:rPr>
            </w:pPr>
            <w:r>
              <w:rPr>
                <w:b/>
                <w:sz w:val="22"/>
                <w:szCs w:val="22"/>
              </w:rPr>
            </w:r>
          </w:p>
          <w:p>
            <w:pPr>
              <w:pStyle w:val="Normal"/>
              <w:jc w:val="both"/>
              <w:rPr>
                <w:sz w:val="22"/>
                <w:szCs w:val="22"/>
              </w:rPr>
            </w:pPr>
            <w:r>
              <w:rPr>
                <w:sz w:val="22"/>
                <w:szCs w:val="22"/>
              </w:rPr>
              <w:t>Colleagues with own team, and the rest of the Council, internal and external customers including the public, partner organisations, for example; the NHS or First Choice Homes Oldham.</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612"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b/>
                <w:sz w:val="22"/>
                <w:szCs w:val="22"/>
              </w:rPr>
            </w:pPr>
            <w:r>
              <w:rPr>
                <w:b/>
                <w:sz w:val="22"/>
                <w:szCs w:val="22"/>
              </w:rPr>
              <w:t xml:space="preserve">Responsible to:  </w:t>
            </w:r>
          </w:p>
          <w:p>
            <w:pPr>
              <w:pStyle w:val="Normal"/>
              <w:rPr>
                <w:sz w:val="22"/>
                <w:szCs w:val="22"/>
              </w:rPr>
            </w:pPr>
            <w:r>
              <w:rPr>
                <w:sz w:val="22"/>
                <w:szCs w:val="22"/>
              </w:rPr>
            </w:r>
          </w:p>
        </w:tc>
        <w:tc>
          <w:tcPr>
            <w:tcW w:w="8333" w:type="dxa"/>
            <w:tcBorders>
              <w:top w:val="single" w:sz="4" w:space="0" w:color="000000"/>
              <w:right w:val="single" w:sz="4" w:space="0" w:color="000000"/>
            </w:tcBorders>
          </w:tcPr>
          <w:p>
            <w:pPr>
              <w:pStyle w:val="BodyText"/>
              <w:rPr>
                <w:b w:val="false"/>
                <w:color w:val="FF0000"/>
                <w:szCs w:val="22"/>
              </w:rPr>
            </w:pPr>
            <w:r>
              <w:rPr>
                <w:b w:val="false"/>
                <w:color w:val="FF0000"/>
                <w:szCs w:val="22"/>
              </w:rPr>
              <w:t>Line Manager</w:t>
            </w:r>
          </w:p>
        </w:tc>
      </w:tr>
      <w:tr>
        <w:trPr>
          <w:trHeight w:val="517" w:hRule="atLeast"/>
        </w:trPr>
        <w:tc>
          <w:tcPr>
            <w:tcW w:w="2106" w:type="dxa"/>
            <w:tcBorders>
              <w:left w:val="single" w:sz="4" w:space="0" w:color="000000"/>
              <w:bottom w:val="single" w:sz="4" w:space="0" w:color="000000"/>
            </w:tcBorders>
          </w:tcPr>
          <w:p>
            <w:pPr>
              <w:pStyle w:val="Normal"/>
              <w:rPr>
                <w:b/>
                <w:sz w:val="22"/>
                <w:szCs w:val="22"/>
              </w:rPr>
            </w:pPr>
            <w:r>
              <w:rPr>
                <w:b/>
                <w:sz w:val="22"/>
                <w:szCs w:val="22"/>
              </w:rPr>
              <w:t>Responsible for:</w:t>
            </w:r>
          </w:p>
        </w:tc>
        <w:tc>
          <w:tcPr>
            <w:tcW w:w="8333" w:type="dxa"/>
            <w:tcBorders>
              <w:bottom w:val="single" w:sz="4" w:space="0" w:color="000000"/>
              <w:right w:val="single" w:sz="4" w:space="0" w:color="000000"/>
            </w:tcBorders>
          </w:tcPr>
          <w:p>
            <w:pPr>
              <w:pStyle w:val="Normal"/>
              <w:rPr>
                <w:sz w:val="22"/>
                <w:szCs w:val="22"/>
              </w:rPr>
            </w:pPr>
            <w:r>
              <w:rPr>
                <w:sz w:val="22"/>
                <w:szCs w:val="22"/>
              </w:rPr>
              <w:t>Not applicable</w:t>
            </w:r>
          </w:p>
        </w:tc>
      </w:tr>
    </w:tbl>
    <w:p>
      <w:pPr>
        <w:pStyle w:val="Normal"/>
        <w:rPr>
          <w:sz w:val="22"/>
          <w:szCs w:val="22"/>
        </w:rPr>
      </w:pPr>
      <w:r>
        <w:rPr>
          <w:sz w:val="22"/>
          <w:szCs w:val="22"/>
        </w:rPr>
      </w:r>
    </w:p>
    <w:p>
      <w:pPr>
        <w:pStyle w:val="Normal"/>
        <w:rPr>
          <w:sz w:val="22"/>
          <w:szCs w:val="22"/>
        </w:rPr>
      </w:pPr>
      <w:r>
        <w:rPr>
          <w:sz w:val="22"/>
          <w:szCs w:val="22"/>
        </w:rPr>
      </w:r>
    </w:p>
    <w:tbl>
      <w:tblPr>
        <w:tblW w:w="10440" w:type="dxa"/>
        <w:jc w:val="left"/>
        <w:tblInd w:w="-612"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 xml:space="preserve">Special Conditions: </w:t>
            </w:r>
          </w:p>
          <w:p>
            <w:pPr>
              <w:pStyle w:val="Normal"/>
              <w:rPr>
                <w:sz w:val="22"/>
                <w:szCs w:val="22"/>
              </w:rPr>
            </w:pPr>
            <w:r>
              <w:rPr>
                <w:sz w:val="22"/>
                <w:szCs w:val="22"/>
              </w:rPr>
            </w:r>
          </w:p>
          <w:p>
            <w:pPr>
              <w:pStyle w:val="Normal"/>
              <w:rPr>
                <w:sz w:val="22"/>
                <w:szCs w:val="22"/>
              </w:rPr>
            </w:pPr>
            <w:r>
              <w:rPr>
                <w:sz w:val="22"/>
                <w:szCs w:val="22"/>
              </w:rPr>
              <w:t>None</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0" w:type="dxa"/>
        <w:jc w:val="left"/>
        <w:tblInd w:w="-612"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Values and Behaviours:</w:t>
            </w:r>
          </w:p>
          <w:p>
            <w:pPr>
              <w:pStyle w:val="Normal"/>
              <w:rPr>
                <w:b/>
                <w:color w:val="FFFFFF"/>
                <w:sz w:val="22"/>
                <w:szCs w:val="22"/>
              </w:rPr>
            </w:pPr>
            <w:r>
              <w:rPr>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pacing w:before="0" w:after="280"/>
              <w:jc w:val="both"/>
              <w:rPr>
                <w:rFonts w:cs="Arial"/>
                <w:sz w:val="22"/>
                <w:szCs w:val="22"/>
                <w:lang w:val="en-US" w:eastAsia="en-GB"/>
              </w:rPr>
            </w:pPr>
            <w:r>
              <w:rPr>
                <w:rFonts w:cs="Arial"/>
                <w:sz w:val="22"/>
                <w:szCs w:val="22"/>
                <w:lang w:val="en-US" w:eastAsia="en-GB"/>
              </w:rPr>
              <w:t>We have a clear set of values that outline how we do business. We share these Borough-wide with our residents, partners and businesses:</w:t>
            </w:r>
          </w:p>
          <w:p>
            <w:pPr>
              <w:pStyle w:val="Normal"/>
              <w:numPr>
                <w:ilvl w:val="0"/>
                <w:numId w:val="3"/>
              </w:numPr>
              <w:spacing w:before="280" w:after="0"/>
              <w:jc w:val="both"/>
              <w:rPr/>
            </w:pPr>
            <w:r>
              <w:rPr>
                <w:rFonts w:cs="Arial"/>
                <w:b/>
                <w:bCs/>
                <w:sz w:val="22"/>
                <w:szCs w:val="22"/>
                <w:lang w:val="en-US" w:eastAsia="en-GB"/>
              </w:rPr>
              <w:t>Fairness - </w:t>
            </w:r>
            <w:r>
              <w:rPr>
                <w:rFonts w:cs="Arial"/>
                <w:sz w:val="22"/>
                <w:szCs w:val="22"/>
                <w:lang w:val="en-US" w:eastAsia="en-GB"/>
              </w:rPr>
              <w:t>We will champion fairness and equality of opportunity, and ensure working together brings mutual benefits and the greatest possible added value. We will enable everyone to be involved.</w:t>
            </w:r>
          </w:p>
          <w:p>
            <w:pPr>
              <w:pStyle w:val="Normal"/>
              <w:numPr>
                <w:ilvl w:val="0"/>
                <w:numId w:val="3"/>
              </w:numPr>
              <w:spacing w:before="0" w:after="0"/>
              <w:jc w:val="both"/>
              <w:rPr/>
            </w:pPr>
            <w:r>
              <w:rPr>
                <w:rFonts w:cs="Arial"/>
                <w:b/>
                <w:bCs/>
                <w:sz w:val="22"/>
                <w:szCs w:val="22"/>
                <w:lang w:val="en-US" w:eastAsia="en-GB"/>
              </w:rPr>
              <w:t>Openness - </w:t>
            </w:r>
            <w:r>
              <w:rPr>
                <w:rFonts w:cs="Arial"/>
                <w:sz w:val="22"/>
                <w:szCs w:val="22"/>
                <w:lang w:val="en-US" w:eastAsia="en-GB"/>
              </w:rPr>
              <w:t>We will be open and honest in our actions and communications. We will take decisions in a transparent way and at the most local level possible.</w:t>
            </w:r>
          </w:p>
          <w:p>
            <w:pPr>
              <w:pStyle w:val="Normal"/>
              <w:numPr>
                <w:ilvl w:val="0"/>
                <w:numId w:val="3"/>
              </w:numPr>
              <w:spacing w:before="0" w:after="0"/>
              <w:jc w:val="both"/>
              <w:rPr/>
            </w:pPr>
            <w:r>
              <w:rPr>
                <w:rFonts w:cs="Arial"/>
                <w:b/>
                <w:bCs/>
                <w:sz w:val="22"/>
                <w:szCs w:val="22"/>
                <w:lang w:val="en-US" w:eastAsia="en-GB"/>
              </w:rPr>
              <w:t>Responsibility - </w:t>
            </w:r>
            <w:r>
              <w:rPr>
                <w:rFonts w:cs="Arial"/>
                <w:sz w:val="22"/>
                <w:szCs w:val="22"/>
                <w:lang w:val="en-US" w:eastAsia="en-GB"/>
              </w:rPr>
              <w:t>We take responsibility for, and answer to our actions. We will encourage people to take responsibility for themselves and their actions. Mutual benefits go hand-in-hand with mutual obligations.</w:t>
            </w:r>
          </w:p>
          <w:p>
            <w:pPr>
              <w:pStyle w:val="Normal"/>
              <w:numPr>
                <w:ilvl w:val="0"/>
                <w:numId w:val="3"/>
              </w:numPr>
              <w:spacing w:before="0" w:after="0"/>
              <w:jc w:val="both"/>
              <w:rPr/>
            </w:pPr>
            <w:r>
              <w:rPr>
                <w:rFonts w:cs="Arial"/>
                <w:b/>
                <w:bCs/>
                <w:sz w:val="22"/>
                <w:szCs w:val="22"/>
                <w:lang w:val="en" w:eastAsia="en-GB"/>
              </w:rPr>
              <w:t>Working together - </w:t>
            </w:r>
            <w:r>
              <w:rPr>
                <w:rFonts w:cs="Arial"/>
                <w:sz w:val="22"/>
                <w:szCs w:val="22"/>
                <w:lang w:val="en" w:eastAsia="en-GB"/>
              </w:rPr>
              <w:t>We will work together and support each other in achieving common goals, making sure the environment is in place for self-help.</w:t>
            </w:r>
          </w:p>
          <w:p>
            <w:pPr>
              <w:pStyle w:val="Normal"/>
              <w:numPr>
                <w:ilvl w:val="0"/>
                <w:numId w:val="3"/>
              </w:numPr>
              <w:spacing w:before="0" w:after="0"/>
              <w:jc w:val="both"/>
              <w:rPr/>
            </w:pPr>
            <w:r>
              <w:rPr>
                <w:rFonts w:cs="Arial"/>
                <w:b/>
                <w:bCs/>
                <w:sz w:val="22"/>
                <w:szCs w:val="22"/>
                <w:lang w:val="en-US" w:eastAsia="en-GB"/>
              </w:rPr>
              <w:t>Accountability - </w:t>
            </w:r>
            <w:r>
              <w:rPr>
                <w:rFonts w:cs="Arial"/>
                <w:sz w:val="22"/>
                <w:szCs w:val="22"/>
                <w:lang w:val="en-US" w:eastAsia="en-GB"/>
              </w:rPr>
              <w:t>We recognise and act upon the impact of our actions on others, and hold ourselves accountable to our stakeholders.</w:t>
            </w:r>
          </w:p>
          <w:p>
            <w:pPr>
              <w:pStyle w:val="Normal"/>
              <w:numPr>
                <w:ilvl w:val="0"/>
                <w:numId w:val="3"/>
              </w:numPr>
              <w:spacing w:before="0" w:after="0"/>
              <w:jc w:val="both"/>
              <w:rPr/>
            </w:pPr>
            <w:r>
              <w:rPr>
                <w:rFonts w:cs="Arial"/>
                <w:b/>
                <w:bCs/>
                <w:sz w:val="22"/>
                <w:szCs w:val="22"/>
                <w:lang w:val="en-US" w:eastAsia="en-GB"/>
              </w:rPr>
              <w:t>Respect - </w:t>
            </w:r>
            <w:r>
              <w:rPr>
                <w:rFonts w:cs="Arial"/>
                <w:sz w:val="22"/>
                <w:szCs w:val="22"/>
                <w:lang w:val="en-US" w:eastAsia="en-GB"/>
              </w:rPr>
              <w:t>We recognise and welcome different views and treat each other with dignity and respect.</w:t>
            </w:r>
          </w:p>
          <w:p>
            <w:pPr>
              <w:pStyle w:val="Normal"/>
              <w:numPr>
                <w:ilvl w:val="0"/>
                <w:numId w:val="3"/>
              </w:numPr>
              <w:spacing w:before="0" w:after="280"/>
              <w:jc w:val="both"/>
              <w:rPr/>
            </w:pPr>
            <w:r>
              <w:rPr>
                <w:rFonts w:cs="Arial"/>
                <w:b/>
                <w:bCs/>
                <w:sz w:val="22"/>
                <w:szCs w:val="22"/>
                <w:lang w:val="en-US" w:eastAsia="en-GB"/>
              </w:rPr>
              <w:t>Democracy - </w:t>
            </w:r>
            <w:r>
              <w:rPr>
                <w:rFonts w:cs="Arial"/>
                <w:sz w:val="22"/>
                <w:szCs w:val="22"/>
                <w:lang w:val="en-US" w:eastAsia="en-GB"/>
              </w:rPr>
              <w:t>We believe and act within the principles of democracy, and promote these across the borough. </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sz w:val="22"/>
                <w:szCs w:val="20"/>
                <w:lang w:val="en"/>
              </w:rPr>
            </w:pPr>
            <w:r>
              <w:rPr>
                <w:sz w:val="22"/>
                <w:szCs w:val="20"/>
                <w:lang w:val="en"/>
              </w:rPr>
              <w:t>Internally we’ve translated these values into five Co-operative behaviours which outline the priority areas of focus for staff at all levels.</w:t>
            </w:r>
          </w:p>
          <w:p>
            <w:pPr>
              <w:pStyle w:val="Normal"/>
              <w:rPr>
                <w:sz w:val="22"/>
                <w:szCs w:val="22"/>
              </w:rPr>
            </w:pPr>
            <w:r>
              <w:rPr>
                <w:sz w:val="22"/>
                <w:szCs w:val="22"/>
              </w:rPr>
            </w:r>
          </w:p>
          <w:p>
            <w:pPr>
              <w:pStyle w:val="Normal"/>
              <w:numPr>
                <w:ilvl w:val="0"/>
                <w:numId w:val="2"/>
              </w:numPr>
              <w:rPr/>
            </w:pPr>
            <w:r>
              <w:rPr>
                <w:sz w:val="22"/>
                <w:szCs w:val="22"/>
              </w:rPr>
              <w:t>Work with a Resident Focus</w:t>
            </w:r>
          </w:p>
          <w:p>
            <w:pPr>
              <w:pStyle w:val="Normal"/>
              <w:numPr>
                <w:ilvl w:val="0"/>
                <w:numId w:val="2"/>
              </w:numPr>
              <w:rPr/>
            </w:pPr>
            <w:r>
              <w:rPr>
                <w:sz w:val="22"/>
                <w:szCs w:val="22"/>
              </w:rPr>
              <w:t>Support Local Leaders</w:t>
            </w:r>
          </w:p>
          <w:p>
            <w:pPr>
              <w:pStyle w:val="Normal"/>
              <w:numPr>
                <w:ilvl w:val="0"/>
                <w:numId w:val="2"/>
              </w:numPr>
              <w:rPr/>
            </w:pPr>
            <w:r>
              <w:rPr>
                <w:sz w:val="22"/>
                <w:szCs w:val="22"/>
              </w:rPr>
              <w:t>Committed to the Borough</w:t>
            </w:r>
          </w:p>
          <w:p>
            <w:pPr>
              <w:pStyle w:val="Normal"/>
              <w:numPr>
                <w:ilvl w:val="0"/>
                <w:numId w:val="2"/>
              </w:numPr>
              <w:rPr/>
            </w:pPr>
            <w:r>
              <w:rPr>
                <w:sz w:val="22"/>
                <w:szCs w:val="22"/>
              </w:rPr>
              <w:t>Take Ownership and Drive Change</w:t>
            </w:r>
          </w:p>
          <w:p>
            <w:pPr>
              <w:pStyle w:val="Normal"/>
              <w:numPr>
                <w:ilvl w:val="0"/>
                <w:numId w:val="2"/>
              </w:numPr>
              <w:rPr/>
            </w:pPr>
            <w:r>
              <w:rPr>
                <w:sz w:val="22"/>
                <w:szCs w:val="22"/>
              </w:rPr>
              <w:t xml:space="preserve">Deliver High Performance </w:t>
            </w:r>
          </w:p>
          <w:p>
            <w:pPr>
              <w:pStyle w:val="Normal"/>
              <w:rPr>
                <w:sz w:val="22"/>
                <w:szCs w:val="22"/>
              </w:rPr>
            </w:pPr>
            <w:r>
              <w:rPr>
                <w:sz w:val="22"/>
                <w:szCs w:val="22"/>
              </w:rPr>
            </w:r>
          </w:p>
          <w:p>
            <w:pPr>
              <w:pStyle w:val="Normal"/>
              <w:rPr>
                <w:sz w:val="22"/>
                <w:szCs w:val="22"/>
              </w:rPr>
            </w:pPr>
            <w:r>
              <w:rPr>
                <w:sz w:val="22"/>
                <w:szCs w:val="22"/>
              </w:rPr>
              <w:t>More information around our Values and Behaviours can be found on our Greater.Jobs pages.</w:t>
            </w:r>
          </w:p>
          <w:p>
            <w:pPr>
              <w:pStyle w:val="Normal"/>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612"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r>
        <w:br w:type="page"/>
      </w:r>
    </w:p>
    <w:p>
      <w:pPr>
        <w:pStyle w:val="Normal"/>
        <w:jc w:val="center"/>
        <w:rPr>
          <w:b/>
          <w:bCs/>
          <w:u w:val="single"/>
        </w:rPr>
      </w:pPr>
      <w:r>
        <w:rPr>
          <w:b/>
          <w:bCs/>
          <w:u w:val="single"/>
        </w:rPr>
        <w:t>OLDHAM COUNCIL</w:t>
      </w:r>
    </w:p>
    <w:p>
      <w:pPr>
        <w:pStyle w:val="Normal"/>
        <w:jc w:val="center"/>
        <w:rPr>
          <w:b/>
          <w:bCs/>
          <w:u w:val="single"/>
        </w:rPr>
      </w:pPr>
      <w:r>
        <w:rPr>
          <w:b/>
          <w:bCs/>
          <w:u w:val="single"/>
        </w:rPr>
      </w:r>
      <w:r>
        <mc:AlternateContent>
          <mc:Choice Requires="wps">
            <w:drawing>
              <wp:anchor behindDoc="0" distT="0" distB="0" distL="114300" distR="114300" simplePos="0" locked="0" layoutInCell="1" allowOverlap="1" relativeHeight="2">
                <wp:simplePos x="0" y="0"/>
                <wp:positionH relativeFrom="column">
                  <wp:posOffset>5143500</wp:posOffset>
                </wp:positionH>
                <wp:positionV relativeFrom="paragraph">
                  <wp:posOffset>-605790</wp:posOffset>
                </wp:positionV>
                <wp:extent cx="1148080" cy="1186815"/>
                <wp:effectExtent l="0" t="0" r="0" b="0"/>
                <wp:wrapNone/>
                <wp:docPr id="1" name="Frame1"/>
                <a:graphic xmlns:a="http://schemas.openxmlformats.org/drawingml/2006/main">
                  <a:graphicData uri="http://schemas.microsoft.com/office/word/2010/wordprocessingShape">
                    <wps:wsp>
                      <wps:cNvSpPr txBox="1"/>
                      <wps:spPr>
                        <a:xfrm>
                          <a:off x="0" y="0"/>
                          <a:ext cx="1148080" cy="1186815"/>
                        </a:xfrm>
                        <a:prstGeom prst="rect"/>
                        <a:solidFill>
                          <a:srgbClr val="FFFFFF"/>
                        </a:solidFill>
                        <a:ln>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90.4pt;height:93.45pt;mso-wrap-distance-left:9pt;mso-wrap-distance-right:9pt;mso-wrap-distance-top:0pt;mso-wrap-distance-bottom:0pt;margin-top:-47.7pt;mso-position-vertical-relative:text;margin-left:405pt;mso-position-horizontal-relative:text">
                <v:textbox>
                  <w:txbxContent>
                    <w:p>
                      <w:pPr>
                        <w:pStyle w:val="FrameContents"/>
                        <w:rPr/>
                      </w:pPr>
                      <w:r>
                        <w:rPr/>
                      </w:r>
                    </w:p>
                  </w:txbxContent>
                </v:textbox>
                <w10:wrap type="none"/>
              </v:rect>
            </w:pict>
          </mc:Fallback>
        </mc:AlternateContent>
      </w:r>
    </w:p>
    <w:p>
      <w:pPr>
        <w:pStyle w:val="Normal"/>
        <w:jc w:val="center"/>
        <w:rPr>
          <w:b/>
          <w:bCs/>
          <w:u w:val="single"/>
        </w:rPr>
      </w:pPr>
      <w:r>
        <w:rPr>
          <w:b/>
          <w:bCs/>
          <w:u w:val="single"/>
        </w:rPr>
        <w:t>PERSON SPECIFICATION</w:t>
      </w:r>
    </w:p>
    <w:p>
      <w:pPr>
        <w:pStyle w:val="Normal"/>
        <w:rPr>
          <w:bCs/>
        </w:rPr>
      </w:pPr>
      <w:r>
        <w:rPr>
          <w:bCs/>
        </w:rPr>
      </w:r>
    </w:p>
    <w:p>
      <w:pPr>
        <w:pStyle w:val="Normal"/>
        <w:ind w:right="-514"/>
        <w:rPr/>
      </w:pPr>
      <w:r>
        <w:rPr>
          <w:b/>
          <w:bCs/>
          <w:sz w:val="22"/>
          <w:szCs w:val="22"/>
        </w:rPr>
        <w:t>Job Title:</w:t>
      </w:r>
      <w:r>
        <w:rPr>
          <w:bCs/>
          <w:sz w:val="22"/>
          <w:szCs w:val="22"/>
        </w:rPr>
        <w:t xml:space="preserve">  Higher Apprentice</w:t>
      </w:r>
    </w:p>
    <w:p>
      <w:pPr>
        <w:pStyle w:val="Normal"/>
        <w:rPr/>
      </w:pPr>
      <w:r>
        <w:rPr/>
      </w:r>
    </w:p>
    <w:tbl>
      <w:tblPr>
        <w:tblW w:w="10439" w:type="dxa"/>
        <w:jc w:val="left"/>
        <w:tblInd w:w="-612"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rPr>
            </w:pPr>
            <w:r>
              <w:rPr>
                <w:b/>
                <w:bCs/>
                <w:color w:val="FFFFFF"/>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(Desirable)</w:t>
            </w:r>
          </w:p>
          <w:p>
            <w:pPr>
              <w:pStyle w:val="Normal"/>
              <w:jc w:val="center"/>
              <w:rPr>
                <w:b/>
                <w:bCs/>
                <w:color w:val="FFFFFF"/>
              </w:rPr>
            </w:pPr>
            <w:r>
              <w:rPr>
                <w:b/>
                <w:bCs/>
                <w:color w:val="FFFFFF"/>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Education &amp; Qualifications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pPr>
            <w:r>
              <w:rPr/>
              <w:t>Sufficient literacy and numeracy to undertake the tasks and duties of the role.</w:t>
              <w:br/>
              <w:t>Willingness and ability to undertake and successfully complete the Level 4 Information, Advice and Guidance Apprenticeship within agreed programme timescales.</w:t>
              <w:br/>
              <w:t>Commitment to dedicating approximately one day per week to off-the-job learning, study and assessment activities.</w:t>
            </w:r>
          </w:p>
        </w:tc>
        <w:tc>
          <w:tcPr>
            <w:tcW w:w="3060" w:type="dxa"/>
            <w:tcBorders>
              <w:top w:val="single" w:sz="4" w:space="0" w:color="000000"/>
              <w:left w:val="single" w:sz="4" w:space="0" w:color="000000"/>
              <w:bottom w:val="single" w:sz="4" w:space="0" w:color="000000"/>
              <w:right w:val="single" w:sz="4" w:space="0" w:color="000000"/>
            </w:tcBorders>
          </w:tcPr>
          <w:p>
            <w:pPr>
              <w:pStyle w:val="Normal"/>
              <w:rPr/>
            </w:pPr>
            <w:r>
              <w:rPr/>
              <w:t>Relevant Level 3 qualification.</w:t>
            </w:r>
          </w:p>
        </w:tc>
        <w:tc>
          <w:tcPr>
            <w:tcW w:w="1620" w:type="dxa"/>
            <w:tcBorders>
              <w:top w:val="single" w:sz="4" w:space="0" w:color="000000"/>
              <w:left w:val="single" w:sz="4" w:space="0" w:color="000000"/>
              <w:bottom w:val="single" w:sz="4" w:space="0" w:color="000000"/>
              <w:right w:val="single" w:sz="4" w:space="0" w:color="000000"/>
            </w:tcBorders>
          </w:tcPr>
          <w:p>
            <w:pPr>
              <w:pStyle w:val="Normal"/>
              <w:rPr/>
            </w:pPr>
            <w:r>
              <w:rPr/>
              <w:t>AF/I/T</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Experience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pPr>
            <w:r>
              <w:rPr/>
              <w:t>Experience of using Microsoft Office, databases, internet and email.</w:t>
              <w:br/>
              <w:t>Experience of communicating with customers or service users.</w:t>
            </w:r>
          </w:p>
        </w:tc>
        <w:tc>
          <w:tcPr>
            <w:tcW w:w="3060" w:type="dxa"/>
            <w:tcBorders>
              <w:top w:val="single" w:sz="4" w:space="0" w:color="000000"/>
              <w:left w:val="single" w:sz="4" w:space="0" w:color="000000"/>
              <w:bottom w:val="single" w:sz="4" w:space="0" w:color="000000"/>
              <w:right w:val="single" w:sz="4" w:space="0" w:color="000000"/>
            </w:tcBorders>
          </w:tcPr>
          <w:p>
            <w:pPr>
              <w:pStyle w:val="Normal"/>
              <w:rPr/>
            </w:pPr>
            <w:r>
              <w:rPr/>
              <w:t>Experience of customer-facing support.</w:t>
            </w:r>
          </w:p>
        </w:tc>
        <w:tc>
          <w:tcPr>
            <w:tcW w:w="1620" w:type="dxa"/>
            <w:tcBorders>
              <w:top w:val="single" w:sz="4" w:space="0" w:color="000000"/>
              <w:left w:val="single" w:sz="4" w:space="0" w:color="000000"/>
              <w:bottom w:val="single" w:sz="4" w:space="0" w:color="000000"/>
              <w:right w:val="single" w:sz="4" w:space="0" w:color="000000"/>
            </w:tcBorders>
          </w:tcPr>
          <w:p>
            <w:pPr>
              <w:pStyle w:val="Normal"/>
              <w:rPr/>
            </w:pPr>
            <w:r>
              <w:rPr/>
              <w:t>AF/I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Skills &amp; Abilities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pPr>
            <w:r>
              <w:rPr/>
              <w:t>Communication and listening skills to build effective relationships with residents, employers, colleagues and partners.</w:t>
              <w:br/>
              <w:t>Ability to communicate professionally and confidently using face-to-face, telephone, email and online communication methods.</w:t>
              <w:br/>
              <w:t>Ability to use Microsoft Outlook, Word, Excel, databases, CRM and case management systems.</w:t>
              <w:br/>
              <w:t>Customer service skills to provide clear and accurate information, advice and guidance.</w:t>
              <w:br/>
              <w:t>Ability to maintain accurate records and organise workload effectively.</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rPr/>
            </w:pPr>
            <w:r>
              <w:rPr/>
              <w:t>AF/I/T</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Knowledge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pPr>
            <w:r>
              <w:rPr/>
              <w:t>Knowledge of confidentiality, data protection, safeguarding and equality and diversity.</w:t>
            </w:r>
          </w:p>
        </w:tc>
        <w:tc>
          <w:tcPr>
            <w:tcW w:w="3060" w:type="dxa"/>
            <w:tcBorders>
              <w:top w:val="single" w:sz="4" w:space="0" w:color="000000"/>
              <w:left w:val="single" w:sz="4" w:space="0" w:color="000000"/>
              <w:bottom w:val="single" w:sz="4" w:space="0" w:color="000000"/>
              <w:right w:val="single" w:sz="4" w:space="0" w:color="000000"/>
            </w:tcBorders>
          </w:tcPr>
          <w:p>
            <w:pPr>
              <w:pStyle w:val="Normal"/>
              <w:rPr/>
            </w:pPr>
            <w:r>
              <w:rPr/>
              <w:t>Knowledge of employment, education and training opportunities.</w:t>
            </w:r>
          </w:p>
        </w:tc>
        <w:tc>
          <w:tcPr>
            <w:tcW w:w="1620" w:type="dxa"/>
            <w:tcBorders>
              <w:top w:val="single" w:sz="4" w:space="0" w:color="000000"/>
              <w:left w:val="single" w:sz="4" w:space="0" w:color="000000"/>
              <w:bottom w:val="single" w:sz="4" w:space="0" w:color="000000"/>
              <w:right w:val="single" w:sz="4" w:space="0" w:color="000000"/>
            </w:tcBorders>
          </w:tcPr>
          <w:p>
            <w:pPr>
              <w:pStyle w:val="Normal"/>
              <w:rPr/>
            </w:pPr>
            <w:r>
              <w:rPr/>
              <w:t>AF/I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Work Circumstances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pPr>
            <w:r>
              <w:rPr/>
              <w:t>Able to work flexibly across locations and participate in off-the-job apprenticeship learning.</w:t>
              <w:br/>
              <w:t>Reliable, professional and punctual with a commitment to continuous professional development.</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rPr/>
            </w:pPr>
            <w:r>
              <w:rPr/>
              <w:t>I</w:t>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T = Test; R = References.</w:t>
      </w:r>
    </w:p>
    <w:p>
      <w:pPr>
        <w:pStyle w:val="Normal"/>
        <w:rPr>
          <w:sz w:val="22"/>
          <w:szCs w:val="22"/>
        </w:rPr>
      </w:pPr>
      <w:r>
        <w:rPr>
          <w:sz w:val="22"/>
          <w:szCs w:val="22"/>
        </w:rPr>
      </w:r>
    </w:p>
    <w:p>
      <w:pPr>
        <w:pStyle w:val="Normal"/>
        <w:jc w:val="both"/>
        <w:rPr>
          <w:b/>
          <w:bCs/>
          <w:sz w:val="22"/>
          <w:szCs w:val="22"/>
        </w:rPr>
      </w:pPr>
      <w:r>
        <w:rPr>
          <w:b/>
          <w:bCs/>
          <w:sz w:val="22"/>
          <w:szCs w:val="22"/>
        </w:rPr>
        <w:t>NB. - Any candidate with a disability who meets the essential criteria will be guaranteed an interview</w:t>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Gautam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DefaultParagraphFont">
    <w:name w:val="Default Paragraph Font"/>
    <w:qFormat/>
    <w:rPr/>
  </w:style>
  <w:style w:type="character" w:styleId="FooterChar">
    <w:name w:val="Footer Char"/>
    <w:qFormat/>
    <w:rPr>
      <w:rFonts w:ascii="Arial" w:hAnsi="Arial" w:cs="Arial"/>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