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4.jpeg" ContentType="image/jpeg"/>
  <Override PartName="/word/media/image3.jpeg" ContentType="image/jpe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drawing>
          <wp:anchor behindDoc="1" distT="0" distB="0" distL="114300" distR="114300" simplePos="0" locked="0" layoutInCell="1" allowOverlap="1" relativeHeight="20">
            <wp:simplePos x="0" y="0"/>
            <wp:positionH relativeFrom="margin">
              <wp:posOffset>31750</wp:posOffset>
            </wp:positionH>
            <wp:positionV relativeFrom="margin">
              <wp:posOffset>666115</wp:posOffset>
            </wp:positionV>
            <wp:extent cx="5814060" cy="232727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7" t="-17" r="-7" b="-17"/>
                    <a:stretch>
                      <a:fillRect/>
                    </a:stretch>
                  </pic:blipFill>
                  <pic:spPr bwMode="auto">
                    <a:xfrm>
                      <a:off x="0" y="0"/>
                      <a:ext cx="5814060" cy="2327275"/>
                    </a:xfrm>
                    <a:prstGeom prst="rect">
                      <a:avLst/>
                    </a:prstGeom>
                  </pic:spPr>
                </pic:pic>
              </a:graphicData>
            </a:graphic>
          </wp:anchor>
        </w:drawing>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mc:AlternateContent>
          <mc:Choice Requires="wps">
            <w:drawing>
              <wp:anchor behindDoc="0" distT="0" distB="0" distL="114935" distR="114935" simplePos="0" locked="0" layoutInCell="1" allowOverlap="1" relativeHeight="19">
                <wp:simplePos x="0" y="0"/>
                <wp:positionH relativeFrom="column">
                  <wp:posOffset>-563880</wp:posOffset>
                </wp:positionH>
                <wp:positionV relativeFrom="paragraph">
                  <wp:posOffset>546735</wp:posOffset>
                </wp:positionV>
                <wp:extent cx="6851015" cy="1575435"/>
                <wp:effectExtent l="0" t="0" r="0" b="0"/>
                <wp:wrapSquare wrapText="bothSides"/>
                <wp:docPr id="2" name=""/>
                <a:graphic xmlns:a="http://schemas.openxmlformats.org/drawingml/2006/main">
                  <a:graphicData uri="http://schemas.microsoft.com/office/word/2010/wordprocessingShape">
                    <wps:wsp>
                      <wps:cNvSpPr txBox="1"/>
                      <wps:spPr>
                        <a:xfrm>
                          <a:off x="0" y="0"/>
                          <a:ext cx="685044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44.4pt;margin-top:43.05pt;width:539.35pt;height:123.95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114300" distR="114300" simplePos="0" locked="0" layoutInCell="1" allowOverlap="1" relativeHeight="21">
                <wp:simplePos x="0" y="0"/>
                <wp:positionH relativeFrom="column">
                  <wp:posOffset>-563880</wp:posOffset>
                </wp:positionH>
                <wp:positionV relativeFrom="paragraph">
                  <wp:posOffset>546735</wp:posOffset>
                </wp:positionV>
                <wp:extent cx="6850380" cy="1574800"/>
                <wp:effectExtent l="0" t="0" r="0" b="0"/>
                <wp:wrapNone/>
                <wp:docPr id="3" name="Frame1"/>
                <a:graphic xmlns:a="http://schemas.openxmlformats.org/drawingml/2006/main">
                  <a:graphicData uri="http://schemas.microsoft.com/office/word/2010/wordprocessingShape">
                    <wps:wsp>
                      <wps:cNvSpPr txBox="1"/>
                      <wps:spPr>
                        <a:xfrm>
                          <a:off x="0" y="0"/>
                          <a:ext cx="6850380" cy="1574800"/>
                        </a:xfrm>
                        <a:prstGeom prst="rect"/>
                        <a:solidFill>
                          <a:srgbClr val="FFFFFF"/>
                        </a:solidFill>
                      </wps:spPr>
                      <wps:txbx>
                        <w:txbxContent>
                          <w:p>
                            <w:pPr>
                              <w:pStyle w:val="FrameContents"/>
                              <w:jc w:val="right"/>
                              <w:rPr>
                                <w:rFonts w:ascii="Open Sans" w:hAnsi="Open Sans" w:cs="Open Sans"/>
                                <w:b/>
                                <w:b/>
                                <w:sz w:val="48"/>
                                <w:szCs w:val="48"/>
                              </w:rPr>
                            </w:pPr>
                            <w:r>
                              <w:rPr>
                                <w:rFonts w:cs="Open Sans" w:ascii="Open Sans" w:hAnsi="Open Sans"/>
                                <w:b/>
                                <w:sz w:val="48"/>
                                <w:szCs w:val="48"/>
                              </w:rPr>
                              <w:t>Job Description and Person Specification</w:t>
                            </w:r>
                          </w:p>
                          <w:p>
                            <w:pPr>
                              <w:pStyle w:val="FrameContents"/>
                              <w:rPr>
                                <w:rFonts w:ascii="Tahoma" w:hAnsi="Tahoma" w:eastAsia="Times New Roman" w:cs="Tahoma"/>
                                <w:color w:val="000000"/>
                                <w:sz w:val="24"/>
                                <w:szCs w:val="24"/>
                                <w:lang w:eastAsia="en-GB"/>
                              </w:rPr>
                            </w:pPr>
                            <w:r>
                              <w:rPr>
                                <w:rFonts w:eastAsia="Times New Roman" w:cs="Tahoma" w:ascii="Tahoma" w:hAnsi="Tahoma"/>
                                <w:color w:val="000000"/>
                                <w:sz w:val="24"/>
                                <w:szCs w:val="24"/>
                                <w:lang w:eastAsia="en-GB"/>
                              </w:rPr>
                            </w:r>
                          </w:p>
                          <w:p>
                            <w:pPr>
                              <w:pStyle w:val="FrameContents"/>
                              <w:jc w:val="right"/>
                              <w:rPr/>
                            </w:pPr>
                            <w:r>
                              <w:rPr>
                                <w:rFonts w:eastAsia="Tahoma" w:cs="Tahoma" w:ascii="Tahoma" w:hAnsi="Tahoma"/>
                                <w:color w:val="000000"/>
                                <w:sz w:val="24"/>
                                <w:szCs w:val="24"/>
                                <w:lang w:eastAsia="en-GB"/>
                              </w:rPr>
                              <w:t xml:space="preserve"> </w:t>
                            </w:r>
                            <w:r>
                              <w:rPr>
                                <w:rFonts w:eastAsia="Times New Roman" w:cs="Open Sans" w:ascii="Open Sans" w:hAnsi="Open Sans"/>
                                <w:color w:val="000000"/>
                                <w:sz w:val="48"/>
                                <w:szCs w:val="48"/>
                                <w:lang w:eastAsia="en-GB"/>
                              </w:rPr>
                              <w:t xml:space="preserve">Job Coach </w:t>
                            </w:r>
                          </w:p>
                        </w:txbxContent>
                      </wps:txbx>
                      <wps:bodyPr anchor="t" lIns="92075" tIns="46355" rIns="92075" bIns="46355">
                        <a:noAutofit/>
                      </wps:bodyPr>
                    </wps:wsp>
                  </a:graphicData>
                </a:graphic>
              </wp:anchor>
            </w:drawing>
          </mc:Choice>
          <mc:Fallback>
            <w:pict>
              <v:rect fillcolor="#FFFFFF" style="position:absolute;rotation:0;width:539.4pt;height:124pt;mso-wrap-distance-left:9pt;mso-wrap-distance-right:9pt;mso-wrap-distance-top:5.7pt;mso-wrap-distance-bottom:5.7pt;margin-top:43.05pt;mso-position-vertical-relative:text;margin-left:-44.4pt;mso-position-horizontal-relative:text">
                <v:textbox inset="0.100694444444444in,0.0506944444444444in,0.100694444444444in,0.0506944444444444in">
                  <w:txbxContent>
                    <w:p>
                      <w:pPr>
                        <w:pStyle w:val="FrameContents"/>
                        <w:jc w:val="right"/>
                        <w:rPr>
                          <w:rFonts w:ascii="Open Sans" w:hAnsi="Open Sans" w:cs="Open Sans"/>
                          <w:b/>
                          <w:b/>
                          <w:sz w:val="48"/>
                          <w:szCs w:val="48"/>
                        </w:rPr>
                      </w:pPr>
                      <w:r>
                        <w:rPr>
                          <w:rFonts w:cs="Open Sans" w:ascii="Open Sans" w:hAnsi="Open Sans"/>
                          <w:b/>
                          <w:sz w:val="48"/>
                          <w:szCs w:val="48"/>
                        </w:rPr>
                        <w:t>Job Description and Person Specification</w:t>
                      </w:r>
                    </w:p>
                    <w:p>
                      <w:pPr>
                        <w:pStyle w:val="FrameContents"/>
                        <w:rPr>
                          <w:rFonts w:ascii="Tahoma" w:hAnsi="Tahoma" w:eastAsia="Times New Roman" w:cs="Tahoma"/>
                          <w:color w:val="000000"/>
                          <w:sz w:val="24"/>
                          <w:szCs w:val="24"/>
                          <w:lang w:eastAsia="en-GB"/>
                        </w:rPr>
                      </w:pPr>
                      <w:r>
                        <w:rPr>
                          <w:rFonts w:eastAsia="Times New Roman" w:cs="Tahoma" w:ascii="Tahoma" w:hAnsi="Tahoma"/>
                          <w:color w:val="000000"/>
                          <w:sz w:val="24"/>
                          <w:szCs w:val="24"/>
                          <w:lang w:eastAsia="en-GB"/>
                        </w:rPr>
                      </w:r>
                    </w:p>
                    <w:p>
                      <w:pPr>
                        <w:pStyle w:val="FrameContents"/>
                        <w:jc w:val="right"/>
                        <w:rPr/>
                      </w:pPr>
                      <w:r>
                        <w:rPr>
                          <w:rFonts w:eastAsia="Tahoma" w:cs="Tahoma" w:ascii="Tahoma" w:hAnsi="Tahoma"/>
                          <w:color w:val="000000"/>
                          <w:sz w:val="24"/>
                          <w:szCs w:val="24"/>
                          <w:lang w:eastAsia="en-GB"/>
                        </w:rPr>
                        <w:t xml:space="preserve"> </w:t>
                      </w:r>
                      <w:r>
                        <w:rPr>
                          <w:rFonts w:eastAsia="Times New Roman" w:cs="Open Sans" w:ascii="Open Sans" w:hAnsi="Open Sans"/>
                          <w:color w:val="000000"/>
                          <w:sz w:val="48"/>
                          <w:szCs w:val="48"/>
                          <w:lang w:eastAsia="en-GB"/>
                        </w:rPr>
                        <w:t xml:space="preserve">Job Coach </w:t>
                      </w:r>
                    </w:p>
                  </w:txbxContent>
                </v:textbox>
              </v:rect>
            </w:pict>
          </mc:Fallback>
        </mc:AlternateContent>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tbl>
      <w:tblPr>
        <w:tblW w:w="9235" w:type="dxa"/>
        <w:jc w:val="center"/>
        <w:tblInd w:w="0" w:type="dxa"/>
        <w:tblCellMar>
          <w:top w:w="0" w:type="dxa"/>
          <w:left w:w="108" w:type="dxa"/>
          <w:bottom w:w="0" w:type="dxa"/>
          <w:right w:w="108" w:type="dxa"/>
        </w:tblCellMar>
      </w:tblPr>
      <w:tblGrid>
        <w:gridCol w:w="3350"/>
        <w:gridCol w:w="5885"/>
      </w:tblGrid>
      <w:tr>
        <w:trPr>
          <w:trHeight w:val="781" w:hRule="atLeast"/>
        </w:trPr>
        <w:tc>
          <w:tcPr>
            <w:tcW w:w="923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Heading1"/>
              <w:rPr>
                <w:rFonts w:cs="Arial"/>
                <w:i w:val="false"/>
                <w:i w:val="false"/>
                <w:color w:val="FFFFFF"/>
                <w:sz w:val="24"/>
                <w:szCs w:val="24"/>
              </w:rPr>
            </w:pPr>
            <w:r>
              <w:rPr>
                <w:rFonts w:cs="Arial"/>
                <w:i w:val="false"/>
                <w:color w:val="FFFFFF"/>
                <w:sz w:val="24"/>
                <w:szCs w:val="24"/>
              </w:rPr>
              <w:t>Job Description</w:t>
            </w:r>
          </w:p>
        </w:tc>
      </w:tr>
      <w:tr>
        <w:trPr>
          <w:trHeight w:val="659" w:hRule="atLeast"/>
        </w:trPr>
        <w:tc>
          <w:tcPr>
            <w:tcW w:w="3350" w:type="dxa"/>
            <w:tcBorders>
              <w:top w:val="single" w:sz="12" w:space="0" w:color="000000"/>
              <w:left w:val="single" w:sz="12" w:space="0" w:color="00000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Job Title:</w:t>
            </w:r>
          </w:p>
        </w:tc>
        <w:tc>
          <w:tcPr>
            <w:tcW w:w="5885" w:type="dxa"/>
            <w:tcBorders>
              <w:top w:val="single" w:sz="12" w:space="0" w:color="000000"/>
              <w:left w:val="single" w:sz="4" w:space="0" w:color="808080"/>
              <w:bottom w:val="single" w:sz="4" w:space="0" w:color="808080"/>
              <w:right w:val="single" w:sz="12" w:space="0" w:color="000000"/>
            </w:tcBorders>
            <w:shd w:fill="auto" w:val="clear"/>
            <w:vAlign w:val="center"/>
          </w:tcPr>
          <w:p>
            <w:pPr>
              <w:pStyle w:val="Normal"/>
              <w:overflowPunct w:val="true"/>
              <w:rPr/>
            </w:pPr>
            <w:r>
              <w:rPr>
                <w:rFonts w:eastAsia="Arial" w:cs="Arial"/>
                <w:color w:val="000000"/>
              </w:rPr>
              <w:t xml:space="preserve"> </w:t>
            </w:r>
            <w:r>
              <w:rPr>
                <w:rFonts w:cs="Arial"/>
                <w:color w:val="000000"/>
              </w:rPr>
              <w:t>Job Coach</w:t>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Pay Grade / Scale / Range:</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snapToGrid w:val="false"/>
              <w:rPr/>
            </w:pPr>
            <w:r>
              <w:rPr/>
            </w:r>
          </w:p>
          <w:p>
            <w:pPr>
              <w:pStyle w:val="TextBody"/>
              <w:ind w:left="0" w:right="1729" w:hanging="0"/>
              <w:rPr>
                <w:rFonts w:cs="Arial"/>
                <w:b w:val="false"/>
                <w:b w:val="false"/>
                <w:bCs w:val="false"/>
              </w:rPr>
            </w:pPr>
            <w:r>
              <w:rPr>
                <w:rFonts w:cs="Arial"/>
                <w:b w:val="false"/>
                <w:bCs w:val="false"/>
              </w:rPr>
              <w:t>NJC Scale 5 - SCP 12-17</w:t>
            </w:r>
          </w:p>
          <w:p>
            <w:pPr>
              <w:pStyle w:val="TextBody"/>
              <w:ind w:left="0" w:right="1729" w:hanging="0"/>
              <w:rPr>
                <w:rFonts w:cs="Arial"/>
                <w:b w:val="false"/>
                <w:b w:val="false"/>
                <w:bCs w:val="false"/>
              </w:rPr>
            </w:pPr>
            <w:r>
              <w:rPr>
                <w:rFonts w:cs="Arial"/>
                <w:b w:val="false"/>
                <w:bCs w:val="false"/>
              </w:rPr>
              <w:t>To be confirmed based on experience</w:t>
            </w:r>
          </w:p>
          <w:p>
            <w:pPr>
              <w:pStyle w:val="Normal"/>
              <w:rPr/>
            </w:pPr>
            <w:r>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Benefits &amp; Perks: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jc w:val="left"/>
              <w:rPr>
                <w:rFonts w:cs="Arial"/>
                <w:b w:val="false"/>
                <w:b w:val="false"/>
                <w:i w:val="false"/>
                <w:i w:val="false"/>
                <w:color w:val="000000"/>
              </w:rPr>
            </w:pPr>
            <w:r>
              <w:rPr>
                <w:rFonts w:cs="Arial"/>
                <w:b w:val="false"/>
                <w:i w:val="false"/>
                <w:color w:val="000000"/>
              </w:rPr>
              <w:t>Term time, TOIL, Occupational Pension Scheme</w:t>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Working hours: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snapToGrid w:val="false"/>
              <w:jc w:val="left"/>
              <w:rPr>
                <w:rFonts w:cs="Arial"/>
                <w:b w:val="false"/>
                <w:b w:val="false"/>
                <w:i w:val="false"/>
                <w:i w:val="false"/>
                <w:color w:val="000000"/>
              </w:rPr>
            </w:pPr>
            <w:r>
              <w:rPr>
                <w:rFonts w:cs="Arial"/>
                <w:b w:val="false"/>
                <w:i w:val="false"/>
                <w:color w:val="000000"/>
              </w:rPr>
            </w:r>
          </w:p>
          <w:p>
            <w:pPr>
              <w:pStyle w:val="Heading1"/>
              <w:jc w:val="left"/>
              <w:rPr>
                <w:rFonts w:cs="Arial"/>
                <w:i w:val="false"/>
                <w:i w:val="false"/>
                <w:color w:val="000000"/>
              </w:rPr>
            </w:pPr>
            <w:r>
              <w:rPr>
                <w:rFonts w:cs="Arial"/>
                <w:i w:val="false"/>
                <w:color w:val="000000"/>
              </w:rPr>
              <w:t>36 hours 40 minutes - Term Time only (195 days)</w:t>
            </w:r>
          </w:p>
          <w:p>
            <w:pPr>
              <w:pStyle w:val="Normal"/>
              <w:rPr/>
            </w:pPr>
            <w:r>
              <w:rPr/>
            </w:r>
          </w:p>
          <w:p>
            <w:pPr>
              <w:pStyle w:val="Normal"/>
              <w:rPr>
                <w:rFonts w:cs="Arial"/>
              </w:rPr>
            </w:pPr>
            <w:r>
              <w:rPr>
                <w:rFonts w:cs="Arial"/>
              </w:rPr>
              <w:t>You must be available to work other non-contracted hours as designated by senior leaders.  This will be paid or accrue TOIL.</w:t>
            </w:r>
          </w:p>
          <w:p>
            <w:pPr>
              <w:pStyle w:val="Normal"/>
              <w:rPr/>
            </w:pPr>
            <w:r>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Location:</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jc w:val="left"/>
              <w:rPr>
                <w:rFonts w:cs="Arial"/>
                <w:b w:val="false"/>
                <w:b w:val="false"/>
                <w:i w:val="false"/>
                <w:i w:val="false"/>
                <w:color w:val="000000"/>
              </w:rPr>
            </w:pPr>
            <w:r>
              <w:rPr>
                <w:rFonts w:cs="Arial"/>
                <w:b w:val="false"/>
                <w:i w:val="false"/>
                <w:color w:val="000000"/>
              </w:rPr>
              <w:t>Initially based at New Bridge College.  You may be required to work at any site of the New Bridge MAT</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Special circumstances: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 xml:space="preserve">Some out-of-hours working required at busy times.  </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Staff responsible to:</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Assistant Head of College/Senior Job Coach</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Staff responsible for:</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None</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Accountable to:</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Head of New Bridge College</w:t>
            </w:r>
          </w:p>
        </w:tc>
      </w:tr>
      <w:tr>
        <w:trPr>
          <w:trHeight w:val="706" w:hRule="atLeast"/>
        </w:trPr>
        <w:tc>
          <w:tcPr>
            <w:tcW w:w="3350" w:type="dxa"/>
            <w:tcBorders>
              <w:top w:val="single" w:sz="4" w:space="0" w:color="808080"/>
              <w:left w:val="single" w:sz="12" w:space="0" w:color="000000"/>
              <w:bottom w:val="single" w:sz="12" w:space="0" w:color="000000"/>
            </w:tcBorders>
            <w:shd w:fill="EAEAEA" w:val="clear"/>
            <w:vAlign w:val="center"/>
          </w:tcPr>
          <w:p>
            <w:pPr>
              <w:pStyle w:val="Normal"/>
              <w:rPr>
                <w:rFonts w:cs="Arial"/>
                <w:color w:val="000000"/>
                <w:sz w:val="24"/>
                <w:szCs w:val="24"/>
              </w:rPr>
            </w:pPr>
            <w:r>
              <w:rPr>
                <w:rFonts w:cs="Arial"/>
                <w:color w:val="000000"/>
                <w:sz w:val="24"/>
                <w:szCs w:val="24"/>
              </w:rPr>
              <w:t>Probationary period:</w:t>
            </w:r>
          </w:p>
        </w:tc>
        <w:tc>
          <w:tcPr>
            <w:tcW w:w="5885" w:type="dxa"/>
            <w:tcBorders>
              <w:top w:val="single" w:sz="4" w:space="0" w:color="808080"/>
              <w:left w:val="single" w:sz="4" w:space="0" w:color="808080"/>
              <w:bottom w:val="single" w:sz="12" w:space="0" w:color="000000"/>
              <w:right w:val="single" w:sz="12" w:space="0" w:color="000000"/>
            </w:tcBorders>
            <w:shd w:fill="auto" w:val="clear"/>
            <w:vAlign w:val="center"/>
          </w:tcPr>
          <w:p>
            <w:pPr>
              <w:pStyle w:val="Normal"/>
              <w:rPr>
                <w:rFonts w:cs="Arial"/>
                <w:color w:val="000000"/>
              </w:rPr>
            </w:pPr>
            <w:r>
              <w:rPr>
                <w:rFonts w:cs="Arial"/>
                <w:color w:val="000000"/>
              </w:rPr>
              <w:t>26 weeks for new staff to the organisation</w:t>
            </w:r>
          </w:p>
        </w:tc>
      </w:tr>
    </w:tbl>
    <w:p>
      <w:pPr>
        <w:pStyle w:val="Default"/>
        <w:jc w:val="center"/>
        <w:rPr>
          <w:b/>
          <w:b/>
          <w:bCs/>
          <w:color w:val="auto"/>
          <w:sz w:val="40"/>
          <w:szCs w:val="40"/>
        </w:rPr>
      </w:pPr>
      <w:r>
        <w:rPr>
          <w:b/>
          <w:bCs/>
          <w:color w:val="auto"/>
          <w:sz w:val="40"/>
          <w:szCs w:val="40"/>
        </w:rPr>
      </w:r>
    </w:p>
    <w:p>
      <w:pPr>
        <w:pStyle w:val="Normal"/>
        <w:rPr>
          <w:rFonts w:eastAsia="Times New Roman" w:cs="Arial"/>
          <w:b/>
          <w:b/>
          <w:bCs/>
          <w:color w:val="auto"/>
          <w:sz w:val="40"/>
          <w:szCs w:val="40"/>
          <w:lang w:eastAsia="en-GB"/>
        </w:rPr>
      </w:pPr>
      <w:r>
        <w:rPr>
          <w:rFonts w:eastAsia="Times New Roman" w:cs="Arial"/>
          <w:b/>
          <w:bCs/>
          <w:color w:val="auto"/>
          <w:sz w:val="40"/>
          <w:szCs w:val="40"/>
          <w:lang w:eastAsia="en-GB"/>
        </w:rPr>
      </w:r>
      <w:r>
        <w:br w:type="page"/>
      </w:r>
    </w:p>
    <w:p>
      <w:pPr>
        <w:pStyle w:val="Default"/>
        <w:jc w:val="center"/>
        <w:rPr>
          <w:rFonts w:ascii="Open Sans" w:hAnsi="Open Sans" w:cs="Open Sans"/>
          <w:b/>
          <w:b/>
          <w:sz w:val="48"/>
          <w:szCs w:val="48"/>
        </w:rPr>
      </w:pPr>
      <w:r>
        <w:rPr>
          <w:rFonts w:cs="Open Sans" w:ascii="Open Sans" w:hAnsi="Open Sans"/>
          <w:b/>
          <w:sz w:val="48"/>
          <w:szCs w:val="48"/>
        </w:rPr>
        <w:t>Job Coach</w:t>
      </w:r>
    </w:p>
    <w:p>
      <w:pPr>
        <w:pStyle w:val="Default"/>
        <w:rPr>
          <w:b/>
          <w:b/>
          <w:bCs/>
          <w:color w:val="auto"/>
          <w:sz w:val="22"/>
          <w:szCs w:val="22"/>
        </w:rPr>
      </w:pPr>
      <w:r>
        <w:rPr>
          <w:b/>
          <w:bCs/>
          <w:color w:val="auto"/>
          <w:sz w:val="22"/>
          <w:szCs w:val="22"/>
        </w:rPr>
      </w:r>
    </w:p>
    <w:tbl>
      <w:tblPr>
        <w:tblW w:w="10041" w:type="dxa"/>
        <w:jc w:val="left"/>
        <w:tblInd w:w="0" w:type="dxa"/>
        <w:tblCellMar>
          <w:top w:w="0" w:type="dxa"/>
          <w:left w:w="108" w:type="dxa"/>
          <w:bottom w:w="0" w:type="dxa"/>
          <w:right w:w="108" w:type="dxa"/>
        </w:tblCellMar>
      </w:tblPr>
      <w:tblGrid>
        <w:gridCol w:w="10041"/>
      </w:tblGrid>
      <w:tr>
        <w:trPr/>
        <w:tc>
          <w:tcPr>
            <w:tcW w:w="10041"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rPr>
            </w:pPr>
            <w:r>
              <w:rPr>
                <w:rFonts w:cs="Arial"/>
                <w:b/>
              </w:rPr>
              <w:t>Purpose of the post</w:t>
            </w:r>
          </w:p>
          <w:p>
            <w:pPr>
              <w:pStyle w:val="Normal"/>
              <w:rPr>
                <w:rFonts w:cs="Arial"/>
                <w:b/>
                <w:b/>
              </w:rPr>
            </w:pPr>
            <w:r>
              <w:rPr>
                <w:rFonts w:cs="Arial"/>
                <w:b/>
              </w:rPr>
            </w:r>
          </w:p>
          <w:p>
            <w:pPr>
              <w:pStyle w:val="Normal"/>
              <w:jc w:val="both"/>
              <w:rPr/>
            </w:pPr>
            <w:r>
              <w:rPr>
                <w:rFonts w:cs="Arial"/>
              </w:rPr>
              <w:t xml:space="preserve">To support young people on </w:t>
            </w:r>
            <w:r>
              <w:rPr>
                <w:rFonts w:cs="Calibri"/>
              </w:rPr>
              <w:t xml:space="preserve">employment </w:t>
            </w:r>
            <w:r>
              <w:rPr>
                <w:rFonts w:cs="Arial"/>
              </w:rPr>
              <w:t xml:space="preserve">placements. To liaise with external parties to ensure the smooth running of placements and work to generate new opportunities with employers throughout the Greater Manchester area. To </w:t>
            </w:r>
            <w:r>
              <w:rPr>
                <w:rFonts w:cs="Calibri"/>
              </w:rPr>
              <w:t>supervise and support students to undertake agreed learning activities linked to the employability curriculum and personal learning strategies.</w:t>
            </w:r>
          </w:p>
          <w:p>
            <w:pPr>
              <w:pStyle w:val="Normal"/>
              <w:rPr>
                <w:rFonts w:cs="Arial"/>
                <w:b/>
                <w:b/>
                <w:bCs/>
                <w:sz w:val="28"/>
              </w:rPr>
            </w:pPr>
            <w:r>
              <w:rPr>
                <w:rFonts w:cs="Arial"/>
                <w:b/>
                <w:bCs/>
                <w:sz w:val="28"/>
              </w:rPr>
            </w:r>
          </w:p>
        </w:tc>
      </w:tr>
    </w:tbl>
    <w:p>
      <w:pPr>
        <w:pStyle w:val="Default"/>
        <w:rPr>
          <w:b/>
          <w:b/>
          <w:bCs/>
          <w:color w:val="auto"/>
          <w:sz w:val="40"/>
          <w:szCs w:val="40"/>
        </w:rPr>
      </w:pPr>
      <w:r>
        <w:rPr>
          <w:b/>
          <w:bCs/>
          <w:color w:val="auto"/>
          <w:sz w:val="40"/>
          <w:szCs w:val="40"/>
        </w:rPr>
      </w:r>
    </w:p>
    <w:tbl>
      <w:tblPr>
        <w:tblW w:w="10041" w:type="dxa"/>
        <w:jc w:val="left"/>
        <w:tblInd w:w="0" w:type="dxa"/>
        <w:tblCellMar>
          <w:top w:w="0" w:type="dxa"/>
          <w:left w:w="108" w:type="dxa"/>
          <w:bottom w:w="0" w:type="dxa"/>
          <w:right w:w="108" w:type="dxa"/>
        </w:tblCellMar>
      </w:tblPr>
      <w:tblGrid>
        <w:gridCol w:w="10041"/>
      </w:tblGrid>
      <w:tr>
        <w:trPr>
          <w:trHeight w:val="9531" w:hRule="atLeast"/>
        </w:trPr>
        <w:tc>
          <w:tcPr>
            <w:tcW w:w="1004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rFonts w:cs="Calibri"/>
                <w:b/>
                <w:b/>
                <w:bCs/>
                <w:sz w:val="24"/>
                <w:szCs w:val="24"/>
              </w:rPr>
            </w:pPr>
            <w:r>
              <w:rPr>
                <w:rFonts w:cs="Calibri"/>
                <w:b/>
                <w:bCs/>
                <w:sz w:val="24"/>
                <w:szCs w:val="24"/>
              </w:rPr>
              <w:t>Key Tasks- Support for Pupils</w:t>
            </w:r>
          </w:p>
          <w:p>
            <w:pPr>
              <w:pStyle w:val="Normal"/>
              <w:widowControl w:val="false"/>
              <w:spacing w:lineRule="exact" w:line="346"/>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2"/>
              </w:numPr>
              <w:overflowPunct w:val="true"/>
              <w:spacing w:lineRule="auto" w:line="216"/>
              <w:ind w:left="720" w:right="120" w:hanging="360"/>
              <w:jc w:val="both"/>
              <w:rPr>
                <w:rFonts w:cs="Calibri"/>
              </w:rPr>
            </w:pPr>
            <w:r>
              <w:rPr>
                <w:rFonts w:cs="Calibri"/>
              </w:rPr>
              <w:t>Establish rapport and respectful, trusting relationships with pupils, acting as a role model and setting high expectations</w:t>
            </w:r>
          </w:p>
          <w:p>
            <w:pPr>
              <w:pStyle w:val="Normal"/>
              <w:widowControl w:val="false"/>
              <w:spacing w:lineRule="exact" w:line="348"/>
              <w:rPr>
                <w:rFonts w:cs="Calibri"/>
              </w:rPr>
            </w:pPr>
            <w:r>
              <w:rPr>
                <w:rFonts w:cs="Calibri"/>
              </w:rPr>
            </w:r>
          </w:p>
          <w:p>
            <w:pPr>
              <w:pStyle w:val="Normal"/>
              <w:widowControl w:val="false"/>
              <w:numPr>
                <w:ilvl w:val="0"/>
                <w:numId w:val="2"/>
              </w:numPr>
              <w:overflowPunct w:val="true"/>
              <w:spacing w:lineRule="auto" w:line="220"/>
              <w:jc w:val="both"/>
              <w:rPr>
                <w:rFonts w:cs="Calibri"/>
              </w:rPr>
            </w:pPr>
            <w:r>
              <w:rPr>
                <w:rFonts w:cs="Calibri"/>
              </w:rPr>
              <w:t>Supervise and support pupils to undertake agreed learning activities / internship placements linked to employability curriculum and personal learning strategies across the key stages relevant to your setting</w:t>
            </w:r>
          </w:p>
          <w:p>
            <w:pPr>
              <w:pStyle w:val="Normal"/>
              <w:widowControl w:val="false"/>
              <w:spacing w:lineRule="exact" w:line="347"/>
              <w:rPr>
                <w:rFonts w:cs="Calibri"/>
              </w:rPr>
            </w:pPr>
            <w:r>
              <w:rPr>
                <w:rFonts w:cs="Calibri"/>
              </w:rPr>
            </w:r>
          </w:p>
          <w:p>
            <w:pPr>
              <w:pStyle w:val="Normal"/>
              <w:widowControl w:val="false"/>
              <w:numPr>
                <w:ilvl w:val="0"/>
                <w:numId w:val="2"/>
              </w:numPr>
              <w:overflowPunct w:val="true"/>
              <w:spacing w:lineRule="auto" w:line="216"/>
              <w:ind w:left="720" w:right="20" w:hanging="360"/>
              <w:jc w:val="both"/>
              <w:rPr>
                <w:rFonts w:cs="Calibri"/>
              </w:rPr>
            </w:pPr>
            <w:r>
              <w:rPr>
                <w:rFonts w:cs="Calibri"/>
              </w:rPr>
              <w:t xml:space="preserve">Adjusting activities according to pupil responses and needs, particularly to take account of their Statements of Need and how their needs may vary on different days </w:t>
            </w:r>
          </w:p>
          <w:p>
            <w:pPr>
              <w:pStyle w:val="Normal"/>
              <w:widowControl w:val="false"/>
              <w:spacing w:lineRule="exact" w:line="346"/>
              <w:rPr>
                <w:rFonts w:cs="Calibri"/>
              </w:rPr>
            </w:pPr>
            <w:r>
              <w:rPr>
                <w:rFonts w:cs="Calibri"/>
              </w:rPr>
            </w:r>
          </w:p>
          <w:p>
            <w:pPr>
              <w:pStyle w:val="Normal"/>
              <w:widowControl w:val="false"/>
              <w:numPr>
                <w:ilvl w:val="0"/>
                <w:numId w:val="2"/>
              </w:numPr>
              <w:overflowPunct w:val="true"/>
              <w:spacing w:lineRule="auto" w:line="220"/>
              <w:ind w:left="720" w:right="120" w:hanging="360"/>
              <w:jc w:val="both"/>
              <w:rPr>
                <w:rFonts w:cs="Calibri"/>
              </w:rPr>
            </w:pPr>
            <w:r>
              <w:rPr>
                <w:rFonts w:cs="Calibri"/>
              </w:rPr>
              <w:t>To ensure safety, welfare and personal care are attended to with dignity, empathy and respect. The pupils may also need assistance to access different areas of the host site. Following appropriate training, administer first aid to pupils in line with New Bridge Group procedures</w:t>
            </w:r>
          </w:p>
          <w:p>
            <w:pPr>
              <w:pStyle w:val="Normal"/>
              <w:widowControl w:val="false"/>
              <w:spacing w:lineRule="exact" w:line="347"/>
              <w:rPr>
                <w:rFonts w:cs="Calibri"/>
              </w:rPr>
            </w:pPr>
            <w:r>
              <w:rPr>
                <w:rFonts w:cs="Calibri"/>
              </w:rPr>
            </w:r>
          </w:p>
          <w:p>
            <w:pPr>
              <w:pStyle w:val="Normal"/>
              <w:widowControl w:val="false"/>
              <w:numPr>
                <w:ilvl w:val="0"/>
                <w:numId w:val="2"/>
              </w:numPr>
              <w:overflowPunct w:val="true"/>
              <w:spacing w:lineRule="auto" w:line="216"/>
              <w:ind w:left="720" w:right="120" w:hanging="360"/>
              <w:jc w:val="both"/>
              <w:rPr>
                <w:rFonts w:cs="Calibri"/>
              </w:rPr>
            </w:pPr>
            <w:r>
              <w:rPr>
                <w:rFonts w:cs="Calibri"/>
              </w:rPr>
              <w:t>To support the pupils with eating and drinking where necessary, following feeding and swallowing training appropriate to the pupil who is being supported</w:t>
            </w:r>
          </w:p>
          <w:p>
            <w:pPr>
              <w:pStyle w:val="Normal"/>
              <w:widowControl w:val="false"/>
              <w:spacing w:lineRule="exact" w:line="348"/>
              <w:rPr>
                <w:rFonts w:cs="Calibri"/>
              </w:rPr>
            </w:pPr>
            <w:r>
              <w:rPr>
                <w:rFonts w:cs="Calibri"/>
              </w:rPr>
            </w:r>
          </w:p>
          <w:p>
            <w:pPr>
              <w:pStyle w:val="Normal"/>
              <w:widowControl w:val="false"/>
              <w:numPr>
                <w:ilvl w:val="0"/>
                <w:numId w:val="2"/>
              </w:numPr>
              <w:overflowPunct w:val="true"/>
              <w:spacing w:lineRule="auto" w:line="216"/>
              <w:ind w:left="720" w:right="120" w:hanging="360"/>
              <w:jc w:val="both"/>
              <w:rPr>
                <w:rFonts w:cs="Calibri"/>
              </w:rPr>
            </w:pPr>
            <w:r>
              <w:rPr>
                <w:rFonts w:cs="Calibri"/>
              </w:rPr>
              <w:t>Promote inclusion and acceptance of all pupils by encouraging them to interact with each other and to engage in activities led by the job coach or teacher</w:t>
            </w:r>
          </w:p>
          <w:p>
            <w:pPr>
              <w:pStyle w:val="Normal"/>
              <w:widowControl w:val="false"/>
              <w:spacing w:lineRule="exact" w:line="293"/>
              <w:rPr>
                <w:rFonts w:cs="Calibri"/>
              </w:rPr>
            </w:pPr>
            <w:r>
              <w:rPr>
                <w:rFonts w:cs="Calibri"/>
              </w:rPr>
            </w:r>
          </w:p>
          <w:p>
            <w:pPr>
              <w:pStyle w:val="Normal"/>
              <w:widowControl w:val="false"/>
              <w:numPr>
                <w:ilvl w:val="0"/>
                <w:numId w:val="2"/>
              </w:numPr>
              <w:overflowPunct w:val="true"/>
              <w:jc w:val="both"/>
              <w:rPr>
                <w:rFonts w:cs="Calibri"/>
              </w:rPr>
            </w:pPr>
            <w:r>
              <w:rPr>
                <w:rFonts w:cs="Calibri"/>
              </w:rPr>
              <w:t>Promote self-esteem and independence amongst pupils</w:t>
            </w:r>
          </w:p>
          <w:p>
            <w:pPr>
              <w:pStyle w:val="Normal"/>
              <w:widowControl w:val="false"/>
              <w:spacing w:lineRule="exact" w:line="345"/>
              <w:rPr>
                <w:rFonts w:cs="Calibri"/>
              </w:rPr>
            </w:pPr>
            <w:r>
              <w:rPr>
                <w:rFonts w:cs="Calibri"/>
              </w:rPr>
            </w:r>
          </w:p>
          <w:p>
            <w:pPr>
              <w:pStyle w:val="Normal"/>
              <w:widowControl w:val="false"/>
              <w:numPr>
                <w:ilvl w:val="0"/>
                <w:numId w:val="2"/>
              </w:numPr>
              <w:overflowPunct w:val="true"/>
              <w:spacing w:lineRule="auto" w:line="228"/>
              <w:ind w:left="720" w:right="240" w:hanging="360"/>
              <w:rPr>
                <w:rFonts w:cs="Calibri"/>
              </w:rPr>
            </w:pPr>
            <w:r>
              <w:rPr>
                <w:rFonts w:cs="Calibri"/>
              </w:rPr>
              <w:t xml:space="preserve">To assess, supervise, assist and support pupils, typically those with Statements of Special Educational Needs and/or Statements of Social, Emotional and Behavioural Difficulties, to access learning activities and job placements, through in-depth knowledge of the curriculum and knowledge of how pupils learn </w:t>
            </w:r>
          </w:p>
          <w:p>
            <w:pPr>
              <w:pStyle w:val="ListParagraph"/>
              <w:rPr>
                <w:rFonts w:cs="Calibri"/>
              </w:rPr>
            </w:pPr>
            <w:r>
              <w:rPr>
                <w:rFonts w:cs="Calibri"/>
              </w:rPr>
            </w:r>
          </w:p>
          <w:p>
            <w:pPr>
              <w:pStyle w:val="Normal"/>
              <w:widowControl w:val="false"/>
              <w:numPr>
                <w:ilvl w:val="0"/>
                <w:numId w:val="2"/>
              </w:numPr>
              <w:overflowPunct w:val="true"/>
              <w:spacing w:lineRule="auto" w:line="228"/>
              <w:ind w:left="720" w:right="240" w:hanging="360"/>
              <w:rPr>
                <w:rFonts w:cs="Calibri"/>
              </w:rPr>
            </w:pPr>
            <w:r>
              <w:rPr>
                <w:rFonts w:cs="Calibri"/>
              </w:rPr>
              <w:t>The role may include supporting and implementing pupil’s personal programmes, relating to social, health, physical, hygiene and welfare matters, and appropriate communication methods</w:t>
            </w:r>
          </w:p>
        </w:tc>
      </w:tr>
    </w:tbl>
    <w:p>
      <w:pPr>
        <w:pStyle w:val="Default"/>
        <w:rPr>
          <w:b/>
          <w:b/>
          <w:bCs/>
          <w:color w:val="auto"/>
          <w:sz w:val="40"/>
          <w:szCs w:val="40"/>
        </w:rPr>
      </w:pPr>
      <w:r>
        <w:rPr>
          <w:b/>
          <w:bCs/>
          <w:color w:val="auto"/>
          <w:sz w:val="40"/>
          <w:szCs w:val="40"/>
        </w:rPr>
      </w:r>
    </w:p>
    <w:tbl>
      <w:tblPr>
        <w:tblW w:w="10041" w:type="dxa"/>
        <w:jc w:val="left"/>
        <w:tblInd w:w="0" w:type="dxa"/>
        <w:tblCellMar>
          <w:top w:w="0" w:type="dxa"/>
          <w:left w:w="108" w:type="dxa"/>
          <w:bottom w:w="0" w:type="dxa"/>
          <w:right w:w="108" w:type="dxa"/>
        </w:tblCellMar>
      </w:tblPr>
      <w:tblGrid>
        <w:gridCol w:w="10041"/>
      </w:tblGrid>
      <w:tr>
        <w:trPr>
          <w:trHeight w:val="14024" w:hRule="atLeast"/>
          <w:cantSplit w:val="true"/>
        </w:trPr>
        <w:tc>
          <w:tcPr>
            <w:tcW w:w="10041" w:type="dxa"/>
            <w:tcBorders>
              <w:top w:val="single" w:sz="4" w:space="0" w:color="000000"/>
              <w:left w:val="single" w:sz="4" w:space="0" w:color="000000"/>
              <w:right w:val="single" w:sz="4" w:space="0" w:color="000000"/>
            </w:tcBorders>
            <w:shd w:fill="auto" w:val="clear"/>
          </w:tcPr>
          <w:p>
            <w:pPr>
              <w:pStyle w:val="Normal"/>
              <w:widowControl w:val="false"/>
              <w:snapToGrid w:val="false"/>
              <w:spacing w:lineRule="exact" w:line="346"/>
              <w:rPr>
                <w:rFonts w:cs="Calibri"/>
              </w:rPr>
            </w:pPr>
            <w:r>
              <w:rPr>
                <w:rFonts w:cs="Calibri"/>
              </w:rPr>
            </w:r>
          </w:p>
          <w:p>
            <w:pPr>
              <w:pStyle w:val="Normal"/>
              <w:widowControl w:val="false"/>
              <w:numPr>
                <w:ilvl w:val="0"/>
                <w:numId w:val="2"/>
              </w:numPr>
              <w:overflowPunct w:val="true"/>
              <w:spacing w:lineRule="auto" w:line="216"/>
              <w:ind w:left="720" w:right="280" w:hanging="360"/>
              <w:jc w:val="both"/>
              <w:rPr>
                <w:rFonts w:cs="Calibri"/>
              </w:rPr>
            </w:pPr>
            <w:r>
              <w:rPr>
                <w:rFonts w:cs="Calibri"/>
              </w:rPr>
              <w:t xml:space="preserve">Make effective use of ICT in learning activities and develop pupils’ competence and independence in its use </w:t>
            </w:r>
          </w:p>
          <w:p>
            <w:pPr>
              <w:pStyle w:val="Normal"/>
              <w:widowControl w:val="false"/>
              <w:spacing w:lineRule="exact" w:line="348"/>
              <w:rPr>
                <w:rFonts w:cs="Calibri"/>
              </w:rPr>
            </w:pPr>
            <w:r>
              <w:rPr>
                <w:rFonts w:cs="Calibri"/>
              </w:rPr>
            </w:r>
          </w:p>
          <w:p>
            <w:pPr>
              <w:pStyle w:val="Normal"/>
              <w:widowControl w:val="false"/>
              <w:numPr>
                <w:ilvl w:val="0"/>
                <w:numId w:val="2"/>
              </w:numPr>
              <w:overflowPunct w:val="true"/>
              <w:spacing w:lineRule="auto" w:line="216"/>
              <w:ind w:left="720" w:right="520" w:hanging="360"/>
              <w:jc w:val="both"/>
              <w:rPr>
                <w:rFonts w:cs="Calibri"/>
              </w:rPr>
            </w:pPr>
            <w:r>
              <w:rPr>
                <w:rFonts w:cs="Calibri"/>
              </w:rPr>
              <w:t xml:space="preserve">Provide specific feedback in discussion with pupils on their progress and achievement, in line with New Bridge Group policy </w:t>
            </w:r>
          </w:p>
          <w:p>
            <w:pPr>
              <w:pStyle w:val="Normal"/>
              <w:widowControl w:val="false"/>
              <w:spacing w:lineRule="exact" w:line="346"/>
              <w:rPr>
                <w:rFonts w:cs="Calibri"/>
              </w:rPr>
            </w:pPr>
            <w:r>
              <w:rPr>
                <w:rFonts w:cs="Calibri"/>
              </w:rPr>
            </w:r>
          </w:p>
          <w:p>
            <w:pPr>
              <w:pStyle w:val="Normal"/>
              <w:widowControl w:val="false"/>
              <w:numPr>
                <w:ilvl w:val="0"/>
                <w:numId w:val="2"/>
              </w:numPr>
              <w:overflowPunct w:val="true"/>
              <w:spacing w:lineRule="auto" w:line="216"/>
              <w:ind w:left="720" w:right="960" w:hanging="360"/>
              <w:jc w:val="both"/>
              <w:rPr>
                <w:rFonts w:cs="Calibri"/>
              </w:rPr>
            </w:pPr>
            <w:r>
              <w:rPr>
                <w:rFonts w:cs="Calibri"/>
              </w:rPr>
              <w:t>Liaise with project lead and department heads within the host site to ensure a wide variety of placements are available</w:t>
            </w:r>
          </w:p>
          <w:p>
            <w:pPr>
              <w:pStyle w:val="Normal"/>
              <w:widowControl w:val="false"/>
              <w:spacing w:lineRule="exact" w:line="293"/>
              <w:rPr>
                <w:rFonts w:cs="Calibri"/>
              </w:rPr>
            </w:pPr>
            <w:r>
              <w:rPr>
                <w:rFonts w:cs="Calibri"/>
              </w:rPr>
            </w:r>
          </w:p>
          <w:p>
            <w:pPr>
              <w:pStyle w:val="Normal"/>
              <w:widowControl w:val="false"/>
              <w:numPr>
                <w:ilvl w:val="0"/>
                <w:numId w:val="2"/>
              </w:numPr>
              <w:overflowPunct w:val="true"/>
              <w:jc w:val="both"/>
              <w:rPr>
                <w:rFonts w:cs="Calibri"/>
              </w:rPr>
            </w:pPr>
            <w:r>
              <w:rPr>
                <w:rFonts w:cs="Calibri"/>
              </w:rPr>
              <w:t>Perform specific job analysis, task analysis, and job matching support to students and host employers</w:t>
            </w:r>
          </w:p>
          <w:p>
            <w:pPr>
              <w:pStyle w:val="Normal"/>
              <w:widowControl w:val="false"/>
              <w:spacing w:lineRule="exact" w:line="292"/>
              <w:rPr>
                <w:rFonts w:cs="Calibri"/>
              </w:rPr>
            </w:pPr>
            <w:r>
              <w:rPr>
                <w:rFonts w:cs="Calibri"/>
              </w:rPr>
            </w:r>
          </w:p>
          <w:p>
            <w:pPr>
              <w:pStyle w:val="Normal"/>
              <w:widowControl w:val="false"/>
              <w:numPr>
                <w:ilvl w:val="0"/>
                <w:numId w:val="2"/>
              </w:numPr>
              <w:overflowPunct w:val="true"/>
              <w:jc w:val="both"/>
              <w:rPr>
                <w:rFonts w:cs="Calibri"/>
              </w:rPr>
            </w:pPr>
            <w:r>
              <w:rPr>
                <w:rFonts w:cs="Calibri"/>
              </w:rPr>
              <w:t xml:space="preserve">To assist with the coordination of the rotation of placements for students at the host site </w:t>
            </w:r>
          </w:p>
          <w:p>
            <w:pPr>
              <w:pStyle w:val="Normal"/>
              <w:widowControl w:val="false"/>
              <w:spacing w:lineRule="exact" w:line="345"/>
              <w:rPr>
                <w:rFonts w:cs="Calibri"/>
              </w:rPr>
            </w:pPr>
            <w:r>
              <w:rPr>
                <w:rFonts w:cs="Calibri"/>
              </w:rPr>
            </w:r>
          </w:p>
          <w:p>
            <w:pPr>
              <w:pStyle w:val="Normal"/>
              <w:widowControl w:val="false"/>
              <w:numPr>
                <w:ilvl w:val="0"/>
                <w:numId w:val="2"/>
              </w:numPr>
              <w:overflowPunct w:val="true"/>
              <w:spacing w:lineRule="auto" w:line="216"/>
              <w:ind w:left="720" w:right="1500" w:hanging="360"/>
              <w:jc w:val="both"/>
              <w:rPr>
                <w:rFonts w:cs="Calibri"/>
              </w:rPr>
            </w:pPr>
            <w:r>
              <w:rPr>
                <w:rFonts w:cs="Calibri"/>
              </w:rPr>
              <w:t xml:space="preserve">To provide individualised support to students whilst on a placement and on educational visits/transition visits/medical visits where appropriate </w:t>
            </w:r>
          </w:p>
          <w:p>
            <w:pPr>
              <w:pStyle w:val="Normal"/>
              <w:widowControl w:val="false"/>
              <w:spacing w:lineRule="exact" w:line="348"/>
              <w:rPr>
                <w:rFonts w:cs="Calibri"/>
              </w:rPr>
            </w:pPr>
            <w:r>
              <w:rPr>
                <w:rFonts w:cs="Calibri"/>
              </w:rPr>
            </w:r>
          </w:p>
          <w:p>
            <w:pPr>
              <w:pStyle w:val="Normal"/>
              <w:rPr/>
            </w:pPr>
            <w:r>
              <w:rPr>
                <w:rFonts w:eastAsia="Arial" w:cs="Arial"/>
              </w:rPr>
              <w:t xml:space="preserve">      </w:t>
            </w:r>
            <w:r>
              <w:rPr>
                <w:rFonts w:cs="Calibri"/>
              </w:rPr>
              <w:t xml:space="preserve">16.To communicate effectively with the teacher, head of department, other job coaches, host </w:t>
            </w:r>
          </w:p>
          <w:p>
            <w:pPr>
              <w:pStyle w:val="Normal"/>
              <w:rPr/>
            </w:pPr>
            <w:r>
              <w:rPr>
                <w:rFonts w:eastAsia="Arial" w:cs="Arial"/>
              </w:rPr>
              <w:t xml:space="preserve">           </w:t>
            </w:r>
            <w:r>
              <w:rPr>
                <w:rFonts w:cs="Calibri"/>
              </w:rPr>
              <w:t>employers staff, co-workers, family members and external agency staff</w:t>
            </w:r>
          </w:p>
          <w:p>
            <w:pPr>
              <w:pStyle w:val="Normal"/>
              <w:rPr>
                <w:rFonts w:cs="Calibri"/>
              </w:rPr>
            </w:pPr>
            <w:r>
              <w:rPr>
                <w:rFonts w:cs="Calibri"/>
              </w:rPr>
            </w:r>
          </w:p>
          <w:p>
            <w:pPr>
              <w:pStyle w:val="Normal"/>
              <w:widowControl w:val="false"/>
              <w:numPr>
                <w:ilvl w:val="0"/>
                <w:numId w:val="3"/>
              </w:numPr>
              <w:overflowPunct w:val="true"/>
              <w:spacing w:lineRule="auto" w:line="216"/>
              <w:ind w:left="720" w:right="600" w:hanging="360"/>
              <w:jc w:val="both"/>
              <w:rPr>
                <w:rFonts w:cs="Calibri"/>
              </w:rPr>
            </w:pPr>
            <w:r>
              <w:rPr>
                <w:rFonts w:cs="Calibri"/>
              </w:rPr>
              <w:t>To work with students, employers, families and external agencies to problem solve any issues relating to training and employment</w:t>
            </w:r>
          </w:p>
          <w:p>
            <w:pPr>
              <w:pStyle w:val="Normal"/>
              <w:widowControl w:val="false"/>
              <w:spacing w:lineRule="exact" w:line="293"/>
              <w:rPr>
                <w:rFonts w:cs="Calibri"/>
                <w:sz w:val="24"/>
                <w:szCs w:val="24"/>
              </w:rPr>
            </w:pPr>
            <w:r>
              <w:rPr>
                <w:rFonts w:cs="Calibri"/>
                <w:sz w:val="24"/>
                <w:szCs w:val="24"/>
              </w:rPr>
            </w:r>
          </w:p>
          <w:p>
            <w:pPr>
              <w:pStyle w:val="Normal"/>
              <w:widowControl w:val="false"/>
              <w:numPr>
                <w:ilvl w:val="0"/>
                <w:numId w:val="3"/>
              </w:numPr>
              <w:overflowPunct w:val="true"/>
              <w:jc w:val="both"/>
              <w:rPr>
                <w:rFonts w:cs="Calibri"/>
              </w:rPr>
            </w:pPr>
            <w:r>
              <w:rPr>
                <w:rFonts w:cs="Calibri"/>
              </w:rPr>
              <w:t xml:space="preserve">Monitor and record daily attendance at host site and to inform departments of absences </w:t>
            </w:r>
          </w:p>
          <w:p>
            <w:pPr>
              <w:pStyle w:val="Normal"/>
              <w:widowControl w:val="false"/>
              <w:spacing w:lineRule="exact" w:line="295"/>
              <w:rPr>
                <w:rFonts w:cs="Calibri"/>
              </w:rPr>
            </w:pPr>
            <w:r>
              <w:rPr>
                <w:rFonts w:cs="Calibri"/>
              </w:rPr>
            </w:r>
          </w:p>
          <w:p>
            <w:pPr>
              <w:pStyle w:val="Normal"/>
              <w:widowControl w:val="false"/>
              <w:numPr>
                <w:ilvl w:val="0"/>
                <w:numId w:val="4"/>
              </w:numPr>
              <w:overflowPunct w:val="true"/>
              <w:jc w:val="both"/>
              <w:rPr>
                <w:rFonts w:cs="Calibri"/>
              </w:rPr>
            </w:pPr>
            <w:r>
              <w:rPr>
                <w:rFonts w:cs="Calibri"/>
              </w:rPr>
              <w:t>To identify and refer students for travel-training where appropriate</w:t>
            </w:r>
          </w:p>
          <w:p>
            <w:pPr>
              <w:pStyle w:val="Normal"/>
              <w:rPr>
                <w:rFonts w:cs="Calibri"/>
              </w:rPr>
            </w:pPr>
            <w:r>
              <w:rPr>
                <w:rFonts w:cs="Calibri"/>
              </w:rPr>
            </w:r>
          </w:p>
          <w:p>
            <w:pPr>
              <w:pStyle w:val="Normal"/>
              <w:widowControl w:val="false"/>
              <w:rPr>
                <w:rFonts w:cs="Calibri"/>
                <w:b/>
                <w:b/>
                <w:bCs/>
                <w:sz w:val="24"/>
                <w:szCs w:val="24"/>
              </w:rPr>
            </w:pPr>
            <w:r>
              <w:rPr>
                <w:rFonts w:cs="Calibri"/>
                <w:b/>
                <w:bCs/>
                <w:sz w:val="24"/>
                <w:szCs w:val="24"/>
              </w:rPr>
              <w:t>Key Tasks - Supporting Teaching and Learning</w:t>
            </w:r>
          </w:p>
          <w:p>
            <w:pPr>
              <w:pStyle w:val="Normal"/>
              <w:widowControl w:val="false"/>
              <w:spacing w:lineRule="exact" w:line="346"/>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5"/>
              </w:numPr>
              <w:overflowPunct w:val="true"/>
              <w:spacing w:lineRule="auto" w:line="228"/>
              <w:jc w:val="both"/>
              <w:rPr>
                <w:rFonts w:cs="Calibri"/>
              </w:rPr>
            </w:pPr>
            <w:r>
              <w:rPr>
                <w:rFonts w:cs="Calibri"/>
              </w:rPr>
              <w:t xml:space="preserve">Assist in developing and maintaining a positive link between the New Group and the pupil’s homes and to further establish and maintain regular contact with the families/carers of pupils being educated by the New Bridge Group. This may involve home visits and attendance at multi-agency meetings including annual reviews </w:t>
            </w:r>
          </w:p>
          <w:p>
            <w:pPr>
              <w:pStyle w:val="Normal"/>
              <w:widowControl w:val="false"/>
              <w:spacing w:lineRule="exact" w:line="346"/>
              <w:rPr>
                <w:rFonts w:cs="Calibri"/>
              </w:rPr>
            </w:pPr>
            <w:r>
              <w:rPr>
                <w:rFonts w:cs="Calibri"/>
              </w:rPr>
            </w:r>
          </w:p>
          <w:p>
            <w:pPr>
              <w:pStyle w:val="Normal"/>
              <w:widowControl w:val="false"/>
              <w:numPr>
                <w:ilvl w:val="0"/>
                <w:numId w:val="5"/>
              </w:numPr>
              <w:overflowPunct w:val="true"/>
              <w:spacing w:lineRule="auto" w:line="216"/>
              <w:jc w:val="both"/>
              <w:rPr>
                <w:rFonts w:cs="Calibri"/>
              </w:rPr>
            </w:pPr>
            <w:r>
              <w:rPr>
                <w:rFonts w:cs="Calibri"/>
              </w:rPr>
              <w:t>Support the role of parents in pupil learning and contribute to meetings with parents to provide constructive feedback on pupil progress, achievement, problems etc</w:t>
            </w:r>
          </w:p>
          <w:p>
            <w:pPr>
              <w:pStyle w:val="Normal"/>
              <w:widowControl w:val="false"/>
              <w:spacing w:lineRule="exact" w:line="346"/>
              <w:rPr>
                <w:rFonts w:cs="Calibri"/>
              </w:rPr>
            </w:pPr>
            <w:r>
              <w:rPr>
                <w:rFonts w:cs="Calibri"/>
              </w:rPr>
            </w:r>
          </w:p>
          <w:p>
            <w:pPr>
              <w:pStyle w:val="Normal"/>
              <w:widowControl w:val="false"/>
              <w:numPr>
                <w:ilvl w:val="0"/>
                <w:numId w:val="5"/>
              </w:numPr>
              <w:overflowPunct w:val="true"/>
              <w:spacing w:lineRule="auto" w:line="228"/>
              <w:jc w:val="both"/>
              <w:rPr>
                <w:rFonts w:cs="Calibri"/>
              </w:rPr>
            </w:pPr>
            <w:r>
              <w:rPr>
                <w:rFonts w:cs="Calibri"/>
              </w:rPr>
              <w:t>Deliver learning activities, which are part of Supported Internship learning strategies, relevant to your setting, to pupils within an agreed system of supervision, adjusting activities according to individual pupil learning styles and needs. This will involve individual, group and whole class work and may take place when the teacher is not present</w:t>
            </w:r>
          </w:p>
          <w:p>
            <w:pPr>
              <w:pStyle w:val="ListParagraph"/>
              <w:rPr>
                <w:rFonts w:cs="Calibri"/>
              </w:rPr>
            </w:pPr>
            <w:r>
              <w:rPr>
                <w:rFonts w:cs="Calibri"/>
              </w:rPr>
            </w:r>
          </w:p>
          <w:p>
            <w:pPr>
              <w:pStyle w:val="Normal"/>
              <w:widowControl w:val="false"/>
              <w:numPr>
                <w:ilvl w:val="0"/>
                <w:numId w:val="5"/>
              </w:numPr>
              <w:overflowPunct w:val="true"/>
              <w:spacing w:lineRule="auto" w:line="220"/>
              <w:jc w:val="both"/>
              <w:rPr>
                <w:rFonts w:cs="Calibri"/>
              </w:rPr>
            </w:pPr>
            <w:r>
              <w:rPr>
                <w:rFonts w:cs="Calibri"/>
              </w:rPr>
              <w:t>Provide objective and accurate feedback and reports as required on pupil achievement, progress, and other matters, both in lessons and other activities. Systematically record pupils’ progress and achievements, ensuring availability of appropriate evidence</w:t>
            </w:r>
          </w:p>
          <w:p>
            <w:pPr>
              <w:pStyle w:val="ListParagraph"/>
              <w:rPr>
                <w:rFonts w:cs="Calibri"/>
              </w:rPr>
            </w:pPr>
            <w:r>
              <w:rPr>
                <w:rFonts w:cs="Calibri"/>
              </w:rPr>
            </w:r>
          </w:p>
          <w:p>
            <w:pPr>
              <w:pStyle w:val="Normal"/>
              <w:widowControl w:val="false"/>
              <w:numPr>
                <w:ilvl w:val="0"/>
                <w:numId w:val="5"/>
              </w:numPr>
              <w:overflowPunct w:val="true"/>
              <w:jc w:val="both"/>
              <w:rPr>
                <w:rFonts w:cs="Calibri"/>
              </w:rPr>
            </w:pPr>
            <w:r>
              <w:rPr>
                <w:rFonts w:cs="Calibri"/>
              </w:rPr>
              <w:t>Organise and manage an appropriate learning environment and resources</w:t>
            </w:r>
          </w:p>
          <w:p>
            <w:pPr>
              <w:pStyle w:val="ListParagraph"/>
              <w:rPr>
                <w:rFonts w:cs="Calibri"/>
              </w:rPr>
            </w:pPr>
            <w:r>
              <w:rPr>
                <w:rFonts w:cs="Calibri"/>
              </w:rPr>
            </w:r>
          </w:p>
          <w:p>
            <w:pPr>
              <w:pStyle w:val="Normal"/>
              <w:widowControl w:val="false"/>
              <w:numPr>
                <w:ilvl w:val="0"/>
                <w:numId w:val="5"/>
              </w:numPr>
              <w:overflowPunct w:val="true"/>
              <w:jc w:val="both"/>
              <w:rPr>
                <w:rFonts w:cs="Calibri"/>
              </w:rPr>
            </w:pPr>
            <w:r>
              <w:rPr>
                <w:rFonts w:cs="Calibri"/>
              </w:rPr>
              <w:t>Provide clerical support for teachers and senior job coaches, e.g. photocopying, filing, record-keeping, collecting money, checking of deliveries and placing goods in stock and maintaining records of stock; administering coursework, production of work sheets for agreed activities</w:t>
            </w:r>
          </w:p>
          <w:p>
            <w:pPr>
              <w:pStyle w:val="Normal"/>
              <w:rPr>
                <w:rFonts w:cs="Calibri"/>
              </w:rPr>
            </w:pPr>
            <w:r>
              <w:rPr>
                <w:rFonts w:cs="Calibri"/>
              </w:rPr>
            </w:r>
          </w:p>
        </w:tc>
      </w:tr>
      <w:tr>
        <w:trPr>
          <w:trHeight w:val="13467" w:hRule="atLeast"/>
        </w:trPr>
        <w:tc>
          <w:tcPr>
            <w:tcW w:w="10041" w:type="dxa"/>
            <w:tcBorders>
              <w:left w:val="single" w:sz="4" w:space="0" w:color="000000"/>
              <w:bottom w:val="single" w:sz="4" w:space="0" w:color="000000"/>
              <w:right w:val="single" w:sz="4" w:space="0" w:color="000000"/>
            </w:tcBorders>
            <w:shd w:fill="auto" w:val="clear"/>
          </w:tcPr>
          <w:p>
            <w:pPr>
              <w:pStyle w:val="Normal"/>
              <w:widowControl w:val="false"/>
              <w:numPr>
                <w:ilvl w:val="0"/>
                <w:numId w:val="5"/>
              </w:numPr>
              <w:overflowPunct w:val="true"/>
              <w:jc w:val="both"/>
              <w:rPr>
                <w:rFonts w:cs="Calibri"/>
              </w:rPr>
            </w:pPr>
            <w:r>
              <w:rPr>
                <w:rFonts w:cs="Calibri"/>
              </w:rPr>
              <w:t>Assist with the display of pupils’ work</w:t>
            </w:r>
          </w:p>
          <w:p>
            <w:pPr>
              <w:pStyle w:val="Normal"/>
              <w:widowControl w:val="false"/>
              <w:overflowPunct w:val="true"/>
              <w:ind w:left="720" w:right="0" w:hanging="0"/>
              <w:jc w:val="both"/>
              <w:rPr>
                <w:rFonts w:cs="Calibri"/>
              </w:rPr>
            </w:pPr>
            <w:r>
              <w:rPr>
                <w:rFonts w:cs="Calibri"/>
              </w:rPr>
            </w:r>
          </w:p>
          <w:p>
            <w:pPr>
              <w:pStyle w:val="Normal"/>
              <w:widowControl w:val="false"/>
              <w:numPr>
                <w:ilvl w:val="0"/>
                <w:numId w:val="5"/>
              </w:numPr>
              <w:overflowPunct w:val="true"/>
              <w:spacing w:lineRule="auto" w:line="216"/>
              <w:ind w:left="720" w:right="20" w:hanging="360"/>
              <w:jc w:val="both"/>
              <w:rPr>
                <w:rFonts w:cs="Calibri"/>
              </w:rPr>
            </w:pPr>
            <w:r>
              <w:rPr>
                <w:rFonts w:cs="Calibri"/>
              </w:rPr>
              <w:t>Administer and mark straightforward routine tests, e.g. spelling or mental arithmetic, and invigilate tests as required</w:t>
            </w:r>
          </w:p>
          <w:p>
            <w:pPr>
              <w:pStyle w:val="Normal"/>
              <w:widowControl w:val="false"/>
              <w:spacing w:lineRule="exact" w:line="293"/>
              <w:rPr>
                <w:rFonts w:cs="Calibri"/>
              </w:rPr>
            </w:pPr>
            <w:r>
              <w:rPr>
                <w:rFonts w:cs="Calibri"/>
              </w:rPr>
            </w:r>
          </w:p>
          <w:p>
            <w:pPr>
              <w:pStyle w:val="Normal"/>
              <w:widowControl w:val="false"/>
              <w:numPr>
                <w:ilvl w:val="0"/>
                <w:numId w:val="5"/>
              </w:numPr>
              <w:overflowPunct w:val="true"/>
              <w:jc w:val="both"/>
              <w:rPr>
                <w:rFonts w:cs="Calibri"/>
              </w:rPr>
            </w:pPr>
            <w:r>
              <w:rPr>
                <w:rFonts w:cs="Calibri"/>
              </w:rPr>
              <w:t>To provide and share information for pupil progression targets and annual reviews</w:t>
            </w:r>
          </w:p>
          <w:p>
            <w:pPr>
              <w:pStyle w:val="Normal"/>
              <w:widowControl w:val="false"/>
              <w:spacing w:lineRule="exact" w:line="293"/>
              <w:rPr>
                <w:rFonts w:cs="Calibri"/>
              </w:rPr>
            </w:pPr>
            <w:r>
              <w:rPr>
                <w:rFonts w:cs="Calibri"/>
              </w:rPr>
            </w:r>
          </w:p>
          <w:p>
            <w:pPr>
              <w:pStyle w:val="Normal"/>
              <w:widowControl w:val="false"/>
              <w:numPr>
                <w:ilvl w:val="0"/>
                <w:numId w:val="5"/>
              </w:numPr>
              <w:overflowPunct w:val="true"/>
              <w:jc w:val="both"/>
              <w:rPr>
                <w:rFonts w:cs="Calibri"/>
              </w:rPr>
            </w:pPr>
            <w:r>
              <w:rPr>
                <w:rFonts w:cs="Calibri"/>
              </w:rPr>
              <w:t>To have involvement with setting and monitoring student targets</w:t>
            </w:r>
          </w:p>
          <w:p>
            <w:pPr>
              <w:pStyle w:val="Normal"/>
              <w:widowControl w:val="false"/>
              <w:spacing w:lineRule="exact" w:line="292"/>
              <w:rPr>
                <w:rFonts w:cs="Calibri"/>
              </w:rPr>
            </w:pPr>
            <w:r>
              <w:rPr>
                <w:rFonts w:cs="Calibri"/>
              </w:rPr>
            </w:r>
          </w:p>
          <w:p>
            <w:pPr>
              <w:pStyle w:val="Normal"/>
              <w:widowControl w:val="false"/>
              <w:numPr>
                <w:ilvl w:val="0"/>
                <w:numId w:val="5"/>
              </w:numPr>
              <w:overflowPunct w:val="true"/>
              <w:jc w:val="both"/>
              <w:rPr>
                <w:rFonts w:cs="Calibri"/>
              </w:rPr>
            </w:pPr>
            <w:r>
              <w:rPr>
                <w:rFonts w:cs="Calibri"/>
              </w:rPr>
              <w:t>To complete EV forms if necessary</w:t>
            </w:r>
          </w:p>
          <w:p>
            <w:pPr>
              <w:pStyle w:val="Normal"/>
              <w:rPr/>
            </w:pPr>
            <w:r>
              <w:rPr/>
            </w:r>
          </w:p>
          <w:p>
            <w:pPr>
              <w:pStyle w:val="Normal"/>
              <w:widowControl w:val="false"/>
              <w:rPr>
                <w:rFonts w:cs="Calibri"/>
                <w:b/>
                <w:b/>
                <w:bCs/>
                <w:sz w:val="24"/>
                <w:szCs w:val="24"/>
              </w:rPr>
            </w:pPr>
            <w:r>
              <w:rPr>
                <w:rFonts w:cs="Calibri"/>
                <w:b/>
                <w:bCs/>
                <w:sz w:val="24"/>
                <w:szCs w:val="24"/>
              </w:rPr>
            </w:r>
          </w:p>
          <w:p>
            <w:pPr>
              <w:pStyle w:val="Normal"/>
              <w:widowControl w:val="false"/>
              <w:rPr>
                <w:rFonts w:cs="Calibri"/>
                <w:b/>
                <w:b/>
                <w:bCs/>
                <w:sz w:val="24"/>
                <w:szCs w:val="24"/>
              </w:rPr>
            </w:pPr>
            <w:r>
              <w:rPr>
                <w:rFonts w:cs="Calibri"/>
                <w:b/>
                <w:bCs/>
                <w:sz w:val="24"/>
                <w:szCs w:val="24"/>
              </w:rPr>
              <w:t>General Tasks- Supporting the organisation</w:t>
            </w:r>
          </w:p>
          <w:p>
            <w:pPr>
              <w:pStyle w:val="Normal"/>
              <w:widowControl w:val="false"/>
              <w:spacing w:lineRule="exact" w:line="346"/>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6"/>
              </w:numPr>
              <w:overflowPunct w:val="true"/>
              <w:spacing w:lineRule="auto" w:line="228"/>
              <w:ind w:left="720" w:right="0" w:hanging="366"/>
              <w:jc w:val="both"/>
              <w:rPr>
                <w:rFonts w:cs="Calibri"/>
              </w:rPr>
            </w:pPr>
            <w:r>
              <w:rPr>
                <w:rFonts w:cs="Calibri"/>
              </w:rPr>
              <w:t>Promote positive values, attitudes and good pupil behaviour. Anticipate and manage promptly with challenging behaviour, conflicts and incidents whilst encouraging pupils to take responsibility for their own behaviour, in line with established New Bridge Group policies, e.g. the use of team-teach</w:t>
            </w:r>
          </w:p>
          <w:p>
            <w:pPr>
              <w:pStyle w:val="Normal"/>
              <w:widowControl w:val="false"/>
              <w:spacing w:lineRule="exact" w:line="348"/>
              <w:rPr>
                <w:rFonts w:cs="Calibri"/>
              </w:rPr>
            </w:pPr>
            <w:r>
              <w:rPr>
                <w:rFonts w:cs="Calibri"/>
              </w:rPr>
            </w:r>
          </w:p>
          <w:p>
            <w:pPr>
              <w:pStyle w:val="Normal"/>
              <w:widowControl w:val="false"/>
              <w:numPr>
                <w:ilvl w:val="0"/>
                <w:numId w:val="6"/>
              </w:numPr>
              <w:overflowPunct w:val="true"/>
              <w:spacing w:lineRule="auto" w:line="220"/>
              <w:ind w:left="720" w:right="20" w:hanging="366"/>
              <w:jc w:val="both"/>
              <w:rPr>
                <w:rFonts w:cs="Calibri"/>
              </w:rPr>
            </w:pPr>
            <w:r>
              <w:rPr>
                <w:rFonts w:cs="Calibri"/>
              </w:rPr>
              <w:t xml:space="preserve">Establish constructive relationships and communicate with other agencies/professionals, in liaison with the line manager, to support the achievement and progress of pupils. Contribute to the development of appropriate multi-agency approaches to supporting pupil </w:t>
            </w:r>
          </w:p>
          <w:p>
            <w:pPr>
              <w:pStyle w:val="Normal"/>
              <w:widowControl w:val="false"/>
              <w:spacing w:lineRule="exact" w:line="347"/>
              <w:rPr>
                <w:rFonts w:cs="Calibri"/>
              </w:rPr>
            </w:pPr>
            <w:r>
              <w:rPr>
                <w:rFonts w:cs="Calibri"/>
              </w:rPr>
            </w:r>
          </w:p>
          <w:p>
            <w:pPr>
              <w:pStyle w:val="Normal"/>
              <w:widowControl w:val="false"/>
              <w:numPr>
                <w:ilvl w:val="0"/>
                <w:numId w:val="6"/>
              </w:numPr>
              <w:overflowPunct w:val="true"/>
              <w:spacing w:lineRule="auto" w:line="216"/>
              <w:ind w:left="720" w:right="20" w:hanging="366"/>
              <w:jc w:val="both"/>
              <w:rPr>
                <w:rFonts w:cs="Calibri"/>
              </w:rPr>
            </w:pPr>
            <w:r>
              <w:rPr>
                <w:rFonts w:cs="Calibri"/>
              </w:rPr>
              <w:t xml:space="preserve">To transport pupils to enable them to access a broad and balanced curriculum. (Following specific training and appropriate checks on own vehicle and insurance where appropriate) </w:t>
            </w:r>
          </w:p>
          <w:p>
            <w:pPr>
              <w:pStyle w:val="Normal"/>
              <w:widowControl w:val="false"/>
              <w:overflowPunct w:val="true"/>
              <w:spacing w:lineRule="auto" w:line="216"/>
              <w:ind w:left="0" w:right="20" w:hanging="0"/>
              <w:jc w:val="both"/>
              <w:rPr>
                <w:rFonts w:cs="Calibri"/>
              </w:rPr>
            </w:pPr>
            <w:r>
              <w:rPr>
                <w:rFonts w:cs="Calibri"/>
              </w:rPr>
            </w:r>
          </w:p>
          <w:p>
            <w:pPr>
              <w:pStyle w:val="Normal"/>
              <w:widowControl w:val="false"/>
              <w:numPr>
                <w:ilvl w:val="0"/>
                <w:numId w:val="6"/>
              </w:numPr>
              <w:overflowPunct w:val="true"/>
              <w:ind w:left="720" w:right="0" w:hanging="366"/>
              <w:jc w:val="both"/>
              <w:rPr>
                <w:rFonts w:cs="Calibri"/>
              </w:rPr>
            </w:pPr>
            <w:r>
              <w:rPr>
                <w:rFonts w:cs="Calibri"/>
              </w:rPr>
              <w:t xml:space="preserve">Deliver out-of-school learning activities within guidelines established by the New Bridge Group </w:t>
            </w:r>
          </w:p>
          <w:p>
            <w:pPr>
              <w:pStyle w:val="Normal"/>
              <w:widowControl w:val="false"/>
              <w:spacing w:lineRule="exact" w:line="346"/>
              <w:rPr>
                <w:rFonts w:cs="Calibri"/>
              </w:rPr>
            </w:pPr>
            <w:r>
              <w:rPr>
                <w:rFonts w:cs="Calibri"/>
              </w:rPr>
            </w:r>
          </w:p>
          <w:p>
            <w:pPr>
              <w:pStyle w:val="Normal"/>
              <w:widowControl w:val="false"/>
              <w:numPr>
                <w:ilvl w:val="0"/>
                <w:numId w:val="6"/>
              </w:numPr>
              <w:overflowPunct w:val="true"/>
              <w:spacing w:lineRule="auto" w:line="216"/>
              <w:ind w:left="720" w:right="20" w:hanging="366"/>
              <w:jc w:val="both"/>
              <w:rPr>
                <w:rFonts w:cs="Calibri"/>
              </w:rPr>
            </w:pPr>
            <w:r>
              <w:rPr>
                <w:rFonts w:cs="Calibri"/>
              </w:rPr>
              <w:t>Where appropriate, contribute to the identification and implementation of appropriate out of school learning activities, which consolidate and extend the school activities</w:t>
            </w:r>
          </w:p>
          <w:p>
            <w:pPr>
              <w:pStyle w:val="ListParagraph"/>
              <w:rPr>
                <w:rFonts w:cs="Calibri"/>
              </w:rPr>
            </w:pPr>
            <w:r>
              <w:rPr>
                <w:rFonts w:cs="Calibri"/>
              </w:rPr>
            </w:r>
          </w:p>
          <w:p>
            <w:pPr>
              <w:pStyle w:val="Normal"/>
              <w:widowControl w:val="false"/>
              <w:numPr>
                <w:ilvl w:val="0"/>
                <w:numId w:val="6"/>
              </w:numPr>
              <w:overflowPunct w:val="true"/>
              <w:spacing w:lineRule="auto" w:line="216"/>
              <w:ind w:left="720" w:right="20" w:hanging="366"/>
              <w:jc w:val="both"/>
              <w:rPr>
                <w:rFonts w:cs="Calibri"/>
              </w:rPr>
            </w:pPr>
            <w:r>
              <w:rPr>
                <w:rFonts w:cs="Calibri"/>
              </w:rPr>
              <w:t>Provide cover for classes during short-term absence of teachers or a senior job coach within the agreed system of supervision. Maintain good order and keep pupils on task. This could involve adjusting activities to take account of pupil needs and responding to pupil questions</w:t>
            </w:r>
          </w:p>
          <w:p>
            <w:pPr>
              <w:pStyle w:val="Normal"/>
              <w:rPr/>
            </w:pPr>
            <w:r>
              <w:rPr/>
            </w:r>
          </w:p>
          <w:p>
            <w:pPr>
              <w:pStyle w:val="Normal"/>
              <w:widowControl w:val="false"/>
              <w:rPr>
                <w:rFonts w:cs="Calibri"/>
                <w:b/>
                <w:b/>
                <w:bCs/>
                <w:sz w:val="24"/>
                <w:szCs w:val="24"/>
              </w:rPr>
            </w:pPr>
            <w:r>
              <w:rPr>
                <w:rFonts w:cs="Calibri"/>
                <w:b/>
                <w:bCs/>
                <w:sz w:val="24"/>
                <w:szCs w:val="24"/>
              </w:rPr>
              <w:t>Other Duties</w:t>
            </w:r>
          </w:p>
          <w:p>
            <w:pPr>
              <w:pStyle w:val="Normal"/>
              <w:widowControl w:val="false"/>
              <w:rPr>
                <w:rFonts w:cs="Calibri"/>
                <w:b/>
                <w:b/>
                <w:bCs/>
                <w:sz w:val="24"/>
                <w:szCs w:val="24"/>
              </w:rPr>
            </w:pPr>
            <w:r>
              <w:rPr>
                <w:rFonts w:cs="Calibri"/>
                <w:b/>
                <w:bCs/>
                <w:sz w:val="24"/>
                <w:szCs w:val="24"/>
              </w:rPr>
            </w:r>
          </w:p>
          <w:p>
            <w:pPr>
              <w:pStyle w:val="Normal"/>
              <w:widowControl w:val="false"/>
              <w:numPr>
                <w:ilvl w:val="0"/>
                <w:numId w:val="7"/>
              </w:numPr>
              <w:overflowPunct w:val="true"/>
              <w:spacing w:lineRule="auto" w:line="216"/>
              <w:ind w:left="720" w:right="220" w:hanging="366"/>
              <w:jc w:val="both"/>
              <w:rPr>
                <w:rFonts w:cs="Calibri"/>
                <w:color w:val="0D0D0D"/>
              </w:rPr>
            </w:pPr>
            <w:r>
              <w:rPr>
                <w:rFonts w:cs="Calibri"/>
                <w:color w:val="0D0D0D"/>
              </w:rPr>
              <w:t xml:space="preserve">To understand the importance of inclusion, equality and diversity, both when working with pupils and with colleagues, and to promote equal opportunities for all </w:t>
            </w:r>
          </w:p>
          <w:p>
            <w:pPr>
              <w:pStyle w:val="Normal"/>
              <w:widowControl w:val="false"/>
              <w:spacing w:lineRule="exact" w:line="293"/>
              <w:rPr>
                <w:rFonts w:cs="Calibri"/>
                <w:color w:val="0D0D0D"/>
              </w:rPr>
            </w:pPr>
            <w:r>
              <w:rPr>
                <w:rFonts w:cs="Calibri"/>
                <w:color w:val="0D0D0D"/>
              </w:rPr>
            </w:r>
          </w:p>
          <w:p>
            <w:pPr>
              <w:pStyle w:val="Normal"/>
              <w:widowControl w:val="false"/>
              <w:numPr>
                <w:ilvl w:val="0"/>
                <w:numId w:val="7"/>
              </w:numPr>
              <w:overflowPunct w:val="true"/>
              <w:ind w:left="720" w:right="0" w:hanging="366"/>
              <w:jc w:val="both"/>
              <w:rPr>
                <w:rFonts w:cs="Calibri"/>
                <w:color w:val="0D0D0D"/>
              </w:rPr>
            </w:pPr>
            <w:r>
              <w:rPr>
                <w:rFonts w:cs="Calibri"/>
                <w:color w:val="0D0D0D"/>
              </w:rPr>
              <w:t xml:space="preserve">To uphold and promote the values and the ethos of the New Bridge Group </w:t>
            </w:r>
          </w:p>
          <w:p>
            <w:pPr>
              <w:pStyle w:val="Normal"/>
              <w:widowControl w:val="false"/>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7"/>
              </w:numPr>
              <w:overflowPunct w:val="true"/>
              <w:spacing w:lineRule="auto" w:line="220"/>
              <w:ind w:left="720" w:right="80" w:hanging="366"/>
              <w:jc w:val="both"/>
              <w:rPr>
                <w:rFonts w:cs="Calibri"/>
                <w:color w:val="0D0D0D"/>
              </w:rPr>
            </w:pPr>
            <w:r>
              <w:rPr>
                <w:rFonts w:cs="Calibri"/>
                <w:color w:val="0D0D0D"/>
              </w:rPr>
              <w:t>To implement and uphold the policies, procedures and codes of practice of the New Bridge Group, including relating to customer care, finance, data protection, ICT, health &amp; safety, anti-bullying and safeguarding/child protection</w:t>
            </w:r>
          </w:p>
          <w:p>
            <w:pPr>
              <w:pStyle w:val="Normal"/>
              <w:widowControl w:val="false"/>
              <w:spacing w:lineRule="exact" w:line="347"/>
              <w:rPr>
                <w:rFonts w:cs="Calibri"/>
                <w:color w:val="0D0D0D"/>
              </w:rPr>
            </w:pPr>
            <w:r>
              <w:rPr>
                <w:rFonts w:cs="Calibri"/>
                <w:color w:val="0D0D0D"/>
              </w:rPr>
            </w:r>
          </w:p>
          <w:p>
            <w:pPr>
              <w:pStyle w:val="Normal"/>
              <w:widowControl w:val="false"/>
              <w:numPr>
                <w:ilvl w:val="0"/>
                <w:numId w:val="7"/>
              </w:numPr>
              <w:overflowPunct w:val="true"/>
              <w:spacing w:lineRule="auto" w:line="223"/>
              <w:ind w:left="720" w:right="180" w:hanging="366"/>
              <w:jc w:val="both"/>
              <w:rPr>
                <w:rFonts w:cs="Calibri"/>
                <w:color w:val="0D0D0D"/>
              </w:rPr>
            </w:pPr>
            <w:r>
              <w:rPr>
                <w:rFonts w:cs="Calibri"/>
                <w:color w:val="0D0D0D"/>
              </w:rPr>
              <w:t xml:space="preserve">To take a pro-active approach to health and safety, working with others in the school to minimise and mitigate potential hazards and risks, and actively contribute to the security of the New Bridge Group, e.g. challenging a stranger on the premises </w:t>
            </w:r>
          </w:p>
          <w:p>
            <w:pPr>
              <w:pStyle w:val="ListParagraph"/>
              <w:rPr/>
            </w:pPr>
            <w:r>
              <w:rPr/>
            </w:r>
          </w:p>
        </w:tc>
      </w:tr>
    </w:tbl>
    <w:p>
      <w:pPr>
        <w:pStyle w:val="Normal"/>
        <w:rPr/>
      </w:pPr>
      <w:r>
        <w:rPr/>
      </w:r>
    </w:p>
    <w:tbl>
      <w:tblPr>
        <w:tblW w:w="10077" w:type="dxa"/>
        <w:jc w:val="left"/>
        <w:tblInd w:w="0" w:type="dxa"/>
        <w:tblCellMar>
          <w:top w:w="0" w:type="dxa"/>
          <w:left w:w="108" w:type="dxa"/>
          <w:bottom w:w="0" w:type="dxa"/>
          <w:right w:w="108" w:type="dxa"/>
        </w:tblCellMar>
      </w:tblPr>
      <w:tblGrid>
        <w:gridCol w:w="2268"/>
        <w:gridCol w:w="7809"/>
      </w:tblGrid>
      <w:tr>
        <w:trPr>
          <w:cantSplit w:val="true"/>
        </w:trPr>
        <w:tc>
          <w:tcPr>
            <w:tcW w:w="10077" w:type="dxa"/>
            <w:gridSpan w:val="2"/>
            <w:tcBorders>
              <w:top w:val="single" w:sz="4" w:space="0" w:color="000000"/>
              <w:left w:val="single" w:sz="4" w:space="0" w:color="000000"/>
              <w:right w:val="single" w:sz="4" w:space="0" w:color="000000"/>
            </w:tcBorders>
            <w:shd w:fill="auto" w:val="clear"/>
          </w:tcPr>
          <w:p>
            <w:pPr>
              <w:pStyle w:val="Normal"/>
              <w:snapToGrid w:val="false"/>
              <w:rPr>
                <w:b/>
                <w:b/>
              </w:rPr>
            </w:pPr>
            <w:r>
              <w:rPr>
                <w:b/>
              </w:rPr>
            </w:r>
          </w:p>
          <w:p>
            <w:pPr>
              <w:pStyle w:val="Normal"/>
              <w:widowControl w:val="false"/>
              <w:numPr>
                <w:ilvl w:val="0"/>
                <w:numId w:val="7"/>
              </w:numPr>
              <w:overflowPunct w:val="true"/>
              <w:spacing w:lineRule="auto" w:line="220"/>
              <w:ind w:left="720" w:right="120" w:hanging="366"/>
              <w:jc w:val="both"/>
              <w:rPr>
                <w:rFonts w:cs="Calibri"/>
                <w:color w:val="0D0D0D"/>
              </w:rPr>
            </w:pPr>
            <w:r>
              <w:rPr>
                <w:rFonts w:cs="Calibri"/>
                <w:color w:val="0D0D0D"/>
              </w:rPr>
              <w:t xml:space="preserve">To participate and engage with workplace learning and development opportunities, subject to the group’s training plan, working to continually improve own performance and that of the team/New Bridge Group </w:t>
            </w:r>
          </w:p>
          <w:p>
            <w:pPr>
              <w:pStyle w:val="Normal"/>
              <w:widowControl w:val="false"/>
              <w:spacing w:lineRule="exact" w:line="294"/>
              <w:rPr>
                <w:rFonts w:cs="Calibri"/>
                <w:color w:val="0D0D0D"/>
              </w:rPr>
            </w:pPr>
            <w:r>
              <w:rPr>
                <w:rFonts w:cs="Calibri"/>
                <w:color w:val="0D0D0D"/>
              </w:rPr>
            </w:r>
          </w:p>
          <w:p>
            <w:pPr>
              <w:pStyle w:val="Normal"/>
              <w:widowControl w:val="false"/>
              <w:numPr>
                <w:ilvl w:val="0"/>
                <w:numId w:val="7"/>
              </w:numPr>
              <w:overflowPunct w:val="true"/>
              <w:ind w:left="720" w:right="0" w:hanging="366"/>
              <w:jc w:val="both"/>
              <w:rPr>
                <w:rFonts w:cs="Calibri"/>
                <w:color w:val="0D0D0D"/>
              </w:rPr>
            </w:pPr>
            <w:r>
              <w:rPr>
                <w:rFonts w:cs="Calibri"/>
                <w:color w:val="0D0D0D"/>
              </w:rPr>
              <w:t xml:space="preserve">To attend and participate in relevant meetings as appropriate </w:t>
            </w:r>
          </w:p>
          <w:p>
            <w:pPr>
              <w:pStyle w:val="Normal"/>
              <w:widowControl w:val="false"/>
              <w:spacing w:lineRule="exact" w:line="292"/>
              <w:rPr>
                <w:rFonts w:cs="Calibri"/>
                <w:color w:val="0D0D0D"/>
              </w:rPr>
            </w:pPr>
            <w:r>
              <w:rPr>
                <w:rFonts w:cs="Calibri"/>
                <w:color w:val="0D0D0D"/>
              </w:rPr>
            </w:r>
          </w:p>
          <w:p>
            <w:pPr>
              <w:pStyle w:val="Normal"/>
              <w:widowControl w:val="false"/>
              <w:numPr>
                <w:ilvl w:val="0"/>
                <w:numId w:val="7"/>
              </w:numPr>
              <w:overflowPunct w:val="true"/>
              <w:ind w:left="720" w:right="0" w:hanging="366"/>
              <w:jc w:val="both"/>
              <w:rPr>
                <w:rFonts w:cs="Calibri"/>
                <w:color w:val="0D0D0D"/>
              </w:rPr>
            </w:pPr>
            <w:r>
              <w:rPr>
                <w:rFonts w:cs="Calibri"/>
                <w:color w:val="0D0D0D"/>
              </w:rPr>
              <w:t>To undertake any other additional duties commensurate with the grade of the post</w:t>
            </w:r>
          </w:p>
          <w:p>
            <w:pPr>
              <w:pStyle w:val="Normal"/>
              <w:rPr/>
            </w:pPr>
            <w:r>
              <w:rPr/>
            </w:r>
          </w:p>
          <w:p>
            <w:pPr>
              <w:pStyle w:val="Normal"/>
              <w:rPr/>
            </w:pPr>
            <w:r>
              <w:rPr/>
            </w:r>
          </w:p>
        </w:tc>
      </w:tr>
      <w:tr>
        <w:trPr/>
        <w:tc>
          <w:tcPr>
            <w:tcW w:w="2268" w:type="dxa"/>
            <w:tcBorders>
              <w:left w:val="single" w:sz="4" w:space="0" w:color="000000"/>
            </w:tcBorders>
            <w:shd w:fill="auto" w:val="clear"/>
          </w:tcPr>
          <w:p>
            <w:pPr>
              <w:pStyle w:val="Normal"/>
              <w:rPr>
                <w:b/>
                <w:b/>
              </w:rPr>
            </w:pPr>
            <w:r>
              <w:rPr>
                <w:b/>
              </w:rPr>
              <w:t>Responsible to:</w:t>
            </w:r>
          </w:p>
          <w:p>
            <w:pPr>
              <w:pStyle w:val="Normal"/>
              <w:rPr>
                <w:b/>
                <w:b/>
              </w:rPr>
            </w:pPr>
            <w:r>
              <w:rPr>
                <w:b/>
              </w:rPr>
            </w:r>
          </w:p>
        </w:tc>
        <w:tc>
          <w:tcPr>
            <w:tcW w:w="7809" w:type="dxa"/>
            <w:tcBorders>
              <w:right w:val="single" w:sz="4" w:space="0" w:color="000000"/>
            </w:tcBorders>
            <w:shd w:fill="auto" w:val="clear"/>
          </w:tcPr>
          <w:p>
            <w:pPr>
              <w:pStyle w:val="Endnote"/>
              <w:rPr>
                <w:rFonts w:ascii="Arial" w:hAnsi="Arial" w:cs="Arial"/>
                <w:sz w:val="22"/>
                <w:szCs w:val="22"/>
              </w:rPr>
            </w:pPr>
            <w:r>
              <w:rPr>
                <w:rFonts w:cs="Arial" w:ascii="Arial" w:hAnsi="Arial"/>
                <w:sz w:val="22"/>
                <w:szCs w:val="22"/>
              </w:rPr>
              <w:t>Assistant Head of College/Senor Job Coach</w:t>
            </w:r>
          </w:p>
          <w:p>
            <w:pPr>
              <w:pStyle w:val="Endnote"/>
              <w:overflowPunct w:val="false"/>
              <w:textAlignment w:val="auto"/>
              <w:rPr>
                <w:rFonts w:ascii="Arial" w:hAnsi="Arial" w:cs="Arial"/>
                <w:sz w:val="22"/>
                <w:szCs w:val="22"/>
              </w:rPr>
            </w:pPr>
            <w:r>
              <w:rPr>
                <w:rFonts w:cs="Arial" w:ascii="Arial" w:hAnsi="Arial"/>
                <w:sz w:val="22"/>
                <w:szCs w:val="22"/>
              </w:rPr>
            </w:r>
          </w:p>
        </w:tc>
      </w:tr>
      <w:tr>
        <w:trPr/>
        <w:tc>
          <w:tcPr>
            <w:tcW w:w="2268" w:type="dxa"/>
            <w:tcBorders>
              <w:left w:val="single" w:sz="4" w:space="0" w:color="000000"/>
              <w:bottom w:val="single" w:sz="4" w:space="0" w:color="000000"/>
            </w:tcBorders>
            <w:shd w:fill="auto" w:val="clear"/>
          </w:tcPr>
          <w:p>
            <w:pPr>
              <w:pStyle w:val="Normal"/>
              <w:rPr>
                <w:b/>
                <w:b/>
              </w:rPr>
            </w:pPr>
            <w:r>
              <w:rPr>
                <w:b/>
              </w:rPr>
              <w:t>Responsible for:</w:t>
            </w:r>
          </w:p>
          <w:p>
            <w:pPr>
              <w:pStyle w:val="Normal"/>
              <w:rPr>
                <w:b/>
                <w:b/>
              </w:rPr>
            </w:pPr>
            <w:r>
              <w:rPr>
                <w:b/>
              </w:rPr>
            </w:r>
          </w:p>
        </w:tc>
        <w:tc>
          <w:tcPr>
            <w:tcW w:w="7809" w:type="dxa"/>
            <w:tcBorders>
              <w:bottom w:val="single" w:sz="4" w:space="0" w:color="000000"/>
              <w:right w:val="single" w:sz="4" w:space="0" w:color="000000"/>
            </w:tcBorders>
            <w:shd w:fill="auto" w:val="clear"/>
          </w:tcPr>
          <w:p>
            <w:pPr>
              <w:pStyle w:val="Endnote"/>
              <w:rPr>
                <w:rFonts w:ascii="Arial" w:hAnsi="Arial" w:cs="Arial"/>
                <w:sz w:val="22"/>
                <w:szCs w:val="22"/>
              </w:rPr>
            </w:pPr>
            <w:r>
              <w:rPr>
                <w:rFonts w:cs="Arial" w:ascii="Arial" w:hAnsi="Arial"/>
                <w:sz w:val="22"/>
                <w:szCs w:val="22"/>
              </w:rPr>
              <w:t>None</w:t>
            </w:r>
          </w:p>
        </w:tc>
      </w:tr>
    </w:tbl>
    <w:p>
      <w:pPr>
        <w:pStyle w:val="Normal"/>
        <w:rPr/>
      </w:pPr>
      <w:r>
        <w:rPr/>
      </w:r>
    </w:p>
    <w:tbl>
      <w:tblPr>
        <w:tblW w:w="10078" w:type="dxa"/>
        <w:jc w:val="left"/>
        <w:tblInd w:w="0" w:type="dxa"/>
        <w:tblCellMar>
          <w:top w:w="0" w:type="dxa"/>
          <w:left w:w="108" w:type="dxa"/>
          <w:bottom w:w="0" w:type="dxa"/>
          <w:right w:w="108" w:type="dxa"/>
        </w:tblCellMar>
      </w:tblPr>
      <w:tblGrid>
        <w:gridCol w:w="10078"/>
      </w:tblGrid>
      <w:tr>
        <w:trPr/>
        <w:tc>
          <w:tcPr>
            <w:tcW w:w="1007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rPr>
            </w:pPr>
            <w:r>
              <w:rPr>
                <w:rFonts w:cs="Arial"/>
              </w:rPr>
              <w:t>Special Conditions:</w:t>
            </w:r>
          </w:p>
          <w:p>
            <w:pPr>
              <w:pStyle w:val="Normal"/>
              <w:rPr>
                <w:rFonts w:cs="Arial"/>
              </w:rPr>
            </w:pPr>
            <w:r>
              <w:rPr>
                <w:rFonts w:cs="Arial"/>
              </w:rPr>
            </w:r>
          </w:p>
          <w:p>
            <w:pPr>
              <w:pStyle w:val="Normal"/>
              <w:jc w:val="both"/>
              <w:rPr/>
            </w:pPr>
            <w:r>
              <w:rPr>
                <w:rFonts w:cs="Arial"/>
              </w:rPr>
              <w:t>An enhanced Disclosure and Barring Service (DBS) check is required for this post</w:t>
            </w:r>
            <w:r>
              <w:rPr>
                <w:b/>
              </w:rPr>
              <w:t xml:space="preserve"> </w:t>
            </w:r>
          </w:p>
          <w:p>
            <w:pPr>
              <w:pStyle w:val="Normal"/>
              <w:jc w:val="both"/>
              <w:rPr/>
            </w:pPr>
            <w:r>
              <w:rPr/>
            </w:r>
          </w:p>
        </w:tc>
      </w:tr>
    </w:tbl>
    <w:p>
      <w:pPr>
        <w:pStyle w:val="Normal"/>
        <w:rPr/>
      </w:pPr>
      <w:r>
        <w:rPr/>
      </w:r>
    </w:p>
    <w:tbl>
      <w:tblPr>
        <w:tblW w:w="10077" w:type="dxa"/>
        <w:jc w:val="left"/>
        <w:tblInd w:w="0" w:type="dxa"/>
        <w:tblCellMar>
          <w:top w:w="0" w:type="dxa"/>
          <w:left w:w="108" w:type="dxa"/>
          <w:bottom w:w="0" w:type="dxa"/>
          <w:right w:w="108" w:type="dxa"/>
        </w:tblCellMar>
      </w:tblPr>
      <w:tblGrid>
        <w:gridCol w:w="2065"/>
        <w:gridCol w:w="2010"/>
        <w:gridCol w:w="2014"/>
        <w:gridCol w:w="3988"/>
      </w:tblGrid>
      <w:tr>
        <w:trPr/>
        <w:tc>
          <w:tcPr>
            <w:tcW w:w="2065"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spacing w:before="20" w:after="20"/>
              <w:rPr>
                <w:rFonts w:cs="Arial"/>
              </w:rPr>
            </w:pPr>
            <w:r>
              <w:rPr>
                <w:rFonts w:cs="Arial"/>
              </w:rPr>
            </w:r>
          </w:p>
        </w:tc>
        <w:tc>
          <w:tcPr>
            <w:tcW w:w="2010" w:type="dxa"/>
            <w:tcBorders>
              <w:top w:val="single" w:sz="4" w:space="0" w:color="000000"/>
              <w:left w:val="single" w:sz="4" w:space="0" w:color="000000"/>
              <w:bottom w:val="single" w:sz="4" w:space="0" w:color="000000"/>
            </w:tcBorders>
            <w:shd w:fill="auto" w:val="clear"/>
          </w:tcPr>
          <w:p>
            <w:pPr>
              <w:pStyle w:val="Normal"/>
              <w:spacing w:before="20" w:after="20"/>
              <w:jc w:val="center"/>
              <w:rPr/>
            </w:pPr>
            <w:r>
              <w:rPr/>
              <w:t>DATE</w:t>
            </w:r>
          </w:p>
        </w:tc>
        <w:tc>
          <w:tcPr>
            <w:tcW w:w="2014" w:type="dxa"/>
            <w:tcBorders>
              <w:top w:val="single" w:sz="4" w:space="0" w:color="000000"/>
              <w:left w:val="single" w:sz="4" w:space="0" w:color="000000"/>
              <w:bottom w:val="single" w:sz="4" w:space="0" w:color="000000"/>
            </w:tcBorders>
            <w:shd w:fill="auto" w:val="clear"/>
          </w:tcPr>
          <w:p>
            <w:pPr>
              <w:pStyle w:val="Normal"/>
              <w:spacing w:before="20" w:after="20"/>
              <w:jc w:val="center"/>
              <w:rPr/>
            </w:pPr>
            <w:r>
              <w:rPr/>
              <w:t>NAME</w:t>
            </w:r>
          </w:p>
        </w:tc>
        <w:tc>
          <w:tcPr>
            <w:tcW w:w="398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20" w:after="20"/>
              <w:jc w:val="center"/>
              <w:rPr/>
            </w:pPr>
            <w:r>
              <w:rPr/>
              <w:t>POST TITLE</w:t>
            </w:r>
          </w:p>
        </w:tc>
      </w:tr>
      <w:tr>
        <w:trPr/>
        <w:tc>
          <w:tcPr>
            <w:tcW w:w="2065" w:type="dxa"/>
            <w:tcBorders>
              <w:top w:val="single" w:sz="4" w:space="0" w:color="000000"/>
              <w:left w:val="single" w:sz="4" w:space="0" w:color="000000"/>
              <w:bottom w:val="single" w:sz="4" w:space="0" w:color="000000"/>
            </w:tcBorders>
            <w:shd w:fill="auto" w:val="clear"/>
          </w:tcPr>
          <w:p>
            <w:pPr>
              <w:pStyle w:val="Normal"/>
              <w:rPr/>
            </w:pPr>
            <w:r>
              <w:rPr/>
              <w:t>PREPARED</w:t>
            </w:r>
          </w:p>
          <w:p>
            <w:pPr>
              <w:pStyle w:val="Normal"/>
              <w:rPr/>
            </w:pPr>
            <w:r>
              <w:rPr/>
            </w:r>
          </w:p>
        </w:tc>
        <w:tc>
          <w:tcPr>
            <w:tcW w:w="2010" w:type="dxa"/>
            <w:tcBorders>
              <w:top w:val="single" w:sz="4" w:space="0" w:color="000000"/>
              <w:left w:val="single" w:sz="4" w:space="0" w:color="000000"/>
              <w:bottom w:val="single" w:sz="4" w:space="0" w:color="000000"/>
            </w:tcBorders>
            <w:shd w:fill="auto" w:val="clear"/>
          </w:tcPr>
          <w:p>
            <w:pPr>
              <w:pStyle w:val="Normal"/>
              <w:rPr/>
            </w:pPr>
            <w:r>
              <w:rPr/>
              <w:t>September 2017</w:t>
            </w:r>
          </w:p>
        </w:tc>
        <w:tc>
          <w:tcPr>
            <w:tcW w:w="2014" w:type="dxa"/>
            <w:tcBorders>
              <w:top w:val="single" w:sz="4" w:space="0" w:color="000000"/>
              <w:left w:val="single" w:sz="4" w:space="0" w:color="000000"/>
              <w:bottom w:val="single" w:sz="4" w:space="0" w:color="000000"/>
            </w:tcBorders>
            <w:shd w:fill="auto" w:val="clear"/>
          </w:tcPr>
          <w:p>
            <w:pPr>
              <w:pStyle w:val="Normal"/>
              <w:jc w:val="center"/>
              <w:rPr/>
            </w:pPr>
            <w:r>
              <w:rPr/>
              <w:t>SSH</w:t>
            </w:r>
          </w:p>
        </w:tc>
        <w:tc>
          <w:tcPr>
            <w:tcW w:w="3988"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HR Manager</w:t>
            </w:r>
          </w:p>
        </w:tc>
      </w:tr>
      <w:tr>
        <w:trPr/>
        <w:tc>
          <w:tcPr>
            <w:tcW w:w="2065" w:type="dxa"/>
            <w:tcBorders>
              <w:top w:val="single" w:sz="4" w:space="0" w:color="000000"/>
              <w:left w:val="single" w:sz="4" w:space="0" w:color="000000"/>
              <w:bottom w:val="single" w:sz="4" w:space="0" w:color="000000"/>
            </w:tcBorders>
            <w:shd w:fill="auto" w:val="clear"/>
          </w:tcPr>
          <w:p>
            <w:pPr>
              <w:pStyle w:val="Normal"/>
              <w:rPr/>
            </w:pPr>
            <w:r>
              <w:rPr/>
              <w:t>REVIEWED</w:t>
            </w:r>
          </w:p>
          <w:p>
            <w:pPr>
              <w:pStyle w:val="Normal"/>
              <w:rPr/>
            </w:pPr>
            <w:r>
              <w:rPr/>
            </w:r>
          </w:p>
        </w:tc>
        <w:tc>
          <w:tcPr>
            <w:tcW w:w="2010" w:type="dxa"/>
            <w:tcBorders>
              <w:top w:val="single" w:sz="4" w:space="0" w:color="000000"/>
              <w:left w:val="single" w:sz="4" w:space="0" w:color="000000"/>
              <w:bottom w:val="single" w:sz="4" w:space="0" w:color="000000"/>
            </w:tcBorders>
            <w:shd w:fill="auto" w:val="clear"/>
          </w:tcPr>
          <w:p>
            <w:pPr>
              <w:pStyle w:val="Normal"/>
              <w:snapToGrid w:val="false"/>
              <w:rPr/>
            </w:pPr>
            <w:r>
              <w:rPr/>
            </w:r>
          </w:p>
        </w:tc>
        <w:tc>
          <w:tcPr>
            <w:tcW w:w="2014" w:type="dxa"/>
            <w:tcBorders>
              <w:top w:val="single" w:sz="4" w:space="0" w:color="000000"/>
              <w:left w:val="single" w:sz="4" w:space="0" w:color="000000"/>
              <w:bottom w:val="single" w:sz="4" w:space="0" w:color="000000"/>
            </w:tcBorders>
            <w:shd w:fill="auto" w:val="clear"/>
          </w:tcPr>
          <w:p>
            <w:pPr>
              <w:pStyle w:val="Normal"/>
              <w:snapToGrid w:val="false"/>
              <w:rPr/>
            </w:pPr>
            <w:r>
              <w:rPr/>
            </w:r>
          </w:p>
        </w:tc>
        <w:tc>
          <w:tcPr>
            <w:tcW w:w="39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
          </w:p>
        </w:tc>
      </w:tr>
    </w:tbl>
    <w:p>
      <w:pPr>
        <w:pStyle w:val="Normal"/>
        <w:rPr/>
      </w:pPr>
      <w:r>
        <w:rPr/>
      </w:r>
    </w:p>
    <w:p>
      <w:pPr>
        <w:pStyle w:val="Normal"/>
        <w:rPr/>
      </w:pPr>
      <w:r>
        <w:rPr/>
      </w:r>
    </w:p>
    <w:p>
      <w:pPr>
        <w:pStyle w:val="Normal"/>
        <w:rPr/>
      </w:pPr>
      <w:r>
        <w:rPr/>
      </w:r>
      <w:r>
        <w:br w:type="page"/>
      </w:r>
    </w:p>
    <w:p>
      <w:pPr>
        <w:pStyle w:val="Title"/>
        <w:rPr>
          <w:rFonts w:ascii="Arial" w:hAnsi="Arial" w:cs="Arial"/>
          <w:szCs w:val="28"/>
          <w:u w:val="single"/>
        </w:rPr>
      </w:pPr>
      <w:r>
        <w:rPr>
          <w:rFonts w:cs="Arial" w:ascii="Arial" w:hAnsi="Arial"/>
          <w:szCs w:val="28"/>
          <w:u w:val="single"/>
        </w:rPr>
        <w:t>PERSON SPECIFICATION</w:t>
      </w:r>
    </w:p>
    <w:p>
      <w:pPr>
        <w:pStyle w:val="Normal"/>
        <w:jc w:val="both"/>
        <w:rPr>
          <w:rFonts w:cs="Arial"/>
          <w:u w:val="single"/>
        </w:rPr>
      </w:pPr>
      <w:r>
        <w:rPr>
          <w:rFonts w:cs="Arial"/>
          <w:u w:val="single"/>
        </w:rPr>
      </w:r>
    </w:p>
    <w:p>
      <w:pPr>
        <w:pStyle w:val="Normal"/>
        <w:jc w:val="both"/>
        <w:rPr/>
      </w:pPr>
      <w:r>
        <w:rPr>
          <w:rFonts w:cs="Calibri" w:ascii="Calibri" w:hAnsi="Calibri"/>
          <w:bCs/>
        </w:rPr>
        <w:t xml:space="preserve">PLEASE NOTE: The Selection panel will use the criteria below </w:t>
      </w:r>
      <w:r>
        <w:rPr>
          <w:rFonts w:cs="Calibri" w:ascii="Calibri" w:hAnsi="Calibri"/>
          <w:b/>
          <w:bCs/>
          <w:u w:val="single"/>
        </w:rPr>
        <w:t>(those emboldened)</w:t>
      </w:r>
      <w:r>
        <w:rPr>
          <w:rFonts w:cs="Calibri" w:ascii="Calibri" w:hAnsi="Calibri"/>
          <w:b/>
          <w:bCs/>
        </w:rPr>
        <w:t xml:space="preserve"> </w:t>
      </w:r>
      <w:r>
        <w:rPr>
          <w:rFonts w:cs="Calibri" w:ascii="Calibri" w:hAnsi="Calibri"/>
          <w:bCs/>
        </w:rPr>
        <w:t>to shortlist. Only those applicants who demonstrate that they meet those criteria (to the panel’s satisfaction) will be invited to interview.</w:t>
      </w:r>
    </w:p>
    <w:p>
      <w:pPr>
        <w:pStyle w:val="Title"/>
        <w:jc w:val="left"/>
        <w:rPr/>
      </w:pPr>
      <w:r>
        <w:rPr/>
        <w:t xml:space="preserve">                </w:t>
      </w:r>
      <w:r>
        <w:rPr/>
        <w:tab/>
      </w:r>
    </w:p>
    <w:tbl>
      <w:tblPr>
        <w:tblW w:w="9842" w:type="dxa"/>
        <w:jc w:val="left"/>
        <w:tblInd w:w="0" w:type="dxa"/>
        <w:tblCellMar>
          <w:top w:w="0" w:type="dxa"/>
          <w:left w:w="108" w:type="dxa"/>
          <w:bottom w:w="0" w:type="dxa"/>
          <w:right w:w="108" w:type="dxa"/>
        </w:tblCellMar>
      </w:tblPr>
      <w:tblGrid>
        <w:gridCol w:w="1908"/>
        <w:gridCol w:w="3621"/>
        <w:gridCol w:w="2979"/>
        <w:gridCol w:w="1334"/>
      </w:tblGrid>
      <w:tr>
        <w:trPr/>
        <w:tc>
          <w:tcPr>
            <w:tcW w:w="1908" w:type="dxa"/>
            <w:tcBorders>
              <w:top w:val="single" w:sz="6" w:space="0" w:color="000000"/>
              <w:left w:val="single" w:sz="6" w:space="0" w:color="000000"/>
              <w:bottom w:val="single" w:sz="6" w:space="0" w:color="000000"/>
            </w:tcBorders>
            <w:shd w:fill="E5DFEC" w:val="clear"/>
          </w:tcPr>
          <w:p>
            <w:pPr>
              <w:pStyle w:val="Normal"/>
              <w:snapToGrid w:val="false"/>
              <w:jc w:val="center"/>
              <w:rPr>
                <w:b/>
                <w:b/>
              </w:rPr>
            </w:pPr>
            <w:r>
              <w:rPr>
                <w:b/>
              </w:rPr>
            </w:r>
          </w:p>
        </w:tc>
        <w:tc>
          <w:tcPr>
            <w:tcW w:w="3621" w:type="dxa"/>
            <w:tcBorders>
              <w:top w:val="single" w:sz="6" w:space="0" w:color="000000"/>
              <w:left w:val="single" w:sz="6" w:space="0" w:color="000000"/>
              <w:bottom w:val="single" w:sz="6" w:space="0" w:color="000000"/>
            </w:tcBorders>
            <w:shd w:fill="E5DFEC" w:val="clear"/>
          </w:tcPr>
          <w:p>
            <w:pPr>
              <w:pStyle w:val="Normal"/>
              <w:jc w:val="center"/>
              <w:rPr>
                <w:b/>
                <w:b/>
              </w:rPr>
            </w:pPr>
            <w:r>
              <w:rPr>
                <w:b/>
              </w:rPr>
              <w:t>Selection Criteria</w:t>
            </w:r>
          </w:p>
          <w:p>
            <w:pPr>
              <w:pStyle w:val="Normal"/>
              <w:jc w:val="center"/>
              <w:rPr>
                <w:b/>
                <w:b/>
              </w:rPr>
            </w:pPr>
            <w:r>
              <w:rPr>
                <w:b/>
              </w:rPr>
              <w:t>Essential</w:t>
            </w:r>
          </w:p>
        </w:tc>
        <w:tc>
          <w:tcPr>
            <w:tcW w:w="2979" w:type="dxa"/>
            <w:tcBorders>
              <w:top w:val="single" w:sz="6" w:space="0" w:color="000000"/>
              <w:left w:val="single" w:sz="6" w:space="0" w:color="000000"/>
              <w:bottom w:val="single" w:sz="6" w:space="0" w:color="000000"/>
            </w:tcBorders>
            <w:shd w:fill="E5DFEC" w:val="clear"/>
          </w:tcPr>
          <w:p>
            <w:pPr>
              <w:pStyle w:val="Normal"/>
              <w:jc w:val="center"/>
              <w:rPr>
                <w:b/>
                <w:b/>
              </w:rPr>
            </w:pPr>
            <w:r>
              <w:rPr>
                <w:b/>
              </w:rPr>
              <w:t>Selection Criteria</w:t>
            </w:r>
          </w:p>
          <w:p>
            <w:pPr>
              <w:pStyle w:val="Normal"/>
              <w:jc w:val="center"/>
              <w:rPr>
                <w:b/>
                <w:b/>
              </w:rPr>
            </w:pPr>
            <w:r>
              <w:rPr>
                <w:b/>
              </w:rPr>
              <w:t>Desirable</w:t>
            </w:r>
          </w:p>
        </w:tc>
        <w:tc>
          <w:tcPr>
            <w:tcW w:w="1334" w:type="dxa"/>
            <w:tcBorders>
              <w:top w:val="single" w:sz="6" w:space="0" w:color="000000"/>
              <w:left w:val="single" w:sz="6" w:space="0" w:color="000000"/>
              <w:bottom w:val="single" w:sz="6" w:space="0" w:color="000000"/>
              <w:right w:val="single" w:sz="6" w:space="0" w:color="000000"/>
            </w:tcBorders>
            <w:shd w:fill="E5DFEC" w:val="clear"/>
          </w:tcPr>
          <w:p>
            <w:pPr>
              <w:pStyle w:val="Normal"/>
              <w:jc w:val="center"/>
              <w:rPr>
                <w:b/>
                <w:b/>
              </w:rPr>
            </w:pPr>
            <w:r>
              <w:rPr>
                <w:b/>
              </w:rPr>
              <w:t>How Assessed</w:t>
            </w:r>
          </w:p>
        </w:tc>
      </w:tr>
      <w:tr>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Education &amp; Qualifications</w:t>
            </w:r>
          </w:p>
        </w:tc>
        <w:tc>
          <w:tcPr>
            <w:tcW w:w="3621" w:type="dxa"/>
            <w:tcBorders>
              <w:top w:val="single" w:sz="6" w:space="0" w:color="000000"/>
              <w:left w:val="single" w:sz="6" w:space="0" w:color="000000"/>
              <w:bottom w:val="single" w:sz="6" w:space="0" w:color="000000"/>
            </w:tcBorders>
            <w:shd w:fill="auto" w:val="clear"/>
          </w:tcPr>
          <w:p>
            <w:pPr>
              <w:pStyle w:val="Normal"/>
              <w:tabs>
                <w:tab w:val="clear" w:pos="720"/>
                <w:tab w:val="left" w:pos="342" w:leader="none"/>
              </w:tabs>
              <w:snapToGrid w:val="false"/>
              <w:rPr>
                <w:b/>
                <w:b/>
              </w:rPr>
            </w:pPr>
            <w:r>
              <w:rPr>
                <w:b/>
              </w:rPr>
            </w:r>
          </w:p>
          <w:p>
            <w:pPr>
              <w:pStyle w:val="Normal"/>
              <w:tabs>
                <w:tab w:val="clear" w:pos="720"/>
                <w:tab w:val="left" w:pos="342" w:leader="none"/>
              </w:tabs>
              <w:rPr>
                <w:b/>
                <w:b/>
              </w:rPr>
            </w:pPr>
            <w:r>
              <w:rPr>
                <w:b/>
              </w:rPr>
              <w:t>Literacy and Numeracy skills equivalent to Level 2 of the National Qualification &amp; Credit Framework</w:t>
            </w:r>
          </w:p>
          <w:p>
            <w:pPr>
              <w:pStyle w:val="Normal"/>
              <w:tabs>
                <w:tab w:val="clear" w:pos="720"/>
                <w:tab w:val="left" w:pos="342" w:leader="none"/>
              </w:tabs>
              <w:rPr>
                <w:b/>
                <w:b/>
              </w:rPr>
            </w:pPr>
            <w:r>
              <w:rPr>
                <w:b/>
              </w:rPr>
            </w:r>
          </w:p>
          <w:p>
            <w:pPr>
              <w:pStyle w:val="Normal"/>
              <w:tabs>
                <w:tab w:val="clear" w:pos="720"/>
                <w:tab w:val="left" w:pos="342" w:leader="none"/>
              </w:tabs>
              <w:rPr/>
            </w:pPr>
            <w:r>
              <w:rPr>
                <w:b/>
              </w:rPr>
              <w:t>Training in relevant learning strategies e.g. literacy/ a Key Stage and/or training in a particular curriculum or learning area e.g. bi-lingual, sign language, dyslexia, ICT, maths, English, CACHE etc.</w:t>
            </w:r>
            <w:r>
              <w:rPr/>
              <w:t xml:space="preserve"> </w:t>
            </w:r>
          </w:p>
          <w:p>
            <w:pPr>
              <w:pStyle w:val="Normal"/>
              <w:tabs>
                <w:tab w:val="clear" w:pos="720"/>
                <w:tab w:val="left" w:pos="342" w:leader="none"/>
              </w:tabs>
              <w:rPr/>
            </w:pPr>
            <w:r>
              <w:rPr/>
            </w:r>
          </w:p>
          <w:p>
            <w:pPr>
              <w:pStyle w:val="Normal"/>
              <w:tabs>
                <w:tab w:val="clear" w:pos="720"/>
                <w:tab w:val="left" w:pos="342" w:leader="none"/>
              </w:tabs>
              <w:rPr/>
            </w:pPr>
            <w:r>
              <w:rPr/>
            </w:r>
          </w:p>
        </w:tc>
        <w:tc>
          <w:tcPr>
            <w:tcW w:w="2979" w:type="dxa"/>
            <w:tcBorders>
              <w:top w:val="single" w:sz="6" w:space="0" w:color="000000"/>
              <w:left w:val="single" w:sz="6" w:space="0" w:color="000000"/>
              <w:bottom w:val="single" w:sz="6" w:space="0" w:color="000000"/>
            </w:tcBorders>
            <w:shd w:fill="auto" w:val="clear"/>
          </w:tcPr>
          <w:p>
            <w:pPr>
              <w:pStyle w:val="Header"/>
              <w:tabs>
                <w:tab w:val="clear" w:pos="4153"/>
                <w:tab w:val="clear" w:pos="8306"/>
              </w:tabs>
              <w:snapToGrid w:val="false"/>
              <w:rPr>
                <w:sz w:val="24"/>
                <w:szCs w:val="24"/>
              </w:rPr>
            </w:pPr>
            <w:r>
              <w:rPr>
                <w:sz w:val="24"/>
                <w:szCs w:val="24"/>
              </w:rPr>
            </w:r>
          </w:p>
          <w:p>
            <w:pPr>
              <w:pStyle w:val="Header"/>
              <w:tabs>
                <w:tab w:val="clear" w:pos="4153"/>
                <w:tab w:val="clear" w:pos="8306"/>
              </w:tabs>
              <w:rPr>
                <w:sz w:val="24"/>
                <w:szCs w:val="24"/>
              </w:rPr>
            </w:pPr>
            <w:r>
              <w:rPr>
                <w:sz w:val="24"/>
                <w:szCs w:val="24"/>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rPr/>
            </w:pPr>
            <w:r>
              <w:rPr/>
            </w:r>
          </w:p>
          <w:p>
            <w:pPr>
              <w:pStyle w:val="Normal"/>
              <w:jc w:val="center"/>
              <w:rPr/>
            </w:pPr>
            <w:r>
              <w:rPr/>
            </w:r>
          </w:p>
          <w:p>
            <w:pPr>
              <w:pStyle w:val="Normal"/>
              <w:jc w:val="center"/>
              <w:rPr/>
            </w:pPr>
            <w:r>
              <w:rPr/>
            </w:r>
          </w:p>
        </w:tc>
      </w:tr>
      <w:tr>
        <w:trPr>
          <w:trHeight w:val="847" w:hRule="atLeast"/>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Experience</w:t>
            </w:r>
          </w:p>
        </w:tc>
        <w:tc>
          <w:tcPr>
            <w:tcW w:w="3621"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ListParagraph"/>
              <w:ind w:left="0" w:right="0" w:hanging="0"/>
              <w:rPr>
                <w:rFonts w:ascii="Arial" w:hAnsi="Arial" w:cs="Arial"/>
                <w:sz w:val="22"/>
                <w:szCs w:val="22"/>
              </w:rPr>
            </w:pPr>
            <w:r>
              <w:rPr>
                <w:rFonts w:cs="Arial" w:ascii="Arial" w:hAnsi="Arial"/>
                <w:sz w:val="22"/>
                <w:szCs w:val="22"/>
              </w:rPr>
              <w:t>Extensive experience of supporting students with learning activities on a 1:1 basis or small groups</w:t>
            </w:r>
          </w:p>
          <w:p>
            <w:pPr>
              <w:pStyle w:val="ListParagraph"/>
              <w:ind w:left="0" w:right="0" w:hanging="0"/>
              <w:rPr>
                <w:rFonts w:ascii="Arial" w:hAnsi="Arial" w:cs="Arial"/>
                <w:b w:val="false"/>
                <w:b w:val="false"/>
              </w:rPr>
            </w:pPr>
            <w:r>
              <w:rPr>
                <w:rFonts w:cs="Arial" w:ascii="Arial" w:hAnsi="Arial"/>
                <w:b w:val="false"/>
              </w:rPr>
            </w:r>
          </w:p>
          <w:p>
            <w:pPr>
              <w:pStyle w:val="Normal"/>
              <w:rPr>
                <w:b/>
                <w:b/>
              </w:rPr>
            </w:pPr>
            <w:r>
              <w:rPr>
                <w:b/>
              </w:rPr>
              <w:t>Experience and proven track record of working with external parties including families/carers to solve issues</w:t>
            </w:r>
          </w:p>
          <w:p>
            <w:pPr>
              <w:pStyle w:val="Normal"/>
              <w:rPr/>
            </w:pPr>
            <w:r>
              <w:rPr/>
            </w:r>
          </w:p>
          <w:p>
            <w:pPr>
              <w:pStyle w:val="Normal"/>
              <w:rPr>
                <w:b/>
                <w:b/>
              </w:rPr>
            </w:pPr>
            <w:r>
              <w:rPr>
                <w:b/>
              </w:rPr>
              <w:t>Some experience of delivering under a scheme of supervision</w:t>
            </w:r>
          </w:p>
          <w:p>
            <w:pPr>
              <w:pStyle w:val="Normal"/>
              <w:rPr>
                <w:b/>
                <w:b/>
              </w:rPr>
            </w:pPr>
            <w:r>
              <w:rPr>
                <w:b/>
              </w:rPr>
            </w:r>
          </w:p>
          <w:p>
            <w:pPr>
              <w:pStyle w:val="Normal"/>
              <w:rPr>
                <w:b/>
                <w:b/>
              </w:rPr>
            </w:pPr>
            <w:r>
              <w:rPr>
                <w:b/>
              </w:rPr>
              <w:t>Experience of producing detailed assessments and analysis of students’ behaviour</w:t>
            </w:r>
          </w:p>
          <w:p>
            <w:pPr>
              <w:pStyle w:val="Normal"/>
              <w:rPr>
                <w:b/>
                <w:b/>
              </w:rPr>
            </w:pPr>
            <w:r>
              <w:rPr>
                <w:b/>
              </w:rPr>
            </w:r>
          </w:p>
          <w:p>
            <w:pPr>
              <w:pStyle w:val="Normal"/>
              <w:rPr>
                <w:b/>
                <w:b/>
              </w:rPr>
            </w:pPr>
            <w:r>
              <w:rPr>
                <w:b/>
              </w:rPr>
              <w:t>Experience of successfully implementing interventions in supporting social, emotional and behavioural needs</w:t>
            </w:r>
          </w:p>
          <w:p>
            <w:pPr>
              <w:pStyle w:val="Normal"/>
              <w:rPr>
                <w:b/>
                <w:b/>
              </w:rPr>
            </w:pPr>
            <w:r>
              <w:rPr>
                <w:b/>
              </w:rPr>
            </w:r>
          </w:p>
          <w:p>
            <w:pPr>
              <w:pStyle w:val="Normal"/>
              <w:rPr/>
            </w:pPr>
            <w:r>
              <w:rPr/>
              <w:t>Experience of preparing/contributing to  learning resources to support learning programmes</w:t>
            </w:r>
          </w:p>
          <w:p>
            <w:pPr>
              <w:pStyle w:val="Normal"/>
              <w:rPr/>
            </w:pPr>
            <w:r>
              <w:rPr/>
            </w:r>
          </w:p>
          <w:p>
            <w:pPr>
              <w:pStyle w:val="Normal"/>
              <w:tabs>
                <w:tab w:val="clear" w:pos="720"/>
                <w:tab w:val="left" w:pos="429" w:leader="none"/>
              </w:tabs>
              <w:rPr/>
            </w:pPr>
            <w:r>
              <w:rPr/>
              <w:t>Experience of effectively using ICT and other technology and resolving straightforward problems in their operation</w:t>
            </w:r>
          </w:p>
        </w:tc>
        <w:tc>
          <w:tcPr>
            <w:tcW w:w="2979"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pPr>
            <w:r>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tc>
      </w:tr>
      <w:tr>
        <w:trPr>
          <w:trHeight w:val="1114" w:hRule="atLeast"/>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Skills &amp; Abilities</w:t>
            </w:r>
          </w:p>
        </w:tc>
        <w:tc>
          <w:tcPr>
            <w:tcW w:w="3621"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b/>
                <w:b/>
              </w:rPr>
            </w:pPr>
            <w:r>
              <w:rPr>
                <w:b/>
              </w:rPr>
              <w:t>Able to use own transport to drive to various locations within the Oldham/Manchester area.</w:t>
            </w:r>
          </w:p>
          <w:p>
            <w:pPr>
              <w:pStyle w:val="Normal"/>
              <w:rPr/>
            </w:pPr>
            <w:r>
              <w:rPr/>
            </w:r>
          </w:p>
          <w:p>
            <w:pPr>
              <w:pStyle w:val="Normal"/>
              <w:tabs>
                <w:tab w:val="clear" w:pos="720"/>
                <w:tab w:val="left" w:pos="429" w:leader="none"/>
              </w:tabs>
              <w:rPr/>
            </w:pPr>
            <w:r>
              <w:rPr/>
              <w:t>Interpersonal skills to build effective working relationships with students and colleagues</w:t>
            </w:r>
          </w:p>
          <w:p>
            <w:pPr>
              <w:pStyle w:val="Normal"/>
              <w:tabs>
                <w:tab w:val="clear" w:pos="720"/>
                <w:tab w:val="left" w:pos="429" w:leader="none"/>
              </w:tabs>
              <w:rPr/>
            </w:pPr>
            <w:r>
              <w:rPr/>
            </w:r>
          </w:p>
          <w:p>
            <w:pPr>
              <w:pStyle w:val="Normal"/>
              <w:tabs>
                <w:tab w:val="clear" w:pos="720"/>
                <w:tab w:val="left" w:pos="429" w:leader="none"/>
              </w:tabs>
              <w:rPr/>
            </w:pPr>
            <w:r>
              <w:rPr/>
              <w:t>Communication skills to liaise sensitively and effectively with parents and carers</w:t>
            </w:r>
          </w:p>
          <w:p>
            <w:pPr>
              <w:pStyle w:val="Normal"/>
              <w:tabs>
                <w:tab w:val="clear" w:pos="720"/>
                <w:tab w:val="left" w:pos="429" w:leader="none"/>
              </w:tabs>
              <w:rPr/>
            </w:pPr>
            <w:r>
              <w:rPr/>
            </w:r>
          </w:p>
          <w:p>
            <w:pPr>
              <w:pStyle w:val="Normal"/>
              <w:tabs>
                <w:tab w:val="clear" w:pos="720"/>
                <w:tab w:val="left" w:pos="429" w:leader="none"/>
              </w:tabs>
              <w:rPr/>
            </w:pPr>
            <w:r>
              <w:rPr/>
              <w:t xml:space="preserve">Creative skills to contribute to and adapt learning activities relating to the National Curriculum and other learning objectives  </w:t>
            </w:r>
          </w:p>
          <w:p>
            <w:pPr>
              <w:pStyle w:val="Normal"/>
              <w:tabs>
                <w:tab w:val="clear" w:pos="720"/>
                <w:tab w:val="left" w:pos="429" w:leader="none"/>
              </w:tabs>
              <w:rPr/>
            </w:pPr>
            <w:r>
              <w:rPr/>
            </w:r>
          </w:p>
          <w:p>
            <w:pPr>
              <w:pStyle w:val="Normal"/>
              <w:tabs>
                <w:tab w:val="clear" w:pos="720"/>
                <w:tab w:val="left" w:pos="429" w:leader="none"/>
              </w:tabs>
              <w:rPr/>
            </w:pPr>
            <w:r>
              <w:rPr/>
              <w:t>To promote a positive ethos and good role model</w:t>
            </w:r>
          </w:p>
          <w:p>
            <w:pPr>
              <w:pStyle w:val="Normal"/>
              <w:tabs>
                <w:tab w:val="clear" w:pos="720"/>
                <w:tab w:val="left" w:pos="429" w:leader="none"/>
              </w:tabs>
              <w:rPr/>
            </w:pPr>
            <w:r>
              <w:rPr/>
            </w:r>
          </w:p>
          <w:p>
            <w:pPr>
              <w:pStyle w:val="Normal"/>
              <w:tabs>
                <w:tab w:val="clear" w:pos="720"/>
                <w:tab w:val="left" w:pos="429" w:leader="none"/>
              </w:tabs>
              <w:rPr/>
            </w:pPr>
            <w:r>
              <w:rPr/>
              <w:t>Team-work skills to work collaboratively with colleagues, understanding classroom roles and responsibilities and your own position within these</w:t>
            </w:r>
          </w:p>
          <w:p>
            <w:pPr>
              <w:pStyle w:val="Normal"/>
              <w:tabs>
                <w:tab w:val="clear" w:pos="720"/>
                <w:tab w:val="left" w:pos="429" w:leader="none"/>
              </w:tabs>
              <w:rPr/>
            </w:pPr>
            <w:r>
              <w:rPr/>
            </w:r>
          </w:p>
          <w:p>
            <w:pPr>
              <w:pStyle w:val="Normal"/>
              <w:tabs>
                <w:tab w:val="clear" w:pos="720"/>
                <w:tab w:val="left" w:pos="429" w:leader="none"/>
              </w:tabs>
              <w:rPr/>
            </w:pPr>
            <w:r>
              <w:rPr/>
              <w:t>To continually improve own practice/knowledge through self-evaluation and learning from others</w:t>
            </w:r>
          </w:p>
          <w:p>
            <w:pPr>
              <w:pStyle w:val="Normal"/>
              <w:tabs>
                <w:tab w:val="clear" w:pos="720"/>
                <w:tab w:val="left" w:pos="429" w:leader="none"/>
              </w:tabs>
              <w:rPr/>
            </w:pPr>
            <w:r>
              <w:rPr/>
            </w:r>
          </w:p>
        </w:tc>
        <w:tc>
          <w:tcPr>
            <w:tcW w:w="2979" w:type="dxa"/>
            <w:tcBorders>
              <w:top w:val="single" w:sz="6" w:space="0" w:color="000000"/>
              <w:left w:val="single" w:sz="6" w:space="0" w:color="000000"/>
              <w:bottom w:val="single" w:sz="6" w:space="0" w:color="000000"/>
            </w:tcBorders>
            <w:shd w:fill="auto" w:val="clear"/>
          </w:tcPr>
          <w:p>
            <w:pPr>
              <w:pStyle w:val="Normal"/>
              <w:snapToGrid w:val="false"/>
              <w:jc w:val="center"/>
              <w:rPr>
                <w:b/>
                <w:b/>
              </w:rPr>
            </w:pPr>
            <w:r>
              <w:rPr>
                <w:b/>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b/>
                <w:b/>
              </w:rPr>
            </w:pPr>
            <w:r>
              <w:rPr>
                <w:b/>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AF/I</w:t>
            </w:r>
          </w:p>
          <w:p>
            <w:pPr>
              <w:pStyle w:val="Normal"/>
              <w:jc w:val="center"/>
              <w:rPr/>
            </w:pPr>
            <w:r>
              <w:rPr/>
            </w:r>
          </w:p>
          <w:p>
            <w:pPr>
              <w:pStyle w:val="Normal"/>
              <w:jc w:val="center"/>
              <w:rPr/>
            </w:pPr>
            <w:r>
              <w:rPr/>
            </w:r>
          </w:p>
          <w:p>
            <w:pPr>
              <w:pStyle w:val="Normal"/>
              <w:jc w:val="center"/>
              <w:rPr/>
            </w:pPr>
            <w:r>
              <w:rPr/>
            </w:r>
          </w:p>
        </w:tc>
      </w:tr>
      <w:tr>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Knowledge</w:t>
            </w:r>
          </w:p>
        </w:tc>
        <w:tc>
          <w:tcPr>
            <w:tcW w:w="3621"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pPr>
            <w:r>
              <w:rPr/>
              <w:t>Knowledge of relevant policies/codes of practice/ and awareness of relevant legislation regarding SEND</w:t>
            </w:r>
            <w:r>
              <w:rPr>
                <w:color w:val="0000FF"/>
              </w:rPr>
              <w:t xml:space="preserve"> </w:t>
            </w:r>
            <w:r>
              <w:rPr/>
              <w:t>and the  responsibilities of the role within these for promoting students’ welfare</w:t>
            </w:r>
          </w:p>
          <w:p>
            <w:pPr>
              <w:pStyle w:val="Normal"/>
              <w:rPr/>
            </w:pPr>
            <w:r>
              <w:rPr/>
            </w:r>
          </w:p>
          <w:p>
            <w:pPr>
              <w:pStyle w:val="Normal"/>
              <w:rPr/>
            </w:pPr>
            <w:r>
              <w:rPr/>
              <w:t>Knowledge of national stage curriculum and other relevant learning programmes/strategies</w:t>
            </w:r>
          </w:p>
          <w:p>
            <w:pPr>
              <w:pStyle w:val="Normal"/>
              <w:rPr/>
            </w:pPr>
            <w:r>
              <w:rPr/>
            </w:r>
          </w:p>
          <w:p>
            <w:pPr>
              <w:pStyle w:val="Normal"/>
              <w:rPr/>
            </w:pPr>
            <w:r>
              <w:rPr/>
              <w:t>Understanding of the principles of child development and learning processes</w:t>
            </w:r>
          </w:p>
          <w:p>
            <w:pPr>
              <w:pStyle w:val="Normal"/>
              <w:tabs>
                <w:tab w:val="clear" w:pos="720"/>
                <w:tab w:val="left" w:pos="429" w:leader="none"/>
              </w:tabs>
              <w:rPr>
                <w:color w:val="000000"/>
              </w:rPr>
            </w:pPr>
            <w:r>
              <w:rPr>
                <w:color w:val="000000"/>
              </w:rPr>
            </w:r>
          </w:p>
          <w:p>
            <w:pPr>
              <w:pStyle w:val="Normal"/>
              <w:tabs>
                <w:tab w:val="clear" w:pos="720"/>
                <w:tab w:val="left" w:pos="429" w:leader="none"/>
              </w:tabs>
              <w:rPr/>
            </w:pPr>
            <w:r>
              <w:rPr/>
              <w:t>Understanding of equal opportunities and inclusion</w:t>
            </w:r>
            <w:r>
              <w:rPr>
                <w:color w:val="000000"/>
              </w:rPr>
              <w:t xml:space="preserve"> and how it applies in a school setting</w:t>
            </w:r>
          </w:p>
          <w:p>
            <w:pPr>
              <w:pStyle w:val="Normal"/>
              <w:tabs>
                <w:tab w:val="clear" w:pos="720"/>
                <w:tab w:val="left" w:pos="429" w:leader="none"/>
              </w:tabs>
              <w:rPr>
                <w:color w:val="000000"/>
              </w:rPr>
            </w:pPr>
            <w:r>
              <w:rPr>
                <w:color w:val="000000"/>
              </w:rPr>
            </w:r>
          </w:p>
          <w:p>
            <w:pPr>
              <w:pStyle w:val="Normal"/>
              <w:rPr>
                <w:lang w:val="en-US"/>
              </w:rPr>
            </w:pPr>
            <w:r>
              <w:rPr>
                <w:lang w:val="en-US"/>
              </w:rPr>
              <w:t>Understanding of how safeguarding and confidentiality are important when working with children and young people</w:t>
            </w:r>
          </w:p>
          <w:p>
            <w:pPr>
              <w:pStyle w:val="Normal"/>
              <w:rPr/>
            </w:pPr>
            <w:r>
              <w:rPr/>
            </w:r>
          </w:p>
        </w:tc>
        <w:tc>
          <w:tcPr>
            <w:tcW w:w="2979" w:type="dxa"/>
            <w:tcBorders>
              <w:top w:val="single" w:sz="6" w:space="0" w:color="000000"/>
              <w:left w:val="single" w:sz="6" w:space="0" w:color="000000"/>
              <w:bottom w:val="single" w:sz="6" w:space="0" w:color="000000"/>
            </w:tcBorders>
            <w:shd w:fill="auto" w:val="clear"/>
          </w:tcPr>
          <w:p>
            <w:pPr>
              <w:pStyle w:val="Normal"/>
              <w:snapToGrid w:val="false"/>
              <w:jc w:val="center"/>
              <w:rPr>
                <w:b/>
                <w:b/>
              </w:rPr>
            </w:pPr>
            <w:r>
              <w:rPr>
                <w:b/>
              </w:rPr>
            </w:r>
          </w:p>
          <w:p>
            <w:pPr>
              <w:pStyle w:val="Normal"/>
              <w:rPr/>
            </w:pPr>
            <w:r>
              <w:rPr/>
              <w:t>Knowledge of a Community language, e.g. British Sign Language, Urdu</w:t>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AF/I</w:t>
            </w:r>
          </w:p>
          <w:p>
            <w:pPr>
              <w:pStyle w:val="Normal"/>
              <w:jc w:val="center"/>
              <w:rPr/>
            </w:pPr>
            <w:r>
              <w:rPr/>
            </w:r>
          </w:p>
          <w:p>
            <w:pPr>
              <w:pStyle w:val="Normal"/>
              <w:jc w:val="center"/>
              <w:rPr/>
            </w:pPr>
            <w:r>
              <w:rPr/>
            </w:r>
          </w:p>
        </w:tc>
      </w:tr>
      <w:tr>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Work circumstances</w:t>
            </w:r>
          </w:p>
          <w:p>
            <w:pPr>
              <w:pStyle w:val="Normal"/>
              <w:rPr>
                <w:b/>
                <w:b/>
              </w:rPr>
            </w:pPr>
            <w:r>
              <w:rPr>
                <w:b/>
              </w:rPr>
            </w:r>
          </w:p>
        </w:tc>
        <w:tc>
          <w:tcPr>
            <w:tcW w:w="3621" w:type="dxa"/>
            <w:tcBorders>
              <w:top w:val="single" w:sz="6" w:space="0" w:color="000000"/>
              <w:left w:val="single" w:sz="6" w:space="0" w:color="000000"/>
              <w:bottom w:val="single" w:sz="6" w:space="0" w:color="000000"/>
            </w:tcBorders>
            <w:shd w:fill="auto" w:val="clear"/>
          </w:tcPr>
          <w:p>
            <w:pPr>
              <w:pStyle w:val="TextBody"/>
              <w:snapToGrid w:val="false"/>
              <w:rPr>
                <w:b/>
                <w:b/>
              </w:rPr>
            </w:pPr>
            <w:r>
              <w:rPr>
                <w:b/>
              </w:rPr>
            </w:r>
          </w:p>
          <w:p>
            <w:pPr>
              <w:pStyle w:val="Normal"/>
              <w:tabs>
                <w:tab w:val="clear" w:pos="720"/>
                <w:tab w:val="left" w:pos="429" w:leader="none"/>
              </w:tabs>
              <w:rPr/>
            </w:pPr>
            <w:r>
              <w:rPr/>
              <w:t>To work flexibly as the workload and needs of the students demand</w:t>
            </w:r>
          </w:p>
          <w:p>
            <w:pPr>
              <w:pStyle w:val="Normal"/>
              <w:tabs>
                <w:tab w:val="clear" w:pos="720"/>
                <w:tab w:val="left" w:pos="429" w:leader="none"/>
              </w:tabs>
              <w:rPr/>
            </w:pPr>
            <w:r>
              <w:rPr/>
            </w:r>
          </w:p>
          <w:p>
            <w:pPr>
              <w:pStyle w:val="Normal"/>
              <w:tabs>
                <w:tab w:val="clear" w:pos="720"/>
                <w:tab w:val="left" w:pos="429" w:leader="none"/>
              </w:tabs>
              <w:rPr/>
            </w:pPr>
            <w:r>
              <w:rPr/>
              <w:t>To travel and work at other site within the New Bridge Group as may be required</w:t>
            </w:r>
          </w:p>
          <w:p>
            <w:pPr>
              <w:pStyle w:val="Normal"/>
              <w:tabs>
                <w:tab w:val="clear" w:pos="720"/>
                <w:tab w:val="left" w:pos="429" w:leader="none"/>
              </w:tabs>
              <w:rPr/>
            </w:pPr>
            <w:r>
              <w:rPr/>
            </w:r>
          </w:p>
          <w:p>
            <w:pPr>
              <w:pStyle w:val="Normal"/>
              <w:tabs>
                <w:tab w:val="clear" w:pos="720"/>
                <w:tab w:val="left" w:pos="429" w:leader="none"/>
              </w:tabs>
              <w:rPr/>
            </w:pPr>
            <w:r>
              <w:rPr/>
              <w:t>Occasional out of hours working to support functions</w:t>
            </w:r>
          </w:p>
          <w:p>
            <w:pPr>
              <w:pStyle w:val="TextBody"/>
              <w:rPr/>
            </w:pPr>
            <w:r>
              <w:rPr/>
            </w:r>
          </w:p>
        </w:tc>
        <w:tc>
          <w:tcPr>
            <w:tcW w:w="2979" w:type="dxa"/>
            <w:tcBorders>
              <w:top w:val="single" w:sz="6" w:space="0" w:color="000000"/>
              <w:left w:val="single" w:sz="6" w:space="0" w:color="000000"/>
              <w:bottom w:val="single" w:sz="6" w:space="0" w:color="000000"/>
            </w:tcBorders>
            <w:shd w:fill="auto" w:val="clear"/>
          </w:tcPr>
          <w:p>
            <w:pPr>
              <w:pStyle w:val="Normal"/>
              <w:snapToGrid w:val="false"/>
              <w:jc w:val="center"/>
              <w:rPr>
                <w:b/>
                <w:b/>
              </w:rPr>
            </w:pPr>
            <w:r>
              <w:rPr>
                <w:b/>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b/>
                <w:b/>
              </w:rPr>
            </w:pPr>
            <w:r>
              <w:rPr>
                <w:b/>
              </w:rPr>
            </w:r>
          </w:p>
          <w:p>
            <w:pPr>
              <w:pStyle w:val="Normal"/>
              <w:jc w:val="center"/>
              <w:rPr/>
            </w:pPr>
            <w:r>
              <w:rPr/>
              <w:t>I</w:t>
            </w:r>
          </w:p>
          <w:p>
            <w:pPr>
              <w:pStyle w:val="Normal"/>
              <w:jc w:val="center"/>
              <w:rPr/>
            </w:pPr>
            <w:r>
              <w:rPr/>
            </w:r>
          </w:p>
          <w:p>
            <w:pPr>
              <w:pStyle w:val="Normal"/>
              <w:jc w:val="center"/>
              <w:rPr/>
            </w:pPr>
            <w:r>
              <w:rPr/>
            </w:r>
          </w:p>
          <w:p>
            <w:pPr>
              <w:pStyle w:val="Normal"/>
              <w:jc w:val="center"/>
              <w:rPr/>
            </w:pPr>
            <w:r>
              <w:rPr/>
              <w:t>I</w:t>
            </w:r>
          </w:p>
          <w:p>
            <w:pPr>
              <w:pStyle w:val="Normal"/>
              <w:jc w:val="center"/>
              <w:rPr/>
            </w:pPr>
            <w:r>
              <w:rPr/>
            </w:r>
          </w:p>
          <w:p>
            <w:pPr>
              <w:pStyle w:val="Normal"/>
              <w:jc w:val="center"/>
              <w:rPr/>
            </w:pPr>
            <w:r>
              <w:rPr/>
            </w:r>
          </w:p>
          <w:p>
            <w:pPr>
              <w:pStyle w:val="Normal"/>
              <w:jc w:val="center"/>
              <w:rPr/>
            </w:pPr>
            <w:r>
              <w:rPr/>
            </w:r>
          </w:p>
          <w:p>
            <w:pPr>
              <w:pStyle w:val="Normal"/>
              <w:jc w:val="center"/>
              <w:rPr/>
            </w:pPr>
            <w:r>
              <w:rPr/>
              <w:t>I</w:t>
            </w:r>
          </w:p>
        </w:tc>
      </w:tr>
    </w:tbl>
    <w:p>
      <w:pPr>
        <w:pStyle w:val="Title"/>
        <w:jc w:val="left"/>
        <w:rPr>
          <w:sz w:val="16"/>
          <w:szCs w:val="16"/>
          <w:u w:val="single"/>
        </w:rPr>
      </w:pPr>
      <w:r>
        <w:rPr>
          <w:sz w:val="16"/>
          <w:szCs w:val="16"/>
          <w:u w:val="single"/>
        </w:rPr>
      </w:r>
    </w:p>
    <w:p>
      <w:pPr>
        <w:pStyle w:val="Normal"/>
        <w:jc w:val="both"/>
        <w:rPr/>
      </w:pPr>
      <w:r>
        <w:rPr>
          <w:i/>
        </w:rPr>
        <w:t>Abbreviations:</w:t>
      </w:r>
      <w:r>
        <w:rPr/>
        <w:t xml:space="preserve"> AF = Application Form; I = Interview.</w:t>
      </w:r>
    </w:p>
    <w:p>
      <w:pPr>
        <w:pStyle w:val="Normal"/>
        <w:jc w:val="both"/>
        <w:rPr>
          <w:sz w:val="16"/>
          <w:szCs w:val="16"/>
        </w:rPr>
      </w:pPr>
      <w:r>
        <w:rPr>
          <w:sz w:val="16"/>
          <w:szCs w:val="16"/>
        </w:rPr>
      </w:r>
    </w:p>
    <w:p>
      <w:pPr>
        <w:pStyle w:val="Normal"/>
        <w:ind w:left="0" w:right="-755" w:hanging="0"/>
        <w:rPr>
          <w:b/>
          <w:b/>
          <w:bCs/>
        </w:rPr>
      </w:pPr>
      <w:r>
        <w:rPr>
          <w:b/>
          <w:bCs/>
        </w:rPr>
        <w:t>Any candidate with a disability who meets the essential criteria will be invited to interview</w:t>
      </w:r>
    </w:p>
    <w:p>
      <w:pPr>
        <w:pStyle w:val="Normal"/>
        <w:rPr/>
      </w:pPr>
      <w:r>
        <w:rPr/>
      </w:r>
    </w:p>
    <w:p>
      <w:pPr>
        <w:pStyle w:val="Title"/>
        <w:rPr>
          <w:rFonts w:cs="Times New Roman"/>
        </w:rPr>
      </w:pPr>
      <w:r>
        <w:rPr>
          <w:rFonts w:cs="Times New Roman"/>
        </w:rPr>
        <w:t xml:space="preserve"> </w:t>
      </w:r>
    </w:p>
    <w:p>
      <w:pPr>
        <w:pStyle w:val="Normal"/>
        <w:rPr>
          <w:rFonts w:cs="Arial"/>
        </w:rPr>
      </w:pPr>
      <w:r>
        <w:rPr>
          <w:rFonts w:cs="Arial"/>
        </w:rPr>
      </w:r>
    </w:p>
    <w:p>
      <w:pPr>
        <w:pStyle w:val="Normal"/>
        <w:rPr>
          <w:rFonts w:cs="Arial"/>
        </w:rPr>
      </w:pPr>
      <w:r>
        <w:rPr>
          <w:rFonts w:cs="Arial"/>
        </w:rPr>
      </w:r>
    </w:p>
    <w:p>
      <w:pPr>
        <w:pStyle w:val="Normal"/>
        <w:rPr>
          <w:rFonts w:ascii="Calibri" w:hAnsi="Calibri" w:cs="Calibri"/>
        </w:rPr>
      </w:pPr>
      <w:r>
        <w:rPr>
          <w:rFonts w:cs="Calibri" w:ascii="Calibri" w:hAnsi="Calibri"/>
        </w:rPr>
      </w:r>
    </w:p>
    <w:p>
      <w:pPr>
        <w:pStyle w:val="Normal"/>
        <w:rPr>
          <w:rFonts w:ascii="Calibri" w:hAnsi="Calibri" w:eastAsia="Calibri" w:cs="Calibri"/>
        </w:rPr>
      </w:pPr>
      <w:r>
        <w:rPr>
          <w:rFonts w:eastAsia="Calibri" w:cs="Calibri" w:ascii="Calibri" w:hAnsi="Calibri"/>
        </w:rPr>
        <w:t xml:space="preserve">          </w:t>
      </w:r>
    </w:p>
    <w:p>
      <w:pPr>
        <w:pStyle w:val="Normal"/>
        <w:rPr>
          <w:rFonts w:cs="Arial"/>
        </w:rPr>
      </w:pPr>
      <w:r>
        <w:rPr>
          <w:rFonts w:cs="Arial"/>
        </w:rPr>
      </w:r>
    </w:p>
    <w:p>
      <w:pPr>
        <w:pStyle w:val="Normal"/>
        <w:tabs>
          <w:tab w:val="clear" w:pos="720"/>
          <w:tab w:val="left" w:pos="3840" w:leader="none"/>
        </w:tabs>
        <w:rPr>
          <w:rFonts w:cs="Arial"/>
        </w:rPr>
      </w:pPr>
      <w:r>
        <w:rPr>
          <w:rFonts w:cs="Arial"/>
        </w:rPr>
      </w:r>
    </w:p>
    <w:sectPr>
      <w:headerReference w:type="default" r:id="rId3"/>
      <w:headerReference w:type="first" r:id="rId4"/>
      <w:footerReference w:type="default" r:id="rId5"/>
      <w:footerReference w:type="first" r:id="rId6"/>
      <w:type w:val="nextPage"/>
      <w:pgSz w:w="11906" w:h="16838"/>
      <w:pgMar w:left="1440" w:right="1440" w:header="709" w:top="1440" w:footer="709"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Trebuchet MS">
    <w:charset w:val="00"/>
    <w:family w:val="roman"/>
    <w:pitch w:val="variable"/>
  </w:font>
  <w:font w:name="Palatino">
    <w:charset w:val="00"/>
    <w:family w:val="roman"/>
    <w:pitch w:val="variable"/>
  </w:font>
  <w:font w:name="Liberation Sans">
    <w:altName w:val="Arial"/>
    <w:charset w:val="00"/>
    <w:family w:val="swiss"/>
    <w:pitch w:val="variable"/>
  </w:font>
  <w:font w:name="Tahoma">
    <w:charset w:val="00"/>
    <w:family w:val="roman"/>
    <w:pitch w:val="variable"/>
  </w:font>
  <w:font w:name="Arial Unicode MS">
    <w:charset w:val="00"/>
    <w:family w:val="swiss"/>
    <w:pitch w:val="variable"/>
  </w:font>
  <w:font w:name="Helvetica">
    <w:altName w:val="Arial"/>
    <w:charset w:val="00"/>
    <w:family w:val="swiss"/>
    <w:pitch w:val="variable"/>
  </w:font>
  <w:font w:name="Open San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0" distT="0" distB="0" distL="114300" distR="114300" simplePos="0" locked="0" layoutInCell="1" allowOverlap="1" relativeHeight="9">
          <wp:simplePos x="0" y="0"/>
          <wp:positionH relativeFrom="column">
            <wp:posOffset>-914400</wp:posOffset>
          </wp:positionH>
          <wp:positionV relativeFrom="paragraph">
            <wp:posOffset>136525</wp:posOffset>
          </wp:positionV>
          <wp:extent cx="7555865" cy="596265"/>
          <wp:effectExtent l="0" t="0" r="0" b="0"/>
          <wp:wrapTight wrapText="bothSides">
            <wp:wrapPolygon edited="0">
              <wp:start x="-8" y="0"/>
              <wp:lineTo x="-8" y="20489"/>
              <wp:lineTo x="21546" y="20489"/>
              <wp:lineTo x="21546" y="0"/>
              <wp:lineTo x="-8" y="0"/>
            </wp:wrapPolygon>
          </wp:wrapTight>
          <wp:docPr id="5"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p>
    <w:pPr>
      <w:pStyle w:val="Footer"/>
      <w:rPr/>
    </w:pPr>
    <w:r>
      <w:rPr/>
      <w:drawing>
        <wp:anchor behindDoc="0" distT="0" distB="0" distL="114300" distR="114300" simplePos="0" locked="0" layoutInCell="1" allowOverlap="1" relativeHeight="10">
          <wp:simplePos x="0" y="0"/>
          <wp:positionH relativeFrom="column">
            <wp:posOffset>-847725</wp:posOffset>
          </wp:positionH>
          <wp:positionV relativeFrom="paragraph">
            <wp:posOffset>15875</wp:posOffset>
          </wp:positionV>
          <wp:extent cx="7555865" cy="596265"/>
          <wp:effectExtent l="0" t="0" r="0" b="0"/>
          <wp:wrapTight wrapText="bothSides">
            <wp:wrapPolygon edited="0">
              <wp:start x="-8" y="0"/>
              <wp:lineTo x="-8" y="20489"/>
              <wp:lineTo x="21546" y="20489"/>
              <wp:lineTo x="21546" y="0"/>
              <wp:lineTo x="-8" y="0"/>
            </wp:wrapPolygon>
          </wp:wrapTight>
          <wp:docPr id="6"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18">
          <wp:simplePos x="0" y="0"/>
          <wp:positionH relativeFrom="column">
            <wp:posOffset>-26670</wp:posOffset>
          </wp:positionH>
          <wp:positionV relativeFrom="paragraph">
            <wp:posOffset>2257425</wp:posOffset>
          </wp:positionV>
          <wp:extent cx="5727700" cy="5256530"/>
          <wp:effectExtent l="0" t="0" r="0" b="0"/>
          <wp:wrapNone/>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
                  <a:srcRect l="-5" t="-5" r="-5" b="-5"/>
                  <a:stretch>
                    <a:fillRect/>
                  </a:stretch>
                </pic:blipFill>
                <pic:spPr bwMode="auto">
                  <a:xfrm>
                    <a:off x="0" y="0"/>
                    <a:ext cx="5727700" cy="525653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720"/>
        </w:tabs>
        <w:ind w:left="720" w:hanging="360"/>
      </w:pPr>
      <w:rPr>
        <w:rFonts w:cs="Times New Roman"/>
      </w:rPr>
    </w:lvl>
    <w:lvl w:ilvl="1">
      <w:start w:val="1"/>
      <w:numFmt w:val="none"/>
      <w:suff w:val="nothing"/>
      <w:lvlText w:val=""/>
      <w:lvlJc w:val="left"/>
      <w:pPr>
        <w:ind w:left="0" w:hanging="0"/>
      </w:pPr>
      <w:rPr>
        <w:rFonts w:cs="Times New Roman"/>
      </w:rPr>
    </w:lvl>
    <w:lvl w:ilvl="2">
      <w:start w:val="1"/>
      <w:numFmt w:val="none"/>
      <w:suff w:val="nothing"/>
      <w:lvlText w:val=""/>
      <w:lvlJc w:val="left"/>
      <w:pPr>
        <w:ind w:left="0" w:hanging="0"/>
      </w:pPr>
      <w:rPr>
        <w:rFonts w:cs="Times New Roman"/>
      </w:rPr>
    </w:lvl>
    <w:lvl w:ilvl="3">
      <w:start w:val="1"/>
      <w:numFmt w:val="none"/>
      <w:suff w:val="nothing"/>
      <w:lvlText w:val=""/>
      <w:lvlJc w:val="left"/>
      <w:pPr>
        <w:ind w:left="0" w:hanging="0"/>
      </w:pPr>
      <w:rPr>
        <w:rFonts w:cs="Times New Roman"/>
      </w:rPr>
    </w:lvl>
    <w:lvl w:ilvl="4">
      <w:start w:val="1"/>
      <w:numFmt w:val="none"/>
      <w:suff w:val="nothing"/>
      <w:lvlText w:val=""/>
      <w:lvlJc w:val="left"/>
      <w:pPr>
        <w:ind w:left="0" w:hanging="0"/>
      </w:pPr>
      <w:rPr>
        <w:rFonts w:cs="Times New Roman"/>
      </w:rPr>
    </w:lvl>
    <w:lvl w:ilvl="5">
      <w:start w:val="1"/>
      <w:numFmt w:val="none"/>
      <w:suff w:val="nothing"/>
      <w:lvlText w:val=""/>
      <w:lvlJc w:val="left"/>
      <w:pPr>
        <w:ind w:left="0" w:hanging="0"/>
      </w:pPr>
      <w:rPr>
        <w:rFonts w:cs="Times New Roman"/>
      </w:rPr>
    </w:lvl>
    <w:lvl w:ilvl="6">
      <w:start w:val="1"/>
      <w:numFmt w:val="none"/>
      <w:suff w:val="nothing"/>
      <w:lvlText w:val=""/>
      <w:lvlJc w:val="left"/>
      <w:pPr>
        <w:ind w:left="0" w:hanging="0"/>
      </w:pPr>
      <w:rPr>
        <w:rFonts w:cs="Times New Roman"/>
      </w:rPr>
    </w:lvl>
    <w:lvl w:ilvl="7">
      <w:start w:val="1"/>
      <w:numFmt w:val="none"/>
      <w:suff w:val="nothing"/>
      <w:lvlText w:val=""/>
      <w:lvlJc w:val="left"/>
      <w:pPr>
        <w:ind w:left="0" w:hanging="0"/>
      </w:pPr>
      <w:rPr>
        <w:rFonts w:cs="Times New Roman"/>
      </w:rPr>
    </w:lvl>
    <w:lvl w:ilvl="8">
      <w:start w:val="1"/>
      <w:numFmt w:val="none"/>
      <w:suff w:val="nothing"/>
      <w:lvlText w:val=""/>
      <w:lvlJc w:val="left"/>
      <w:pPr>
        <w:ind w:left="0" w:hanging="0"/>
      </w:pPr>
      <w:rPr>
        <w:rFonts w:cs="Times New Roman"/>
      </w:rPr>
    </w:lvl>
  </w:abstractNum>
  <w:abstractNum w:abstractNumId="3">
    <w:lvl w:ilvl="0">
      <w:start w:val="17"/>
      <w:numFmt w:val="decimal"/>
      <w:lvlText w:val="%1."/>
      <w:lvlJc w:val="left"/>
      <w:pPr>
        <w:tabs>
          <w:tab w:val="num" w:pos="720"/>
        </w:tabs>
        <w:ind w:left="720" w:hanging="360"/>
      </w:pPr>
      <w:rPr>
        <w:rFonts w:cs="Times New Roman"/>
      </w:rPr>
    </w:lvl>
    <w:lvl w:ilvl="1">
      <w:start w:val="1"/>
      <w:numFmt w:val="none"/>
      <w:suff w:val="nothing"/>
      <w:lvlText w:val=""/>
      <w:lvlJc w:val="left"/>
      <w:pPr>
        <w:ind w:left="0" w:hanging="0"/>
      </w:pPr>
      <w:rPr>
        <w:rFonts w:cs="Times New Roman"/>
      </w:rPr>
    </w:lvl>
    <w:lvl w:ilvl="2">
      <w:start w:val="1"/>
      <w:numFmt w:val="none"/>
      <w:suff w:val="nothing"/>
      <w:lvlText w:val=""/>
      <w:lvlJc w:val="left"/>
      <w:pPr>
        <w:ind w:left="0" w:hanging="0"/>
      </w:pPr>
      <w:rPr>
        <w:rFonts w:cs="Times New Roman"/>
      </w:rPr>
    </w:lvl>
    <w:lvl w:ilvl="3">
      <w:start w:val="1"/>
      <w:numFmt w:val="none"/>
      <w:suff w:val="nothing"/>
      <w:lvlText w:val=""/>
      <w:lvlJc w:val="left"/>
      <w:pPr>
        <w:ind w:left="0" w:hanging="0"/>
      </w:pPr>
      <w:rPr>
        <w:rFonts w:cs="Times New Roman"/>
      </w:rPr>
    </w:lvl>
    <w:lvl w:ilvl="4">
      <w:start w:val="1"/>
      <w:numFmt w:val="none"/>
      <w:suff w:val="nothing"/>
      <w:lvlText w:val=""/>
      <w:lvlJc w:val="left"/>
      <w:pPr>
        <w:ind w:left="0" w:hanging="0"/>
      </w:pPr>
      <w:rPr>
        <w:rFonts w:cs="Times New Roman"/>
      </w:rPr>
    </w:lvl>
    <w:lvl w:ilvl="5">
      <w:start w:val="1"/>
      <w:numFmt w:val="none"/>
      <w:suff w:val="nothing"/>
      <w:lvlText w:val=""/>
      <w:lvlJc w:val="left"/>
      <w:pPr>
        <w:ind w:left="0" w:hanging="0"/>
      </w:pPr>
      <w:rPr>
        <w:rFonts w:cs="Times New Roman"/>
      </w:rPr>
    </w:lvl>
    <w:lvl w:ilvl="6">
      <w:start w:val="1"/>
      <w:numFmt w:val="none"/>
      <w:suff w:val="nothing"/>
      <w:lvlText w:val=""/>
      <w:lvlJc w:val="left"/>
      <w:pPr>
        <w:ind w:left="0" w:hanging="0"/>
      </w:pPr>
      <w:rPr>
        <w:rFonts w:cs="Times New Roman"/>
      </w:rPr>
    </w:lvl>
    <w:lvl w:ilvl="7">
      <w:start w:val="1"/>
      <w:numFmt w:val="none"/>
      <w:suff w:val="nothing"/>
      <w:lvlText w:val=""/>
      <w:lvlJc w:val="left"/>
      <w:pPr>
        <w:ind w:left="0" w:hanging="0"/>
      </w:pPr>
      <w:rPr>
        <w:rFonts w:cs="Times New Roman"/>
      </w:rPr>
    </w:lvl>
    <w:lvl w:ilvl="8">
      <w:start w:val="1"/>
      <w:numFmt w:val="none"/>
      <w:suff w:val="nothing"/>
      <w:lvlText w:val=""/>
      <w:lvlJc w:val="left"/>
      <w:pPr>
        <w:ind w:left="0" w:hanging="0"/>
      </w:pPr>
      <w:rPr>
        <w:rFonts w:cs="Times New Roman"/>
      </w:rPr>
    </w:lvl>
  </w:abstractNum>
  <w:abstractNum w:abstractNumId="4">
    <w:lvl w:ilvl="0">
      <w:start w:val="17"/>
      <w:numFmt w:val="decimal"/>
      <w:lvlText w:val="%1."/>
      <w:lvlJc w:val="left"/>
      <w:pPr>
        <w:tabs>
          <w:tab w:val="num" w:pos="720"/>
        </w:tabs>
        <w:ind w:left="720" w:hanging="360"/>
      </w:pPr>
      <w:rPr>
        <w:rFonts w:cs="Times New Roman"/>
      </w:rPr>
    </w:lvl>
    <w:lvl w:ilvl="1">
      <w:start w:val="1"/>
      <w:numFmt w:val="none"/>
      <w:suff w:val="nothing"/>
      <w:lvlText w:val=""/>
      <w:lvlJc w:val="left"/>
      <w:pPr>
        <w:ind w:left="0" w:hanging="0"/>
      </w:pPr>
      <w:rPr>
        <w:rFonts w:cs="Times New Roman"/>
      </w:rPr>
    </w:lvl>
    <w:lvl w:ilvl="2">
      <w:start w:val="1"/>
      <w:numFmt w:val="none"/>
      <w:suff w:val="nothing"/>
      <w:lvlText w:val=""/>
      <w:lvlJc w:val="left"/>
      <w:pPr>
        <w:ind w:left="0" w:hanging="0"/>
      </w:pPr>
      <w:rPr>
        <w:rFonts w:cs="Times New Roman"/>
      </w:rPr>
    </w:lvl>
    <w:lvl w:ilvl="3">
      <w:start w:val="1"/>
      <w:numFmt w:val="none"/>
      <w:suff w:val="nothing"/>
      <w:lvlText w:val=""/>
      <w:lvlJc w:val="left"/>
      <w:pPr>
        <w:ind w:left="0" w:hanging="0"/>
      </w:pPr>
      <w:rPr>
        <w:rFonts w:cs="Times New Roman"/>
      </w:rPr>
    </w:lvl>
    <w:lvl w:ilvl="4">
      <w:start w:val="1"/>
      <w:numFmt w:val="none"/>
      <w:suff w:val="nothing"/>
      <w:lvlText w:val=""/>
      <w:lvlJc w:val="left"/>
      <w:pPr>
        <w:ind w:left="0" w:hanging="0"/>
      </w:pPr>
      <w:rPr>
        <w:rFonts w:cs="Times New Roman"/>
      </w:rPr>
    </w:lvl>
    <w:lvl w:ilvl="5">
      <w:start w:val="1"/>
      <w:numFmt w:val="none"/>
      <w:suff w:val="nothing"/>
      <w:lvlText w:val=""/>
      <w:lvlJc w:val="left"/>
      <w:pPr>
        <w:ind w:left="0" w:hanging="0"/>
      </w:pPr>
      <w:rPr>
        <w:rFonts w:cs="Times New Roman"/>
      </w:rPr>
    </w:lvl>
    <w:lvl w:ilvl="6">
      <w:start w:val="1"/>
      <w:numFmt w:val="none"/>
      <w:suff w:val="nothing"/>
      <w:lvlText w:val=""/>
      <w:lvlJc w:val="left"/>
      <w:pPr>
        <w:ind w:left="0" w:hanging="0"/>
      </w:pPr>
      <w:rPr>
        <w:rFonts w:cs="Times New Roman"/>
      </w:rPr>
    </w:lvl>
    <w:lvl w:ilvl="7">
      <w:start w:val="1"/>
      <w:numFmt w:val="none"/>
      <w:suff w:val="nothing"/>
      <w:lvlText w:val=""/>
      <w:lvlJc w:val="left"/>
      <w:pPr>
        <w:ind w:left="0" w:hanging="0"/>
      </w:pPr>
      <w:rPr>
        <w:rFonts w:cs="Times New Roman"/>
      </w:rPr>
    </w:lvl>
    <w:lvl w:ilvl="8">
      <w:start w:val="1"/>
      <w:numFmt w:val="none"/>
      <w:suff w:val="nothing"/>
      <w:lvlText w:val=""/>
      <w:lvlJc w:val="left"/>
      <w:pPr>
        <w:ind w:left="0" w:hanging="0"/>
      </w:pPr>
      <w:rPr>
        <w:rFonts w:cs="Times New Roman"/>
      </w:rPr>
    </w:lvl>
  </w:abstractNum>
  <w:abstractNum w:abstractNumId="5">
    <w:lvl w:ilvl="0">
      <w:start w:val="1"/>
      <w:numFmt w:val="decimal"/>
      <w:lvlText w:val="%1."/>
      <w:lvlJc w:val="left"/>
      <w:pPr>
        <w:tabs>
          <w:tab w:val="num" w:pos="720"/>
        </w:tabs>
        <w:ind w:left="720" w:hanging="360"/>
      </w:pPr>
      <w:rPr>
        <w:rFonts w:cs="Times New Roman"/>
      </w:rPr>
    </w:lvl>
    <w:lvl w:ilvl="1">
      <w:start w:val="1"/>
      <w:numFmt w:val="none"/>
      <w:suff w:val="nothing"/>
      <w:lvlText w:val=""/>
      <w:lvlJc w:val="left"/>
      <w:pPr>
        <w:ind w:left="0" w:hanging="0"/>
      </w:pPr>
      <w:rPr>
        <w:rFonts w:cs="Times New Roman"/>
      </w:rPr>
    </w:lvl>
    <w:lvl w:ilvl="2">
      <w:start w:val="1"/>
      <w:numFmt w:val="none"/>
      <w:suff w:val="nothing"/>
      <w:lvlText w:val=""/>
      <w:lvlJc w:val="left"/>
      <w:pPr>
        <w:ind w:left="0" w:hanging="0"/>
      </w:pPr>
      <w:rPr>
        <w:rFonts w:cs="Times New Roman"/>
      </w:rPr>
    </w:lvl>
    <w:lvl w:ilvl="3">
      <w:start w:val="1"/>
      <w:numFmt w:val="none"/>
      <w:suff w:val="nothing"/>
      <w:lvlText w:val=""/>
      <w:lvlJc w:val="left"/>
      <w:pPr>
        <w:ind w:left="0" w:hanging="0"/>
      </w:pPr>
      <w:rPr>
        <w:rFonts w:cs="Times New Roman"/>
      </w:rPr>
    </w:lvl>
    <w:lvl w:ilvl="4">
      <w:start w:val="1"/>
      <w:numFmt w:val="none"/>
      <w:suff w:val="nothing"/>
      <w:lvlText w:val=""/>
      <w:lvlJc w:val="left"/>
      <w:pPr>
        <w:ind w:left="0" w:hanging="0"/>
      </w:pPr>
      <w:rPr>
        <w:rFonts w:cs="Times New Roman"/>
      </w:rPr>
    </w:lvl>
    <w:lvl w:ilvl="5">
      <w:start w:val="1"/>
      <w:numFmt w:val="none"/>
      <w:suff w:val="nothing"/>
      <w:lvlText w:val=""/>
      <w:lvlJc w:val="left"/>
      <w:pPr>
        <w:ind w:left="0" w:hanging="0"/>
      </w:pPr>
      <w:rPr>
        <w:rFonts w:cs="Times New Roman"/>
      </w:rPr>
    </w:lvl>
    <w:lvl w:ilvl="6">
      <w:start w:val="1"/>
      <w:numFmt w:val="none"/>
      <w:suff w:val="nothing"/>
      <w:lvlText w:val=""/>
      <w:lvlJc w:val="left"/>
      <w:pPr>
        <w:ind w:left="0" w:hanging="0"/>
      </w:pPr>
      <w:rPr>
        <w:rFonts w:cs="Times New Roman"/>
      </w:rPr>
    </w:lvl>
    <w:lvl w:ilvl="7">
      <w:start w:val="1"/>
      <w:numFmt w:val="none"/>
      <w:suff w:val="nothing"/>
      <w:lvlText w:val=""/>
      <w:lvlJc w:val="left"/>
      <w:pPr>
        <w:ind w:left="0" w:hanging="0"/>
      </w:pPr>
      <w:rPr>
        <w:rFonts w:cs="Times New Roman"/>
      </w:rPr>
    </w:lvl>
    <w:lvl w:ilvl="8">
      <w:start w:val="1"/>
      <w:numFmt w:val="none"/>
      <w:suff w:val="nothing"/>
      <w:lvlText w:val=""/>
      <w:lvlJc w:val="left"/>
      <w:pPr>
        <w:ind w:left="0" w:hanging="0"/>
      </w:pPr>
      <w:rPr>
        <w:rFonts w:cs="Times New Roman"/>
      </w:rPr>
    </w:lvl>
  </w:abstractNum>
  <w:abstractNum w:abstractNumId="6">
    <w:lvl w:ilvl="0">
      <w:start w:val="1"/>
      <w:numFmt w:val="decimal"/>
      <w:lvlText w:val="%1."/>
      <w:lvlJc w:val="left"/>
      <w:pPr>
        <w:tabs>
          <w:tab w:val="num" w:pos="720"/>
        </w:tabs>
        <w:ind w:left="720" w:hanging="360"/>
      </w:pPr>
      <w:rPr>
        <w:rFonts w:cs="Times New Roman"/>
      </w:rPr>
    </w:lvl>
    <w:lvl w:ilvl="1">
      <w:start w:val="1"/>
      <w:numFmt w:val="none"/>
      <w:suff w:val="nothing"/>
      <w:lvlText w:val=""/>
      <w:lvlJc w:val="left"/>
      <w:pPr>
        <w:ind w:left="0" w:hanging="0"/>
      </w:pPr>
      <w:rPr>
        <w:rFonts w:cs="Times New Roman"/>
      </w:rPr>
    </w:lvl>
    <w:lvl w:ilvl="2">
      <w:start w:val="1"/>
      <w:numFmt w:val="none"/>
      <w:suff w:val="nothing"/>
      <w:lvlText w:val=""/>
      <w:lvlJc w:val="left"/>
      <w:pPr>
        <w:ind w:left="0" w:hanging="0"/>
      </w:pPr>
      <w:rPr>
        <w:rFonts w:cs="Times New Roman"/>
      </w:rPr>
    </w:lvl>
    <w:lvl w:ilvl="3">
      <w:start w:val="1"/>
      <w:numFmt w:val="none"/>
      <w:suff w:val="nothing"/>
      <w:lvlText w:val=""/>
      <w:lvlJc w:val="left"/>
      <w:pPr>
        <w:ind w:left="0" w:hanging="0"/>
      </w:pPr>
      <w:rPr>
        <w:rFonts w:cs="Times New Roman"/>
      </w:rPr>
    </w:lvl>
    <w:lvl w:ilvl="4">
      <w:start w:val="1"/>
      <w:numFmt w:val="none"/>
      <w:suff w:val="nothing"/>
      <w:lvlText w:val=""/>
      <w:lvlJc w:val="left"/>
      <w:pPr>
        <w:ind w:left="0" w:hanging="0"/>
      </w:pPr>
      <w:rPr>
        <w:rFonts w:cs="Times New Roman"/>
      </w:rPr>
    </w:lvl>
    <w:lvl w:ilvl="5">
      <w:start w:val="1"/>
      <w:numFmt w:val="none"/>
      <w:suff w:val="nothing"/>
      <w:lvlText w:val=""/>
      <w:lvlJc w:val="left"/>
      <w:pPr>
        <w:ind w:left="0" w:hanging="0"/>
      </w:pPr>
      <w:rPr>
        <w:rFonts w:cs="Times New Roman"/>
      </w:rPr>
    </w:lvl>
    <w:lvl w:ilvl="6">
      <w:start w:val="1"/>
      <w:numFmt w:val="none"/>
      <w:suff w:val="nothing"/>
      <w:lvlText w:val=""/>
      <w:lvlJc w:val="left"/>
      <w:pPr>
        <w:ind w:left="0" w:hanging="0"/>
      </w:pPr>
      <w:rPr>
        <w:rFonts w:cs="Times New Roman"/>
      </w:rPr>
    </w:lvl>
    <w:lvl w:ilvl="7">
      <w:start w:val="1"/>
      <w:numFmt w:val="none"/>
      <w:suff w:val="nothing"/>
      <w:lvlText w:val=""/>
      <w:lvlJc w:val="left"/>
      <w:pPr>
        <w:ind w:left="0" w:hanging="0"/>
      </w:pPr>
      <w:rPr>
        <w:rFonts w:cs="Times New Roman"/>
      </w:rPr>
    </w:lvl>
    <w:lvl w:ilvl="8">
      <w:start w:val="1"/>
      <w:numFmt w:val="none"/>
      <w:suff w:val="nothing"/>
      <w:lvlText w:val=""/>
      <w:lvlJc w:val="left"/>
      <w:pPr>
        <w:ind w:left="0" w:hanging="0"/>
      </w:pPr>
      <w:rPr>
        <w:rFonts w:cs="Times New Roman"/>
      </w:rPr>
    </w:lvl>
  </w:abstractNum>
  <w:abstractNum w:abstractNumId="7">
    <w:lvl w:ilvl="0">
      <w:start w:val="1"/>
      <w:numFmt w:val="decimal"/>
      <w:lvlText w:val="%1."/>
      <w:lvlJc w:val="left"/>
      <w:pPr>
        <w:tabs>
          <w:tab w:val="num" w:pos="720"/>
        </w:tabs>
        <w:ind w:left="720" w:hanging="360"/>
      </w:pPr>
      <w:rPr>
        <w:rFonts w:cs="Times New Roman"/>
      </w:rPr>
    </w:lvl>
    <w:lvl w:ilvl="1">
      <w:start w:val="1"/>
      <w:numFmt w:val="none"/>
      <w:suff w:val="nothing"/>
      <w:lvlText w:val=""/>
      <w:lvlJc w:val="left"/>
      <w:pPr>
        <w:ind w:left="0" w:hanging="0"/>
      </w:pPr>
      <w:rPr>
        <w:rFonts w:cs="Times New Roman"/>
      </w:rPr>
    </w:lvl>
    <w:lvl w:ilvl="2">
      <w:start w:val="1"/>
      <w:numFmt w:val="none"/>
      <w:suff w:val="nothing"/>
      <w:lvlText w:val=""/>
      <w:lvlJc w:val="left"/>
      <w:pPr>
        <w:ind w:left="0" w:hanging="0"/>
      </w:pPr>
      <w:rPr>
        <w:rFonts w:cs="Times New Roman"/>
      </w:rPr>
    </w:lvl>
    <w:lvl w:ilvl="3">
      <w:start w:val="1"/>
      <w:numFmt w:val="none"/>
      <w:suff w:val="nothing"/>
      <w:lvlText w:val=""/>
      <w:lvlJc w:val="left"/>
      <w:pPr>
        <w:ind w:left="0" w:hanging="0"/>
      </w:pPr>
      <w:rPr>
        <w:rFonts w:cs="Times New Roman"/>
      </w:rPr>
    </w:lvl>
    <w:lvl w:ilvl="4">
      <w:start w:val="1"/>
      <w:numFmt w:val="none"/>
      <w:suff w:val="nothing"/>
      <w:lvlText w:val=""/>
      <w:lvlJc w:val="left"/>
      <w:pPr>
        <w:ind w:left="0" w:hanging="0"/>
      </w:pPr>
      <w:rPr>
        <w:rFonts w:cs="Times New Roman"/>
      </w:rPr>
    </w:lvl>
    <w:lvl w:ilvl="5">
      <w:start w:val="1"/>
      <w:numFmt w:val="none"/>
      <w:suff w:val="nothing"/>
      <w:lvlText w:val=""/>
      <w:lvlJc w:val="left"/>
      <w:pPr>
        <w:ind w:left="0" w:hanging="0"/>
      </w:pPr>
      <w:rPr>
        <w:rFonts w:cs="Times New Roman"/>
      </w:rPr>
    </w:lvl>
    <w:lvl w:ilvl="6">
      <w:start w:val="1"/>
      <w:numFmt w:val="none"/>
      <w:suff w:val="nothing"/>
      <w:lvlText w:val=""/>
      <w:lvlJc w:val="left"/>
      <w:pPr>
        <w:ind w:left="0" w:hanging="0"/>
      </w:pPr>
      <w:rPr>
        <w:rFonts w:cs="Times New Roman"/>
      </w:rPr>
    </w:lvl>
    <w:lvl w:ilvl="7">
      <w:start w:val="1"/>
      <w:numFmt w:val="none"/>
      <w:suff w:val="nothing"/>
      <w:lvlText w:val=""/>
      <w:lvlJc w:val="left"/>
      <w:pPr>
        <w:ind w:left="0" w:hanging="0"/>
      </w:pPr>
      <w:rPr>
        <w:rFonts w:cs="Times New Roman"/>
      </w:rPr>
    </w:lvl>
    <w:lvl w:ilvl="8">
      <w:start w:val="1"/>
      <w:numFmt w:val="none"/>
      <w:suff w:val="nothing"/>
      <w:lvlText w:val=""/>
      <w:lvlJc w:val="left"/>
      <w:pPr>
        <w:ind w:left="0" w:hanging="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Calibri" w:cs="Times New Roman"/>
      <w:color w:val="auto"/>
      <w:kern w:val="0"/>
      <w:sz w:val="22"/>
      <w:szCs w:val="22"/>
      <w:lang w:val="en-GB" w:eastAsia="en-US" w:bidi="ar-SA"/>
    </w:rPr>
  </w:style>
  <w:style w:type="paragraph" w:styleId="Heading1">
    <w:name w:val="Heading 1"/>
    <w:basedOn w:val="Normal"/>
    <w:next w:val="Normal"/>
    <w:qFormat/>
    <w:pPr>
      <w:keepNext w:val="true"/>
      <w:numPr>
        <w:ilvl w:val="0"/>
        <w:numId w:val="1"/>
      </w:numPr>
      <w:jc w:val="center"/>
      <w:outlineLvl w:val="0"/>
    </w:pPr>
    <w:rPr>
      <w:b/>
      <w:bCs/>
      <w:i/>
      <w:iCs/>
      <w:color w:val="000080"/>
    </w:rPr>
  </w:style>
  <w:style w:type="paragraph" w:styleId="Heading2">
    <w:name w:val="Heading 2"/>
    <w:basedOn w:val="Normal"/>
    <w:next w:val="Normal"/>
    <w:qFormat/>
    <w:pPr>
      <w:keepNext w:val="true"/>
      <w:numPr>
        <w:ilvl w:val="1"/>
        <w:numId w:val="1"/>
      </w:numPr>
      <w:spacing w:before="240" w:after="60"/>
      <w:outlineLvl w:val="1"/>
    </w:pPr>
    <w:rPr>
      <w:rFonts w:cs="Arial"/>
      <w:b/>
      <w:bCs/>
      <w:i/>
      <w:iCs/>
      <w:sz w:val="28"/>
      <w:szCs w:val="28"/>
    </w:rPr>
  </w:style>
  <w:style w:type="paragraph" w:styleId="Heading3">
    <w:name w:val="Heading 3"/>
    <w:basedOn w:val="Normal"/>
    <w:next w:val="Normal"/>
    <w:qFormat/>
    <w:pPr>
      <w:keepNext w:val="true"/>
      <w:keepLines/>
      <w:numPr>
        <w:ilvl w:val="2"/>
        <w:numId w:val="1"/>
      </w:numPr>
      <w:spacing w:before="200" w:after="0"/>
      <w:outlineLvl w:val="2"/>
    </w:pPr>
    <w:rPr>
      <w:rFonts w:ascii="Cambria" w:hAnsi="Cambria" w:eastAsia="" w:cs=""/>
      <w:b/>
      <w:bCs/>
      <w:color w:val="4F81BD"/>
    </w:rPr>
  </w:style>
  <w:style w:type="paragraph" w:styleId="Heading5">
    <w:name w:val="Heading 5"/>
    <w:basedOn w:val="Normal"/>
    <w:next w:val="Normal"/>
    <w:qFormat/>
    <w:pPr>
      <w:keepNext w:val="true"/>
      <w:numPr>
        <w:ilvl w:val="4"/>
        <w:numId w:val="1"/>
      </w:numPr>
      <w:outlineLvl w:val="4"/>
    </w:pPr>
    <w:rPr>
      <w:rFonts w:ascii="Times New Roman" w:hAnsi="Times New Roman" w:eastAsia="Times New Roman" w:cs="Times New Roman"/>
      <w:b/>
      <w:bCs/>
      <w:sz w:val="28"/>
      <w:szCs w:val="24"/>
    </w:rPr>
  </w:style>
  <w:style w:type="character" w:styleId="WW8Num1z0">
    <w:name w:val="WW8Num1z0"/>
    <w:qFormat/>
    <w:rPr>
      <w:rFonts w:cs="Times New Roman"/>
    </w:rPr>
  </w:style>
  <w:style w:type="character" w:styleId="WW8Num2z0">
    <w:name w:val="WW8Num2z0"/>
    <w:qFormat/>
    <w:rPr>
      <w:rFonts w:cs="Times New Roman"/>
    </w:rPr>
  </w:style>
  <w:style w:type="character" w:styleId="WW8Num3z0">
    <w:name w:val="WW8Num3z0"/>
    <w:qFormat/>
    <w:rPr>
      <w:rFonts w:cs="Times New Roman"/>
    </w:rPr>
  </w:style>
  <w:style w:type="character" w:styleId="WW8Num4z0">
    <w:name w:val="WW8Num4z0"/>
    <w:qFormat/>
    <w:rPr>
      <w:rFonts w:cs="Times New Roman"/>
    </w:rPr>
  </w:style>
  <w:style w:type="character" w:styleId="WW8Num5z0">
    <w:name w:val="WW8Num5z0"/>
    <w:qFormat/>
    <w:rPr>
      <w:rFonts w:cs="Times New Roman"/>
    </w:rPr>
  </w:style>
  <w:style w:type="character" w:styleId="WW8Num6z0">
    <w:name w:val="WW8Num6z0"/>
    <w:qFormat/>
    <w:rPr>
      <w:rFonts w:cs="Times New Roman"/>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InternetLink">
    <w:name w:val="Internet Link"/>
    <w:rPr>
      <w:color w:val="0000FF"/>
      <w:u w:val="single"/>
    </w:rPr>
  </w:style>
  <w:style w:type="character" w:styleId="Normalc71">
    <w:name w:val="normal-c71"/>
    <w:qFormat/>
    <w:rPr>
      <w:rFonts w:ascii="Trebuchet MS" w:hAnsi="Trebuchet MS" w:cs="Trebuchet MS"/>
      <w:b/>
      <w:bCs/>
      <w:color w:val="2C3651"/>
      <w:sz w:val="24"/>
      <w:szCs w:val="24"/>
    </w:rPr>
  </w:style>
  <w:style w:type="character" w:styleId="Normalc81">
    <w:name w:val="normal-c81"/>
    <w:qFormat/>
    <w:rPr>
      <w:rFonts w:ascii="Trebuchet MS" w:hAnsi="Trebuchet MS" w:cs="Trebuchet MS"/>
      <w:color w:val="2C3651"/>
      <w:sz w:val="24"/>
      <w:szCs w:val="24"/>
    </w:rPr>
  </w:style>
  <w:style w:type="character" w:styleId="Normalc51">
    <w:name w:val="normal-c51"/>
    <w:qFormat/>
    <w:rPr>
      <w:rFonts w:ascii="Trebuchet MS" w:hAnsi="Trebuchet MS" w:cs="Trebuchet MS"/>
      <w:sz w:val="20"/>
      <w:szCs w:val="20"/>
    </w:rPr>
  </w:style>
  <w:style w:type="character" w:styleId="Heading5Char">
    <w:name w:val="Heading 5 Char"/>
    <w:basedOn w:val="DefaultParagraphFont"/>
    <w:qFormat/>
    <w:rPr>
      <w:b/>
      <w:bCs/>
      <w:sz w:val="28"/>
      <w:szCs w:val="24"/>
      <w:lang w:eastAsia="en-US"/>
    </w:rPr>
  </w:style>
  <w:style w:type="character" w:styleId="Heading1Char">
    <w:name w:val="Heading 1 Char"/>
    <w:qFormat/>
    <w:rPr>
      <w:b/>
      <w:bCs/>
      <w:i/>
      <w:iCs/>
      <w:color w:val="000080"/>
      <w:sz w:val="24"/>
      <w:szCs w:val="24"/>
      <w:lang w:val="en-US" w:eastAsia="en-US"/>
    </w:rPr>
  </w:style>
  <w:style w:type="character" w:styleId="TitleChar">
    <w:name w:val="Title Char"/>
    <w:basedOn w:val="DefaultParagraphFont"/>
    <w:qFormat/>
    <w:rPr>
      <w:b/>
      <w:bCs/>
      <w:sz w:val="28"/>
      <w:szCs w:val="24"/>
      <w:lang w:eastAsia="en-US"/>
    </w:rPr>
  </w:style>
  <w:style w:type="character" w:styleId="BodyText2Char">
    <w:name w:val="Body Text 2 Char"/>
    <w:basedOn w:val="DefaultParagraphFont"/>
    <w:qFormat/>
    <w:rPr>
      <w:sz w:val="22"/>
      <w:lang w:eastAsia="en-US"/>
    </w:rPr>
  </w:style>
  <w:style w:type="character" w:styleId="EndnoteTextChar">
    <w:name w:val="Endnote Text Char"/>
    <w:basedOn w:val="DefaultParagraphFont"/>
    <w:qFormat/>
    <w:rPr>
      <w:rFonts w:ascii="Palatino" w:hAnsi="Palatino" w:cs="Palatino"/>
      <w:sz w:val="24"/>
      <w:lang w:eastAsia="en-US"/>
    </w:rPr>
  </w:style>
  <w:style w:type="character" w:styleId="Heading3Char">
    <w:name w:val="Heading 3 Char"/>
    <w:basedOn w:val="DefaultParagraphFont"/>
    <w:qFormat/>
    <w:rPr>
      <w:rFonts w:ascii="Cambria" w:hAnsi="Cambria" w:eastAsia="" w:cs=""/>
      <w:b/>
      <w:bCs/>
      <w:color w:val="4F81BD"/>
      <w:sz w:val="22"/>
      <w:szCs w:val="22"/>
      <w:lang w:eastAsia="en-US"/>
    </w:rPr>
  </w:style>
  <w:style w:type="character" w:styleId="HeaderChar">
    <w:name w:val="Header Char"/>
    <w:basedOn w:val="DefaultParagraphFont"/>
    <w:qFormat/>
    <w:rPr>
      <w:rFonts w:ascii="Arial" w:hAnsi="Arial" w:eastAsia="Calibri" w:cs="Arial"/>
      <w:sz w:val="22"/>
      <w:szCs w:val="22"/>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bC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tyle>
  <w:style w:type="paragraph" w:styleId="Normalp2">
    <w:name w:val="normal-p2"/>
    <w:basedOn w:val="Normal"/>
    <w:qFormat/>
    <w:pPr>
      <w:jc w:val="both"/>
    </w:pPr>
    <w:rPr>
      <w:color w:val="000000"/>
      <w:lang w:eastAsia="en-GB"/>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Title">
    <w:name w:val="Title"/>
    <w:basedOn w:val="Normal"/>
    <w:next w:val="TextBody"/>
    <w:qFormat/>
    <w:pPr>
      <w:jc w:val="center"/>
    </w:pPr>
    <w:rPr>
      <w:rFonts w:ascii="Times New Roman" w:hAnsi="Times New Roman" w:eastAsia="Times New Roman" w:cs="Times New Roman"/>
      <w:b/>
      <w:bCs/>
      <w:sz w:val="28"/>
      <w:szCs w:val="24"/>
    </w:rPr>
  </w:style>
  <w:style w:type="paragraph" w:styleId="BodyText2">
    <w:name w:val="Body Text 2"/>
    <w:basedOn w:val="Normal"/>
    <w:qFormat/>
    <w:pPr>
      <w:overflowPunct w:val="true"/>
      <w:ind w:left="720" w:right="0" w:hanging="0"/>
    </w:pPr>
    <w:rPr>
      <w:rFonts w:ascii="Times New Roman" w:hAnsi="Times New Roman" w:eastAsia="Times New Roman" w:cs="Times New Roman"/>
      <w:szCs w:val="20"/>
    </w:rPr>
  </w:style>
  <w:style w:type="paragraph" w:styleId="Normalweb1">
    <w:name w:val="normalweb1"/>
    <w:basedOn w:val="Normal"/>
    <w:qFormat/>
    <w:pPr>
      <w:spacing w:before="280" w:after="280"/>
    </w:pPr>
    <w:rPr>
      <w:rFonts w:ascii="Arial Unicode MS" w:hAnsi="Arial Unicode MS" w:eastAsia="Arial Unicode MS" w:cs="Arial Unicode MS"/>
      <w:sz w:val="24"/>
      <w:szCs w:val="24"/>
    </w:rPr>
  </w:style>
  <w:style w:type="paragraph" w:styleId="ListParagraph">
    <w:name w:val="List Paragraph"/>
    <w:basedOn w:val="Normal"/>
    <w:qFormat/>
    <w:pPr>
      <w:spacing w:before="0" w:after="0"/>
      <w:ind w:left="720" w:right="0" w:hanging="0"/>
      <w:contextualSpacing/>
    </w:pPr>
    <w:rPr>
      <w:rFonts w:ascii="Helvetica;Arial" w:hAnsi="Helvetica;Arial" w:eastAsia="" w:cs="Helvetica;Arial"/>
      <w:b/>
      <w:sz w:val="24"/>
      <w:szCs w:val="24"/>
    </w:rPr>
  </w:style>
  <w:style w:type="paragraph" w:styleId="NormalArial">
    <w:name w:val="Normal + Arial"/>
    <w:basedOn w:val="Normal"/>
    <w:qFormat/>
    <w:pPr/>
    <w:rPr>
      <w:rFonts w:eastAsia="Times New Roman" w:cs="Arial"/>
      <w:sz w:val="24"/>
      <w:szCs w:val="24"/>
      <w:lang w:eastAsia="en-GB"/>
    </w:rPr>
  </w:style>
  <w:style w:type="paragraph" w:styleId="Endnote">
    <w:name w:val="Endnote Text"/>
    <w:basedOn w:val="Normal"/>
    <w:pPr>
      <w:overflowPunct w:val="true"/>
      <w:textAlignment w:val="baseline"/>
    </w:pPr>
    <w:rPr>
      <w:rFonts w:ascii="Palatino" w:hAnsi="Palatino" w:eastAsia="Times New Roman" w:cs="Palatino"/>
      <w:sz w:val="24"/>
      <w:szCs w:val="20"/>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3.jpeg"/>
</Relationships>
</file>

<file path=word/_rels/footer2.xml.rels><?xml version="1.0" encoding="UTF-8"?>
<Relationships xmlns="http://schemas.openxmlformats.org/package/2006/relationships"><Relationship Id="rId1"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NBG Brochure Cover Template</Template>
  <TotalTime>3</TotalTime>
  <Application>LibreOffice/6.3.4.2$Windows_X86_64 LibreOffice_project/60da17e045e08f1793c57c00ba83cdfce946d0aa</Application>
  <Company>Park Dean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2026-07-08T09:57:00Z</dcterms:created>
  <dc:creator>rita</dc:creator>
  <dc:description/>
  <dc:language>en-US</dc:language>
  <cp:lastModifiedBy>Steven Scott</cp:lastModifiedBy>
  <cp:lastPrinted>1995-11-21T17:41:00Z</cp:lastPrinted>
  <dcterms:modified xsi:type="dcterms:W3CDTF">2026-07-08T09:57:00Z</dcterms:modified>
  <cp:revision>2</cp:revision>
  <dc:subject/>
  <dc:title>New Bridge School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Park Dean School</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