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media/image1.wmf" ContentType="image/x-wmf"/>
  <Override PartName="/word/header2.xml" ContentType="application/vnd.openxmlformats-officedocument.wordprocessingml.header+xml"/>
  <Override PartName="/word/header1.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ackground w:color="FFFFFF"/>
  <w:body>
    <w:p>
      <w:pPr>
        <w:pStyle w:val="Normal"/>
        <w:rPr>
          <w:rFonts w:cs="Arial"/>
          <w:sz w:val="22"/>
          <w:szCs w:val="22"/>
        </w:rPr>
      </w:pPr>
      <w:r>
        <w:rPr>
          <w:rFonts w:cs="Arial"/>
          <w:sz w:val="22"/>
          <w:szCs w:val="22"/>
        </w:rPr>
        <mc:AlternateContent>
          <mc:Choice Requires="wps">
            <w:drawing>
              <wp:anchor behindDoc="0" distT="0" distB="0" distL="114935" distR="114935" simplePos="0" locked="0" layoutInCell="1" allowOverlap="1" relativeHeight="2">
                <wp:simplePos x="0" y="0"/>
                <wp:positionH relativeFrom="column">
                  <wp:posOffset>5029200</wp:posOffset>
                </wp:positionH>
                <wp:positionV relativeFrom="paragraph">
                  <wp:posOffset>-114300</wp:posOffset>
                </wp:positionV>
                <wp:extent cx="1146810" cy="1187450"/>
                <wp:effectExtent l="0" t="0" r="0" b="0"/>
                <wp:wrapNone/>
                <wp:docPr id="1" name="Text Box 2"/>
                <a:graphic xmlns:a="http://schemas.openxmlformats.org/drawingml/2006/main">
                  <a:graphicData uri="http://schemas.microsoft.com/office/word/2010/wordprocessingShape">
                    <wps:wsp>
                      <wps:cNvSpPr/>
                      <wps:spPr>
                        <a:xfrm>
                          <a:off x="0" y="0"/>
                          <a:ext cx="1146960" cy="1187280"/>
                        </a:xfrm>
                        <a:prstGeom prst="rect">
                          <a:avLst/>
                        </a:prstGeom>
                        <a:solidFill>
                          <a:srgbClr val="ffffff"/>
                        </a:solidFill>
                        <a:ln w="0">
                          <a:noFill/>
                        </a:ln>
                      </wps:spPr>
                      <wps:style>
                        <a:lnRef idx="0"/>
                        <a:fillRef idx="0"/>
                        <a:effectRef idx="0"/>
                        <a:fontRef idx="minor"/>
                      </wps:style>
                      <wps:bodyPr/>
                    </wps:wsp>
                  </a:graphicData>
                </a:graphic>
              </wp:anchor>
            </w:drawing>
          </mc:Choice>
          <mc:Fallback>
            <w:pict>
              <v:rect id="shape_0" ID="Text Box 2" path="m0,0l-2147483645,0l-2147483645,-2147483646l0,-2147483646xe" fillcolor="white" stroked="f" o:allowincell="f" style="position:absolute;margin-left:396pt;margin-top:-9pt;width:90.25pt;height:93.45pt;mso-wrap-style:none;v-text-anchor:middle">
                <v:fill o:detectmouseclick="t" type="solid" color2="black"/>
                <v:stroke color="#3465a4" joinstyle="round" endcap="flat"/>
                <w10:wrap type="none"/>
              </v:rect>
            </w:pict>
          </mc:Fallback>
        </mc:AlternateContent>
      </w:r>
      <w:r>
        <mc:AlternateContent>
          <mc:Choice Requires="wps">
            <w:drawing>
              <wp:anchor behindDoc="0" distT="72390" distB="72390" distL="0" distR="0" simplePos="0" locked="0" layoutInCell="1" allowOverlap="1" relativeHeight="4">
                <wp:simplePos x="0" y="0"/>
                <wp:positionH relativeFrom="column">
                  <wp:posOffset>5029200</wp:posOffset>
                </wp:positionH>
                <wp:positionV relativeFrom="paragraph">
                  <wp:posOffset>-114300</wp:posOffset>
                </wp:positionV>
                <wp:extent cx="1146810" cy="1187450"/>
                <wp:effectExtent l="0" t="0" r="0" b="0"/>
                <wp:wrapNone/>
                <wp:docPr id="2" name="Frame1"/>
                <a:graphic xmlns:a="http://schemas.openxmlformats.org/drawingml/2006/main">
                  <a:graphicData uri="http://schemas.microsoft.com/office/word/2010/wordprocessingShape">
                    <wps:wsp>
                      <wps:cNvSpPr txBox="1"/>
                      <wps:spPr>
                        <a:xfrm>
                          <a:off x="0" y="0"/>
                          <a:ext cx="1146810" cy="1187450"/>
                        </a:xfrm>
                        <a:prstGeom prst="rect"/>
                        <a:solidFill>
                          <a:srgbClr val="FFFFFF"/>
                        </a:solidFill>
                      </wps:spPr>
                      <wps:txbx>
                        <w:txbxContent>
                          <w:p>
                            <w:pPr>
                              <w:pStyle w:val="FrameContents"/>
                              <w:rPr/>
                            </w:pPr>
                            <w:r>
                              <w:rPr/>
                              <w:drawing>
                                <wp:inline distT="0" distB="0" distL="0" distR="0">
                                  <wp:extent cx="965200" cy="1097915"/>
                                  <wp:effectExtent l="0" t="0" r="0" b="0"/>
                                  <wp:docPr id="3"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1" descr=""/>
                                          <pic:cNvPicPr>
                                            <a:picLocks noChangeAspect="1" noChangeArrowheads="1"/>
                                          </pic:cNvPicPr>
                                        </pic:nvPicPr>
                                        <pic:blipFill>
                                          <a:blip r:embed="rId2"/>
                                          <a:srcRect l="-40" t="-35" r="-40" b="-35"/>
                                          <a:stretch>
                                            <a:fillRect/>
                                          </a:stretch>
                                        </pic:blipFill>
                                        <pic:spPr bwMode="auto">
                                          <a:xfrm>
                                            <a:off x="0" y="0"/>
                                            <a:ext cx="965200" cy="1097915"/>
                                          </a:xfrm>
                                          <a:prstGeom prst="rect">
                                            <a:avLst/>
                                          </a:prstGeom>
                                        </pic:spPr>
                                      </pic:pic>
                                    </a:graphicData>
                                  </a:graphic>
                                </wp:inline>
                              </w:drawing>
                            </w:r>
                          </w:p>
                        </w:txbxContent>
                      </wps:txbx>
                      <wps:bodyPr anchor="t" lIns="92075" tIns="46355" rIns="92075" bIns="46355">
                        <a:noAutofit/>
                      </wps:bodyPr>
                    </wps:wsp>
                  </a:graphicData>
                </a:graphic>
              </wp:anchor>
            </w:drawing>
          </mc:Choice>
          <mc:Fallback>
            <w:pict>
              <v:rect fillcolor="#FFFFFF" style="position:absolute;rotation:-0;width:90.3pt;height:93.5pt;mso-wrap-distance-left:0pt;mso-wrap-distance-right:0pt;mso-wrap-distance-top:5.7pt;mso-wrap-distance-bottom:5.7pt;margin-top:-9pt;mso-position-vertical-relative:text;margin-left:396pt;mso-position-horizontal-relative:text">
                <v:textbox inset="0.100694444444444in,0.0506944444444444in,0.100694444444444in,0.0506944444444444in">
                  <w:txbxContent>
                    <w:p>
                      <w:pPr>
                        <w:pStyle w:val="FrameContents"/>
                        <w:rPr/>
                      </w:pPr>
                      <w:r>
                        <w:rPr/>
                        <w:drawing>
                          <wp:inline distT="0" distB="0" distL="0" distR="0">
                            <wp:extent cx="965200" cy="1097915"/>
                            <wp:effectExtent l="0" t="0" r="0" b="0"/>
                            <wp:docPr id="4"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1" descr=""/>
                                    <pic:cNvPicPr>
                                      <a:picLocks noChangeAspect="1" noChangeArrowheads="1"/>
                                    </pic:cNvPicPr>
                                  </pic:nvPicPr>
                                  <pic:blipFill>
                                    <a:blip r:embed="rId3"/>
                                    <a:srcRect l="-40" t="-35" r="-40" b="-35"/>
                                    <a:stretch>
                                      <a:fillRect/>
                                    </a:stretch>
                                  </pic:blipFill>
                                  <pic:spPr bwMode="auto">
                                    <a:xfrm>
                                      <a:off x="0" y="0"/>
                                      <a:ext cx="965200" cy="1097915"/>
                                    </a:xfrm>
                                    <a:prstGeom prst="rect">
                                      <a:avLst/>
                                    </a:prstGeom>
                                  </pic:spPr>
                                </pic:pic>
                              </a:graphicData>
                            </a:graphic>
                          </wp:inline>
                        </w:drawing>
                      </w:r>
                    </w:p>
                  </w:txbxContent>
                </v:textbox>
                <w10:wrap type="none"/>
              </v:rect>
            </w:pict>
          </mc:Fallback>
        </mc:AlternateContent>
      </w:r>
    </w:p>
    <w:p>
      <w:pPr>
        <w:pStyle w:val="Heading1"/>
        <w:spacing w:lineRule="auto" w:line="240"/>
        <w:ind w:hanging="0" w:left="0"/>
        <w:rPr>
          <w:rFonts w:cs="Arial"/>
          <w:sz w:val="22"/>
          <w:szCs w:val="22"/>
        </w:rPr>
      </w:pPr>
      <w:r>
        <w:rPr>
          <w:rFonts w:cs="Arial"/>
          <w:sz w:val="22"/>
          <w:szCs w:val="22"/>
        </w:rPr>
      </w:r>
    </w:p>
    <w:p>
      <w:pPr>
        <w:pStyle w:val="Normal"/>
        <w:jc w:val="center"/>
        <w:rPr>
          <w:rFonts w:cs="Arial"/>
          <w:b/>
          <w:bCs/>
          <w:sz w:val="22"/>
          <w:szCs w:val="22"/>
          <w:u w:val="single"/>
        </w:rPr>
      </w:pPr>
      <w:r>
        <w:rPr>
          <w:rFonts w:cs="Arial"/>
          <w:b/>
          <w:bCs/>
          <w:sz w:val="22"/>
          <w:szCs w:val="22"/>
          <w:u w:val="single"/>
        </w:rPr>
        <w:t>OLDHAM COUNCIL</w:t>
      </w:r>
    </w:p>
    <w:p>
      <w:pPr>
        <w:pStyle w:val="Normal"/>
        <w:jc w:val="center"/>
        <w:rPr>
          <w:rFonts w:cs="Arial"/>
          <w:b/>
          <w:bCs/>
          <w:sz w:val="22"/>
          <w:szCs w:val="22"/>
          <w:u w:val="single"/>
        </w:rPr>
      </w:pPr>
      <w:r>
        <w:rPr>
          <w:rFonts w:cs="Arial"/>
          <w:b/>
          <w:bCs/>
          <w:sz w:val="22"/>
          <w:szCs w:val="22"/>
          <w:u w:val="single"/>
        </w:rPr>
      </w:r>
    </w:p>
    <w:p>
      <w:pPr>
        <w:pStyle w:val="Normal"/>
        <w:jc w:val="center"/>
        <w:rPr>
          <w:rFonts w:cs="Arial"/>
          <w:b/>
          <w:bCs/>
          <w:sz w:val="22"/>
          <w:szCs w:val="22"/>
          <w:u w:val="single"/>
        </w:rPr>
      </w:pPr>
      <w:r>
        <w:rPr>
          <w:rFonts w:cs="Arial"/>
          <w:b/>
          <w:bCs/>
          <w:sz w:val="22"/>
          <w:szCs w:val="22"/>
          <w:u w:val="single"/>
        </w:rPr>
        <w:t>JOB DESCRIPTION</w:t>
      </w:r>
    </w:p>
    <w:p>
      <w:pPr>
        <w:pStyle w:val="Normal"/>
        <w:jc w:val="center"/>
        <w:rPr>
          <w:rFonts w:cs="Arial"/>
          <w:b/>
          <w:bCs/>
          <w:sz w:val="22"/>
          <w:szCs w:val="22"/>
          <w:u w:val="single"/>
        </w:rPr>
      </w:pPr>
      <w:r>
        <w:rPr>
          <w:rFonts w:cs="Arial"/>
          <w:b/>
          <w:bCs/>
          <w:sz w:val="22"/>
          <w:szCs w:val="22"/>
          <w:u w:val="single"/>
        </w:rPr>
      </w:r>
    </w:p>
    <w:p>
      <w:pPr>
        <w:pStyle w:val="Normal"/>
        <w:jc w:val="center"/>
        <w:rPr>
          <w:rFonts w:cs="Arial"/>
          <w:b/>
          <w:bCs/>
          <w:sz w:val="22"/>
          <w:szCs w:val="22"/>
          <w:u w:val="single"/>
        </w:rPr>
      </w:pPr>
      <w:r>
        <w:rPr>
          <w:rFonts w:cs="Arial"/>
          <w:b/>
          <w:bCs/>
          <w:sz w:val="22"/>
          <w:szCs w:val="22"/>
          <w:u w:val="single"/>
        </w:rPr>
      </w:r>
    </w:p>
    <w:tbl>
      <w:tblPr>
        <w:tblW w:w="10439" w:type="dxa"/>
        <w:jc w:val="left"/>
        <w:tblInd w:w="-504" w:type="dxa"/>
        <w:tblLayout w:type="fixed"/>
        <w:tblCellMar>
          <w:top w:w="0" w:type="dxa"/>
          <w:left w:w="108" w:type="dxa"/>
          <w:bottom w:w="0" w:type="dxa"/>
          <w:right w:w="108" w:type="dxa"/>
        </w:tblCellMar>
      </w:tblPr>
      <w:tblGrid>
        <w:gridCol w:w="1451"/>
        <w:gridCol w:w="2869"/>
        <w:gridCol w:w="2179"/>
        <w:gridCol w:w="3940"/>
      </w:tblGrid>
      <w:tr>
        <w:trPr>
          <w:trHeight w:val="343" w:hRule="atLeast"/>
          <w:cantSplit w:val="true"/>
        </w:trPr>
        <w:tc>
          <w:tcPr>
            <w:tcW w:w="1451" w:type="dxa"/>
            <w:tcBorders>
              <w:top w:val="single" w:sz="4" w:space="0" w:color="000000"/>
              <w:left w:val="single" w:sz="4" w:space="0" w:color="000000"/>
              <w:bottom w:val="single" w:sz="4" w:space="0" w:color="000000"/>
              <w:right w:val="single" w:sz="4" w:space="0" w:color="000000"/>
            </w:tcBorders>
            <w:shd w:fill="00B3BE" w:val="clear"/>
          </w:tcPr>
          <w:p>
            <w:pPr>
              <w:pStyle w:val="Normal"/>
              <w:rPr>
                <w:rFonts w:cs="Arial"/>
                <w:b/>
                <w:sz w:val="22"/>
                <w:szCs w:val="22"/>
              </w:rPr>
            </w:pPr>
            <w:r>
              <w:rPr>
                <w:rFonts w:cs="Arial"/>
                <w:b/>
                <w:sz w:val="22"/>
                <w:szCs w:val="22"/>
              </w:rPr>
              <w:t xml:space="preserve">Job Title: </w:t>
            </w:r>
          </w:p>
          <w:p>
            <w:pPr>
              <w:pStyle w:val="Normal"/>
              <w:rPr>
                <w:rFonts w:cs="Arial"/>
                <w:sz w:val="22"/>
                <w:szCs w:val="22"/>
              </w:rPr>
            </w:pPr>
            <w:r>
              <w:rPr>
                <w:rFonts w:cs="Arial"/>
                <w:sz w:val="22"/>
                <w:szCs w:val="22"/>
              </w:rPr>
            </w:r>
          </w:p>
        </w:tc>
        <w:tc>
          <w:tcPr>
            <w:tcW w:w="8988" w:type="dxa"/>
            <w:gridSpan w:val="3"/>
            <w:tcBorders>
              <w:top w:val="single" w:sz="4" w:space="0" w:color="000000"/>
              <w:left w:val="single" w:sz="4" w:space="0" w:color="000000"/>
              <w:bottom w:val="single" w:sz="4" w:space="0" w:color="000000"/>
              <w:right w:val="single" w:sz="4" w:space="0" w:color="000000"/>
            </w:tcBorders>
          </w:tcPr>
          <w:p>
            <w:pPr>
              <w:pStyle w:val="EndnoteText"/>
              <w:rPr>
                <w:rFonts w:ascii="Arial" w:hAnsi="Arial" w:cs="Arial"/>
                <w:bCs/>
                <w:sz w:val="22"/>
                <w:szCs w:val="22"/>
              </w:rPr>
            </w:pPr>
            <w:r>
              <w:rPr>
                <w:rFonts w:cs="Arial" w:ascii="Arial" w:hAnsi="Arial"/>
                <w:bCs/>
                <w:sz w:val="22"/>
                <w:szCs w:val="22"/>
              </w:rPr>
              <w:t xml:space="preserve">Housing Contracts and Quality Manager – Housing </w:t>
            </w:r>
          </w:p>
        </w:tc>
      </w:tr>
      <w:tr>
        <w:trPr>
          <w:cantSplit w:val="true"/>
        </w:trPr>
        <w:tc>
          <w:tcPr>
            <w:tcW w:w="1451" w:type="dxa"/>
            <w:tcBorders>
              <w:top w:val="single" w:sz="4" w:space="0" w:color="000000"/>
              <w:left w:val="single" w:sz="4" w:space="0" w:color="000000"/>
              <w:bottom w:val="single" w:sz="4" w:space="0" w:color="000000"/>
              <w:right w:val="single" w:sz="4" w:space="0" w:color="000000"/>
            </w:tcBorders>
            <w:shd w:fill="00B3BE" w:val="clear"/>
          </w:tcPr>
          <w:p>
            <w:pPr>
              <w:pStyle w:val="Normal"/>
              <w:rPr/>
            </w:pPr>
            <w:r>
              <w:rPr>
                <w:rFonts w:cs="Arial"/>
                <w:b/>
                <w:sz w:val="22"/>
                <w:szCs w:val="22"/>
              </w:rPr>
              <w:t>Directorate:</w:t>
            </w:r>
            <w:r>
              <w:rPr>
                <w:rFonts w:cs="Arial"/>
                <w:sz w:val="22"/>
                <w:szCs w:val="22"/>
              </w:rPr>
              <w:t xml:space="preserve">  </w:t>
            </w:r>
          </w:p>
        </w:tc>
        <w:tc>
          <w:tcPr>
            <w:tcW w:w="2869" w:type="dxa"/>
            <w:tcBorders>
              <w:top w:val="single" w:sz="4" w:space="0" w:color="000000"/>
              <w:left w:val="single" w:sz="4" w:space="0" w:color="000000"/>
              <w:bottom w:val="single" w:sz="4" w:space="0" w:color="000000"/>
              <w:right w:val="single" w:sz="4" w:space="0" w:color="000000"/>
            </w:tcBorders>
          </w:tcPr>
          <w:p>
            <w:pPr>
              <w:pStyle w:val="Normal"/>
              <w:rPr>
                <w:rFonts w:cs="Arial"/>
                <w:sz w:val="22"/>
                <w:szCs w:val="22"/>
              </w:rPr>
            </w:pPr>
            <w:r>
              <w:rPr>
                <w:rFonts w:cs="Arial"/>
                <w:sz w:val="22"/>
                <w:szCs w:val="22"/>
              </w:rPr>
              <w:t>People and Place</w:t>
            </w:r>
          </w:p>
          <w:p>
            <w:pPr>
              <w:pStyle w:val="Normal"/>
              <w:rPr>
                <w:rFonts w:cs="Arial"/>
                <w:sz w:val="22"/>
                <w:szCs w:val="22"/>
              </w:rPr>
            </w:pPr>
            <w:r>
              <w:rPr>
                <w:rFonts w:cs="Arial"/>
                <w:sz w:val="22"/>
                <w:szCs w:val="22"/>
              </w:rPr>
              <w:t xml:space="preserve">Economy </w:t>
            </w:r>
          </w:p>
        </w:tc>
        <w:tc>
          <w:tcPr>
            <w:tcW w:w="2179" w:type="dxa"/>
            <w:tcBorders>
              <w:top w:val="single" w:sz="4" w:space="0" w:color="000000"/>
              <w:bottom w:val="single" w:sz="4" w:space="0" w:color="000000"/>
              <w:right w:val="single" w:sz="4" w:space="0" w:color="000000"/>
            </w:tcBorders>
            <w:shd w:fill="00B3BE" w:val="clear"/>
          </w:tcPr>
          <w:p>
            <w:pPr>
              <w:pStyle w:val="Normal"/>
              <w:rPr/>
            </w:pPr>
            <w:r>
              <w:rPr>
                <w:rFonts w:cs="Arial"/>
                <w:b/>
                <w:sz w:val="22"/>
                <w:szCs w:val="22"/>
              </w:rPr>
              <w:t>Division/Section:</w:t>
            </w:r>
            <w:r>
              <w:rPr>
                <w:rFonts w:cs="Arial"/>
                <w:sz w:val="22"/>
                <w:szCs w:val="22"/>
              </w:rPr>
              <w:t xml:space="preserve"> </w:t>
            </w:r>
          </w:p>
          <w:p>
            <w:pPr>
              <w:pStyle w:val="Normal"/>
              <w:rPr>
                <w:rFonts w:cs="Arial"/>
                <w:sz w:val="22"/>
                <w:szCs w:val="22"/>
              </w:rPr>
            </w:pPr>
            <w:r>
              <w:rPr>
                <w:rFonts w:cs="Arial"/>
                <w:sz w:val="22"/>
                <w:szCs w:val="22"/>
              </w:rPr>
            </w:r>
          </w:p>
        </w:tc>
        <w:tc>
          <w:tcPr>
            <w:tcW w:w="3940" w:type="dxa"/>
            <w:tcBorders>
              <w:top w:val="single" w:sz="4" w:space="0" w:color="000000"/>
              <w:left w:val="single" w:sz="4" w:space="0" w:color="000000"/>
              <w:bottom w:val="single" w:sz="4" w:space="0" w:color="000000"/>
              <w:right w:val="single" w:sz="4" w:space="0" w:color="000000"/>
            </w:tcBorders>
          </w:tcPr>
          <w:p>
            <w:pPr>
              <w:pStyle w:val="Normal"/>
              <w:rPr>
                <w:rFonts w:cs="Arial"/>
                <w:sz w:val="22"/>
                <w:szCs w:val="22"/>
              </w:rPr>
            </w:pPr>
            <w:r>
              <w:rPr>
                <w:rFonts w:cs="Arial"/>
                <w:sz w:val="22"/>
                <w:szCs w:val="22"/>
              </w:rPr>
              <w:t>Strategic Housing</w:t>
            </w:r>
          </w:p>
        </w:tc>
      </w:tr>
      <w:tr>
        <w:trPr>
          <w:cantSplit w:val="true"/>
        </w:trPr>
        <w:tc>
          <w:tcPr>
            <w:tcW w:w="1451" w:type="dxa"/>
            <w:tcBorders>
              <w:top w:val="single" w:sz="4" w:space="0" w:color="000000"/>
              <w:left w:val="single" w:sz="4" w:space="0" w:color="000000"/>
              <w:bottom w:val="single" w:sz="4" w:space="0" w:color="000000"/>
              <w:right w:val="single" w:sz="4" w:space="0" w:color="000000"/>
            </w:tcBorders>
            <w:shd w:fill="00B3BE" w:val="clear"/>
          </w:tcPr>
          <w:p>
            <w:pPr>
              <w:pStyle w:val="Normal"/>
              <w:rPr>
                <w:rFonts w:cs="Arial"/>
                <w:b/>
                <w:sz w:val="22"/>
                <w:szCs w:val="22"/>
              </w:rPr>
            </w:pPr>
            <w:r>
              <w:rPr>
                <w:rFonts w:cs="Arial"/>
                <w:b/>
                <w:sz w:val="22"/>
                <w:szCs w:val="22"/>
              </w:rPr>
              <w:t xml:space="preserve">Grade:  </w:t>
            </w:r>
          </w:p>
          <w:p>
            <w:pPr>
              <w:pStyle w:val="Normal"/>
              <w:rPr>
                <w:rFonts w:cs="Arial"/>
                <w:sz w:val="22"/>
                <w:szCs w:val="22"/>
              </w:rPr>
            </w:pPr>
            <w:r>
              <w:rPr>
                <w:rFonts w:cs="Arial"/>
                <w:sz w:val="22"/>
                <w:szCs w:val="22"/>
              </w:rPr>
            </w:r>
          </w:p>
        </w:tc>
        <w:tc>
          <w:tcPr>
            <w:tcW w:w="2869" w:type="dxa"/>
            <w:tcBorders>
              <w:top w:val="single" w:sz="4" w:space="0" w:color="000000"/>
              <w:left w:val="single" w:sz="4" w:space="0" w:color="000000"/>
              <w:bottom w:val="single" w:sz="4" w:space="0" w:color="000000"/>
              <w:right w:val="single" w:sz="4" w:space="0" w:color="000000"/>
            </w:tcBorders>
          </w:tcPr>
          <w:p>
            <w:pPr>
              <w:pStyle w:val="Header"/>
              <w:tabs>
                <w:tab w:val="clear" w:pos="4153"/>
                <w:tab w:val="clear" w:pos="8306"/>
              </w:tabs>
              <w:rPr>
                <w:rFonts w:cs="Arial"/>
                <w:szCs w:val="22"/>
              </w:rPr>
            </w:pPr>
            <w:r>
              <w:rPr>
                <w:rFonts w:cs="Arial"/>
                <w:szCs w:val="22"/>
              </w:rPr>
              <w:t>10</w:t>
            </w:r>
          </w:p>
        </w:tc>
        <w:tc>
          <w:tcPr>
            <w:tcW w:w="2179" w:type="dxa"/>
            <w:tcBorders>
              <w:top w:val="single" w:sz="4" w:space="0" w:color="000000"/>
              <w:bottom w:val="single" w:sz="4" w:space="0" w:color="000000"/>
              <w:right w:val="single" w:sz="4" w:space="0" w:color="000000"/>
            </w:tcBorders>
            <w:shd w:fill="00B3BE" w:val="clear"/>
          </w:tcPr>
          <w:p>
            <w:pPr>
              <w:pStyle w:val="Header"/>
              <w:tabs>
                <w:tab w:val="clear" w:pos="4153"/>
                <w:tab w:val="clear" w:pos="8306"/>
              </w:tabs>
              <w:rPr>
                <w:rFonts w:cs="Arial"/>
                <w:b/>
                <w:szCs w:val="22"/>
              </w:rPr>
            </w:pPr>
            <w:r>
              <w:rPr>
                <w:rFonts w:cs="Arial"/>
                <w:b/>
                <w:szCs w:val="22"/>
              </w:rPr>
              <w:t>JE Reference:</w:t>
            </w:r>
          </w:p>
        </w:tc>
        <w:tc>
          <w:tcPr>
            <w:tcW w:w="3940" w:type="dxa"/>
            <w:tcBorders>
              <w:top w:val="single" w:sz="4" w:space="0" w:color="000000"/>
              <w:left w:val="single" w:sz="4" w:space="0" w:color="000000"/>
              <w:bottom w:val="single" w:sz="4" w:space="0" w:color="000000"/>
              <w:right w:val="single" w:sz="4" w:space="0" w:color="000000"/>
            </w:tcBorders>
          </w:tcPr>
          <w:p>
            <w:pPr>
              <w:pStyle w:val="Header"/>
              <w:tabs>
                <w:tab w:val="clear" w:pos="4153"/>
                <w:tab w:val="clear" w:pos="8306"/>
              </w:tabs>
              <w:rPr>
                <w:rFonts w:cs="Arial"/>
                <w:szCs w:val="22"/>
              </w:rPr>
            </w:pPr>
            <w:r>
              <w:rPr>
                <w:rFonts w:cs="Arial"/>
                <w:szCs w:val="22"/>
              </w:rPr>
              <w:t>9324</w:t>
            </w:r>
          </w:p>
        </w:tc>
      </w:tr>
    </w:tbl>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r>
    </w:p>
    <w:tbl>
      <w:tblPr>
        <w:tblW w:w="10348" w:type="dxa"/>
        <w:jc w:val="left"/>
        <w:tblInd w:w="-493" w:type="dxa"/>
        <w:tblLayout w:type="fixed"/>
        <w:tblCellMar>
          <w:top w:w="0" w:type="dxa"/>
          <w:left w:w="108" w:type="dxa"/>
          <w:bottom w:w="0" w:type="dxa"/>
          <w:right w:w="108" w:type="dxa"/>
        </w:tblCellMar>
      </w:tblPr>
      <w:tblGrid>
        <w:gridCol w:w="10348"/>
      </w:tblGrid>
      <w:tr>
        <w:trPr/>
        <w:tc>
          <w:tcPr>
            <w:tcW w:w="10348" w:type="dxa"/>
            <w:tcBorders>
              <w:top w:val="single" w:sz="4" w:space="0" w:color="000000"/>
              <w:left w:val="single" w:sz="4" w:space="0" w:color="000000"/>
              <w:bottom w:val="single" w:sz="4" w:space="0" w:color="000000"/>
              <w:right w:val="single" w:sz="4" w:space="0" w:color="000000"/>
            </w:tcBorders>
            <w:shd w:fill="33CCCC" w:val="clear"/>
          </w:tcPr>
          <w:p>
            <w:pPr>
              <w:pStyle w:val="Normal"/>
              <w:rPr>
                <w:rFonts w:cs="Arial"/>
                <w:b/>
                <w:bCs/>
                <w:sz w:val="22"/>
                <w:szCs w:val="22"/>
              </w:rPr>
            </w:pPr>
            <w:r>
              <w:rPr>
                <w:rFonts w:cs="Arial"/>
                <w:b/>
                <w:bCs/>
                <w:sz w:val="22"/>
                <w:szCs w:val="22"/>
              </w:rPr>
              <w:t>Job Purpose</w:t>
            </w:r>
          </w:p>
          <w:p>
            <w:pPr>
              <w:pStyle w:val="Normal"/>
              <w:rPr>
                <w:rFonts w:cs="Arial"/>
                <w:sz w:val="22"/>
                <w:szCs w:val="22"/>
              </w:rPr>
            </w:pPr>
            <w:r>
              <w:rPr>
                <w:rFonts w:cs="Arial"/>
                <w:sz w:val="22"/>
                <w:szCs w:val="22"/>
              </w:rPr>
            </w:r>
          </w:p>
        </w:tc>
      </w:tr>
      <w:tr>
        <w:trPr/>
        <w:tc>
          <w:tcPr>
            <w:tcW w:w="10348" w:type="dxa"/>
            <w:tcBorders>
              <w:top w:val="single" w:sz="4" w:space="0" w:color="000000"/>
              <w:left w:val="single" w:sz="4" w:space="0" w:color="000000"/>
              <w:bottom w:val="single" w:sz="4" w:space="0" w:color="000000"/>
              <w:right w:val="single" w:sz="4" w:space="0" w:color="000000"/>
            </w:tcBorders>
          </w:tcPr>
          <w:p>
            <w:pPr>
              <w:pStyle w:val="Normal"/>
              <w:rPr/>
            </w:pPr>
            <w:r>
              <w:rPr/>
              <w:t xml:space="preserve">Responsible for the financial management and performance management of a range of housing contracts including PFI housing to ensure successful delivery of services for our residents. </w:t>
            </w:r>
          </w:p>
          <w:p>
            <w:pPr>
              <w:pStyle w:val="Normal"/>
              <w:rPr/>
            </w:pPr>
            <w:r>
              <w:rPr/>
            </w:r>
          </w:p>
          <w:p>
            <w:pPr>
              <w:pStyle w:val="Normal"/>
              <w:rPr/>
            </w:pPr>
            <w:r>
              <w:rPr/>
              <w:t xml:space="preserve">Responsible for the continued development of the HRA business planning programme. This includes future council house development, expansion, repurposing and rationalisation of HRA  stock in accordance with the Council’s regeneration and Housing strategies. </w:t>
            </w:r>
          </w:p>
          <w:p>
            <w:pPr>
              <w:pStyle w:val="Normal"/>
              <w:rPr/>
            </w:pPr>
            <w:r>
              <w:rPr/>
            </w:r>
          </w:p>
          <w:p>
            <w:pPr>
              <w:pStyle w:val="Normal"/>
              <w:pBdr>
                <w:bottom w:val="single" w:sz="4" w:space="1" w:color="000000"/>
              </w:pBdr>
              <w:rPr/>
            </w:pPr>
            <w:r>
              <w:rPr/>
              <w:t xml:space="preserve">Responsible for legislative compliance for Council Owned stock (this includes existing and new legislative requirements as they arise). </w:t>
            </w:r>
          </w:p>
          <w:p>
            <w:pPr>
              <w:pStyle w:val="Normal"/>
              <w:rPr/>
            </w:pPr>
            <w:r>
              <w:rPr/>
            </w:r>
          </w:p>
          <w:p>
            <w:pPr>
              <w:pStyle w:val="Normal"/>
              <w:rPr/>
            </w:pPr>
            <w:r>
              <w:rPr/>
              <w:t xml:space="preserve">Responsible for the convening and delivering the HRA Board to ensure robust governance with regards to the delivery of the PFI contracts, HRA work programme of works, financial management and legislative compliance of the HRA and council owned stock. </w:t>
            </w:r>
          </w:p>
          <w:p>
            <w:pPr>
              <w:pStyle w:val="Normal"/>
              <w:ind w:left="44" w:right="0"/>
              <w:jc w:val="both"/>
              <w:rPr>
                <w:rFonts w:cs="Arial"/>
                <w:sz w:val="22"/>
                <w:szCs w:val="22"/>
              </w:rPr>
            </w:pPr>
            <w:r>
              <w:rPr>
                <w:rFonts w:cs="Arial"/>
                <w:sz w:val="22"/>
                <w:szCs w:val="22"/>
              </w:rPr>
            </w:r>
          </w:p>
          <w:p>
            <w:pPr>
              <w:pStyle w:val="Normal"/>
              <w:ind w:left="44" w:right="0"/>
              <w:jc w:val="both"/>
              <w:rPr>
                <w:rFonts w:cs="Arial"/>
              </w:rPr>
            </w:pPr>
            <w:r>
              <w:rPr>
                <w:rFonts w:cs="Arial"/>
              </w:rPr>
              <w:t>To assist the Head of Service and wider management team in the management of staff and resources within the Division.</w:t>
            </w:r>
          </w:p>
          <w:p>
            <w:pPr>
              <w:pStyle w:val="Normal"/>
              <w:rPr>
                <w:rFonts w:cs="Arial"/>
                <w:sz w:val="22"/>
                <w:szCs w:val="22"/>
              </w:rPr>
            </w:pPr>
            <w:r>
              <w:rPr>
                <w:rFonts w:cs="Arial"/>
                <w:sz w:val="22"/>
                <w:szCs w:val="22"/>
              </w:rPr>
            </w:r>
          </w:p>
        </w:tc>
      </w:tr>
      <w:tr>
        <w:trPr/>
        <w:tc>
          <w:tcPr>
            <w:tcW w:w="10348" w:type="dxa"/>
            <w:tcBorders>
              <w:top w:val="single" w:sz="4" w:space="0" w:color="000000"/>
              <w:left w:val="single" w:sz="4" w:space="0" w:color="000000"/>
              <w:bottom w:val="single" w:sz="4" w:space="0" w:color="000000"/>
              <w:right w:val="single" w:sz="4" w:space="0" w:color="000000"/>
            </w:tcBorders>
            <w:shd w:fill="33CCCC" w:val="clear"/>
          </w:tcPr>
          <w:p>
            <w:pPr>
              <w:pStyle w:val="Normal"/>
              <w:rPr>
                <w:rFonts w:cs="Arial"/>
                <w:b/>
                <w:bCs/>
                <w:sz w:val="22"/>
                <w:szCs w:val="22"/>
              </w:rPr>
            </w:pPr>
            <w:r>
              <w:rPr>
                <w:rFonts w:cs="Arial"/>
                <w:b/>
                <w:bCs/>
                <w:sz w:val="22"/>
                <w:szCs w:val="22"/>
              </w:rPr>
              <w:t>Key Tasks</w:t>
            </w:r>
          </w:p>
          <w:p>
            <w:pPr>
              <w:pStyle w:val="Normal"/>
              <w:rPr>
                <w:rFonts w:cs="Arial"/>
                <w:sz w:val="22"/>
                <w:szCs w:val="22"/>
              </w:rPr>
            </w:pPr>
            <w:r>
              <w:rPr>
                <w:rFonts w:cs="Arial"/>
                <w:sz w:val="22"/>
                <w:szCs w:val="22"/>
              </w:rPr>
            </w:r>
          </w:p>
        </w:tc>
      </w:tr>
      <w:tr>
        <w:trPr/>
        <w:tc>
          <w:tcPr>
            <w:tcW w:w="10348" w:type="dxa"/>
            <w:tcBorders>
              <w:top w:val="single" w:sz="4" w:space="0" w:color="000000"/>
              <w:left w:val="single" w:sz="4" w:space="0" w:color="000000"/>
              <w:bottom w:val="single" w:sz="4" w:space="0" w:color="000000"/>
              <w:right w:val="single" w:sz="4" w:space="0" w:color="000000"/>
            </w:tcBorders>
          </w:tcPr>
          <w:p>
            <w:pPr>
              <w:pStyle w:val="Normal"/>
              <w:rPr>
                <w:rFonts w:cs="Arial"/>
                <w:sz w:val="22"/>
                <w:szCs w:val="22"/>
                <w:lang w:eastAsia="en-GB"/>
              </w:rPr>
            </w:pPr>
            <w:r>
              <w:rPr>
                <w:rFonts w:cs="Arial"/>
                <w:sz w:val="22"/>
                <w:szCs w:val="22"/>
                <w:lang w:eastAsia="en-GB"/>
              </w:rPr>
              <w:t>To develop and manage contracts in relation to new build affordable and specialist housing projects on Council owned sites, and work with colleagues to scope, design, implement and manage the projects through to completion based on the finances available.</w:t>
            </w:r>
          </w:p>
          <w:p>
            <w:pPr>
              <w:pStyle w:val="Normal"/>
              <w:rPr>
                <w:rFonts w:cs="Arial"/>
                <w:sz w:val="22"/>
                <w:szCs w:val="22"/>
                <w:lang w:eastAsia="en-GB"/>
              </w:rPr>
            </w:pPr>
            <w:r>
              <w:rPr>
                <w:rFonts w:cs="Arial"/>
                <w:sz w:val="22"/>
                <w:szCs w:val="22"/>
                <w:lang w:eastAsia="en-GB"/>
              </w:rPr>
            </w:r>
          </w:p>
          <w:p>
            <w:pPr>
              <w:pStyle w:val="Normal"/>
              <w:rPr/>
            </w:pPr>
            <w:r>
              <w:rPr>
                <w:rFonts w:cs="Arial"/>
                <w:sz w:val="22"/>
                <w:szCs w:val="22"/>
                <w:lang w:eastAsia="en-GB"/>
              </w:rPr>
              <w:t>To be responsible for the contractual programme management of a wide range of housing related projects (including HRA and PFI Housing, Affordable Warmth,</w:t>
            </w:r>
            <w:r>
              <w:rPr>
                <w:rFonts w:cs="Arial"/>
                <w:sz w:val="22"/>
                <w:szCs w:val="22"/>
              </w:rPr>
              <w:t xml:space="preserve"> Fuel Poverty, Housing and Health, </w:t>
            </w:r>
            <w:r>
              <w:rPr>
                <w:rFonts w:cs="Arial"/>
                <w:sz w:val="22"/>
                <w:szCs w:val="22"/>
                <w:lang w:eastAsia="en-GB"/>
              </w:rPr>
              <w:t xml:space="preserve">and Housing Retrofit) ensuring programmes are delivered on time and within budget, in compliance with statutory requirements and grant conditions, and ensuring the required KPIs, outcomes, outputs, spend and value for money are achieved. </w:t>
            </w:r>
          </w:p>
          <w:p>
            <w:pPr>
              <w:pStyle w:val="Normal"/>
              <w:rPr>
                <w:rFonts w:cs="Arial"/>
                <w:sz w:val="22"/>
                <w:szCs w:val="22"/>
                <w:lang w:eastAsia="en-GB"/>
              </w:rPr>
            </w:pPr>
            <w:r>
              <w:rPr>
                <w:rFonts w:cs="Arial"/>
                <w:sz w:val="22"/>
                <w:szCs w:val="22"/>
                <w:lang w:eastAsia="en-GB"/>
              </w:rPr>
            </w:r>
          </w:p>
          <w:p>
            <w:pPr>
              <w:pStyle w:val="BodyText"/>
              <w:rPr>
                <w:rFonts w:cs="Arial"/>
                <w:b w:val="false"/>
                <w:szCs w:val="22"/>
              </w:rPr>
            </w:pPr>
            <w:r>
              <w:rPr>
                <w:rFonts w:cs="Arial"/>
                <w:b w:val="false"/>
                <w:szCs w:val="22"/>
              </w:rPr>
              <w:t>To be responsible for significant budgets for housing related projects and the long-term financial planning of the HRA and Capital Programme.</w:t>
            </w:r>
          </w:p>
          <w:p>
            <w:pPr>
              <w:pStyle w:val="Normal"/>
              <w:rPr>
                <w:rFonts w:eastAsia="Arial" w:cs="Arial"/>
                <w:sz w:val="22"/>
                <w:szCs w:val="22"/>
              </w:rPr>
            </w:pPr>
            <w:r>
              <w:rPr>
                <w:rFonts w:eastAsia="Arial" w:cs="Arial"/>
                <w:sz w:val="22"/>
                <w:szCs w:val="22"/>
              </w:rPr>
              <w:t xml:space="preserve"> </w:t>
            </w:r>
          </w:p>
          <w:p>
            <w:pPr>
              <w:pStyle w:val="Normal"/>
              <w:ind w:left="44" w:right="0"/>
              <w:rPr>
                <w:rFonts w:cs="Arial"/>
                <w:sz w:val="22"/>
                <w:szCs w:val="22"/>
                <w:lang w:eastAsia="en-GB"/>
              </w:rPr>
            </w:pPr>
            <w:r>
              <w:rPr>
                <w:rFonts w:cs="Arial"/>
                <w:sz w:val="22"/>
                <w:szCs w:val="22"/>
                <w:lang w:eastAsia="en-GB"/>
              </w:rPr>
              <w:t xml:space="preserve">To work with other Council service groups and teams to ensure that Council strategies and policies align with and support the provision of affordable, safe and warm homes within the borough. </w:t>
            </w:r>
          </w:p>
          <w:p>
            <w:pPr>
              <w:pStyle w:val="Normal"/>
              <w:ind w:left="44" w:right="0"/>
              <w:rPr>
                <w:rFonts w:cs="Arial"/>
                <w:sz w:val="22"/>
                <w:szCs w:val="22"/>
                <w:lang w:eastAsia="en-GB"/>
              </w:rPr>
            </w:pPr>
            <w:r>
              <w:rPr>
                <w:rFonts w:cs="Arial"/>
                <w:sz w:val="22"/>
                <w:szCs w:val="22"/>
                <w:lang w:eastAsia="en-GB"/>
              </w:rPr>
            </w:r>
          </w:p>
          <w:p>
            <w:pPr>
              <w:pStyle w:val="Normal"/>
              <w:ind w:left="44" w:right="0"/>
              <w:rPr>
                <w:rFonts w:cs="Arial"/>
                <w:sz w:val="22"/>
                <w:szCs w:val="22"/>
                <w:lang w:eastAsia="en-GB"/>
              </w:rPr>
            </w:pPr>
            <w:r>
              <w:rPr>
                <w:rFonts w:cs="Arial"/>
                <w:sz w:val="22"/>
                <w:szCs w:val="22"/>
                <w:lang w:eastAsia="en-GB"/>
              </w:rPr>
              <w:t xml:space="preserve">To ensure that existing and new upcoming legislation is implemented effectively and efficiently across all HRA council owned stock ensuring full compliance. </w:t>
            </w:r>
          </w:p>
          <w:p>
            <w:pPr>
              <w:pStyle w:val="Normal"/>
              <w:ind w:left="44" w:right="0"/>
              <w:rPr>
                <w:rFonts w:cs="Arial"/>
                <w:sz w:val="22"/>
                <w:szCs w:val="22"/>
                <w:lang w:eastAsia="en-GB"/>
              </w:rPr>
            </w:pPr>
            <w:r>
              <w:rPr>
                <w:rFonts w:cs="Arial"/>
                <w:sz w:val="22"/>
                <w:szCs w:val="22"/>
                <w:lang w:eastAsia="en-GB"/>
              </w:rPr>
            </w:r>
          </w:p>
          <w:p>
            <w:pPr>
              <w:pStyle w:val="Normal"/>
              <w:rPr>
                <w:rFonts w:cs="Arial"/>
                <w:lang w:eastAsia="en-GB"/>
              </w:rPr>
            </w:pPr>
            <w:r>
              <w:rPr>
                <w:rFonts w:cs="Arial"/>
                <w:lang w:eastAsia="en-GB"/>
              </w:rPr>
              <w:t xml:space="preserve">To undertake the procurement and performance management of all necessary consultants and contractors to deliver housing related projects. </w:t>
            </w:r>
          </w:p>
          <w:p>
            <w:pPr>
              <w:pStyle w:val="Normal"/>
              <w:rPr>
                <w:rFonts w:cs="Arial"/>
                <w:lang w:eastAsia="en-GB"/>
              </w:rPr>
            </w:pPr>
            <w:r>
              <w:rPr>
                <w:rFonts w:cs="Arial"/>
                <w:lang w:eastAsia="en-GB"/>
              </w:rPr>
            </w:r>
          </w:p>
          <w:p>
            <w:pPr>
              <w:pStyle w:val="Normal"/>
              <w:rPr>
                <w:rFonts w:cs="Arial"/>
                <w:lang w:eastAsia="en-GB"/>
              </w:rPr>
            </w:pPr>
            <w:r>
              <w:rPr>
                <w:rFonts w:cs="Arial"/>
                <w:lang w:eastAsia="en-GB"/>
              </w:rPr>
              <w:t>To monitor and manage the contractual relationships between Oldham Council and partners ensuring project deliverables are audited, quality assured and understood by all parties.</w:t>
            </w:r>
          </w:p>
          <w:p>
            <w:pPr>
              <w:pStyle w:val="Normal"/>
              <w:rPr>
                <w:rFonts w:cs="Arial"/>
              </w:rPr>
            </w:pPr>
            <w:r>
              <w:rPr>
                <w:rFonts w:cs="Arial"/>
              </w:rPr>
            </w:r>
          </w:p>
          <w:p>
            <w:pPr>
              <w:pStyle w:val="Normal"/>
              <w:rPr/>
            </w:pPr>
            <w:r>
              <w:rPr>
                <w:rFonts w:cs="Arial"/>
              </w:rPr>
              <w:t>To evaluate, document and recommend implementation or refusal of contract changes suggested by the Council’s partners and identify, evaluate, broker and implement appropriate Council-led contract changes</w:t>
            </w:r>
            <w:r>
              <w:rPr>
                <w:rFonts w:cs="Arial"/>
                <w:sz w:val="22"/>
                <w:szCs w:val="22"/>
              </w:rPr>
              <w:t xml:space="preserve">. </w:t>
            </w:r>
          </w:p>
          <w:p>
            <w:pPr>
              <w:pStyle w:val="Normal"/>
              <w:rPr>
                <w:rFonts w:cs="Arial"/>
                <w:szCs w:val="22"/>
              </w:rPr>
            </w:pPr>
            <w:r>
              <w:rPr>
                <w:rFonts w:cs="Arial"/>
                <w:szCs w:val="22"/>
              </w:rPr>
            </w:r>
          </w:p>
          <w:p>
            <w:pPr>
              <w:pStyle w:val="Normal"/>
              <w:rPr>
                <w:rFonts w:cs="Arial"/>
                <w:szCs w:val="22"/>
              </w:rPr>
            </w:pPr>
            <w:r>
              <w:rPr>
                <w:rFonts w:cs="Arial"/>
                <w:szCs w:val="22"/>
              </w:rPr>
              <w:t>To manage, supervise and motivate team members who directly report to the post.</w:t>
            </w:r>
          </w:p>
          <w:p>
            <w:pPr>
              <w:pStyle w:val="Normal"/>
              <w:rPr>
                <w:rFonts w:cs="Arial"/>
                <w:sz w:val="22"/>
                <w:szCs w:val="22"/>
              </w:rPr>
            </w:pPr>
            <w:r>
              <w:rPr>
                <w:rFonts w:cs="Arial"/>
                <w:sz w:val="22"/>
                <w:szCs w:val="22"/>
              </w:rPr>
            </w:r>
          </w:p>
          <w:p>
            <w:pPr>
              <w:pStyle w:val="Normal"/>
              <w:rPr>
                <w:rFonts w:cs="Arial"/>
              </w:rPr>
            </w:pPr>
            <w:r>
              <w:rPr>
                <w:rFonts w:cs="Arial"/>
              </w:rPr>
              <w:t>To assist in the appointment, development, discipline, and motivation of staff within the Strategic Housing Division and to ensure that all employees operate within the bounds of the Council’s corporate policies.</w:t>
            </w:r>
          </w:p>
          <w:p>
            <w:pPr>
              <w:pStyle w:val="Normal"/>
              <w:rPr>
                <w:rFonts w:cs="Arial"/>
              </w:rPr>
            </w:pPr>
            <w:r>
              <w:rPr>
                <w:rFonts w:cs="Arial"/>
              </w:rPr>
            </w:r>
          </w:p>
          <w:p>
            <w:pPr>
              <w:pStyle w:val="Normal"/>
              <w:rPr>
                <w:rFonts w:cs="Arial"/>
              </w:rPr>
            </w:pPr>
            <w:r>
              <w:rPr>
                <w:rFonts w:cs="Arial"/>
              </w:rPr>
              <w:t>To assist in the preparation and delivery of the borough's overall housing and regeneration policies and strategies.</w:t>
            </w:r>
          </w:p>
          <w:p>
            <w:pPr>
              <w:pStyle w:val="Normal"/>
              <w:ind w:hanging="600" w:left="360" w:right="0"/>
              <w:jc w:val="both"/>
              <w:rPr>
                <w:rFonts w:cs="Arial"/>
              </w:rPr>
            </w:pPr>
            <w:r>
              <w:rPr>
                <w:rFonts w:cs="Arial"/>
              </w:rPr>
            </w:r>
          </w:p>
          <w:p>
            <w:pPr>
              <w:pStyle w:val="Normal"/>
              <w:jc w:val="both"/>
              <w:rPr>
                <w:rFonts w:cs="Arial"/>
              </w:rPr>
            </w:pPr>
            <w:r>
              <w:rPr>
                <w:rFonts w:cs="Arial"/>
              </w:rPr>
              <w:t>To prepare and present reports for the consideration of the Council's Cabinet, Programme Boards, funding panels, public consultation events and organisations as required.</w:t>
            </w:r>
            <w:bookmarkStart w:id="0" w:name="Text6"/>
            <w:bookmarkEnd w:id="0"/>
          </w:p>
          <w:p>
            <w:pPr>
              <w:pStyle w:val="Normal"/>
              <w:rPr>
                <w:rFonts w:cs="Arial"/>
                <w:sz w:val="22"/>
                <w:szCs w:val="22"/>
              </w:rPr>
            </w:pPr>
            <w:r>
              <w:rPr>
                <w:rFonts w:cs="Arial"/>
                <w:sz w:val="22"/>
                <w:szCs w:val="22"/>
              </w:rPr>
            </w:r>
          </w:p>
          <w:p>
            <w:pPr>
              <w:pStyle w:val="Normal"/>
              <w:rPr>
                <w:rFonts w:cs="Arial"/>
              </w:rPr>
            </w:pPr>
            <w:r>
              <w:rPr>
                <w:rFonts w:cs="Arial"/>
              </w:rPr>
              <w:t>To be responsible for the relevant KPIs in the department’s service plan, regularly evaluating progress and taking appropriate corrective action.</w:t>
            </w:r>
          </w:p>
          <w:p>
            <w:pPr>
              <w:pStyle w:val="Normal"/>
              <w:rPr>
                <w:rFonts w:cs="Arial"/>
              </w:rPr>
            </w:pPr>
            <w:r>
              <w:rPr>
                <w:rFonts w:cs="Arial"/>
              </w:rPr>
            </w:r>
          </w:p>
          <w:p>
            <w:pPr>
              <w:pStyle w:val="Normal"/>
              <w:rPr>
                <w:rFonts w:cs="Arial"/>
              </w:rPr>
            </w:pPr>
            <w:r>
              <w:rPr>
                <w:rFonts w:cs="Arial"/>
              </w:rPr>
              <w:t>To be responsible for authorising spend from significant budgets, monitoring the budgets, advising senior managers of budget issues, and demonstrate value for money project delivery.</w:t>
            </w:r>
          </w:p>
          <w:p>
            <w:pPr>
              <w:pStyle w:val="Normal"/>
              <w:rPr>
                <w:rFonts w:cs="Arial"/>
              </w:rPr>
            </w:pPr>
            <w:r>
              <w:rPr>
                <w:rFonts w:cs="Arial"/>
              </w:rPr>
            </w:r>
          </w:p>
          <w:p>
            <w:pPr>
              <w:pStyle w:val="Normal"/>
              <w:rPr>
                <w:rFonts w:cs="Arial"/>
              </w:rPr>
            </w:pPr>
            <w:r>
              <w:rPr>
                <w:rFonts w:cs="Arial"/>
              </w:rPr>
              <w:t>To contribute to the overall management of the team. To deputise for the Head of Service and wider management Team as required.</w:t>
            </w:r>
          </w:p>
          <w:p>
            <w:pPr>
              <w:pStyle w:val="Normal"/>
              <w:rPr>
                <w:rFonts w:eastAsia="Arial" w:cs="Arial"/>
                <w:sz w:val="22"/>
                <w:szCs w:val="22"/>
              </w:rPr>
            </w:pPr>
            <w:r>
              <w:rPr>
                <w:rFonts w:eastAsia="Arial" w:cs="Arial"/>
                <w:sz w:val="22"/>
                <w:szCs w:val="22"/>
              </w:rPr>
              <w:t xml:space="preserve"> </w:t>
            </w:r>
          </w:p>
        </w:tc>
      </w:tr>
    </w:tbl>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r>
    </w:p>
    <w:tbl>
      <w:tblPr>
        <w:tblW w:w="10439" w:type="dxa"/>
        <w:jc w:val="left"/>
        <w:tblInd w:w="-504" w:type="dxa"/>
        <w:tblLayout w:type="fixed"/>
        <w:tblCellMar>
          <w:top w:w="0" w:type="dxa"/>
          <w:left w:w="108" w:type="dxa"/>
          <w:bottom w:w="0" w:type="dxa"/>
          <w:right w:w="108" w:type="dxa"/>
        </w:tblCellMar>
      </w:tblPr>
      <w:tblGrid>
        <w:gridCol w:w="522"/>
        <w:gridCol w:w="9917"/>
      </w:tblGrid>
      <w:tr>
        <w:trPr/>
        <w:tc>
          <w:tcPr>
            <w:tcW w:w="10439" w:type="dxa"/>
            <w:gridSpan w:val="2"/>
            <w:tcBorders>
              <w:top w:val="single" w:sz="4" w:space="0" w:color="000000"/>
              <w:left w:val="single" w:sz="4" w:space="0" w:color="000000"/>
              <w:bottom w:val="single" w:sz="4" w:space="0" w:color="000000"/>
              <w:right w:val="single" w:sz="4" w:space="0" w:color="000000"/>
            </w:tcBorders>
            <w:shd w:fill="00B3BE" w:val="clear"/>
          </w:tcPr>
          <w:p>
            <w:pPr>
              <w:pStyle w:val="Normal"/>
              <w:jc w:val="both"/>
              <w:rPr>
                <w:rFonts w:cs="Arial"/>
                <w:b/>
                <w:sz w:val="22"/>
                <w:szCs w:val="22"/>
              </w:rPr>
            </w:pPr>
            <w:r>
              <w:rPr>
                <w:rFonts w:cs="Arial"/>
                <w:b/>
                <w:sz w:val="22"/>
                <w:szCs w:val="22"/>
              </w:rPr>
              <w:t>Standard Duties:</w:t>
            </w:r>
          </w:p>
          <w:p>
            <w:pPr>
              <w:pStyle w:val="Normal"/>
              <w:jc w:val="both"/>
              <w:rPr>
                <w:rFonts w:cs="Arial"/>
                <w:sz w:val="22"/>
                <w:szCs w:val="22"/>
              </w:rPr>
            </w:pPr>
            <w:r>
              <w:rPr>
                <w:rFonts w:cs="Arial"/>
                <w:sz w:val="22"/>
                <w:szCs w:val="22"/>
              </w:rPr>
            </w:r>
          </w:p>
        </w:tc>
      </w:tr>
      <w:tr>
        <w:trPr>
          <w:trHeight w:val="255" w:hRule="atLeast"/>
        </w:trPr>
        <w:tc>
          <w:tcPr>
            <w:tcW w:w="522" w:type="dxa"/>
            <w:tcBorders>
              <w:top w:val="single" w:sz="4" w:space="0" w:color="000000"/>
              <w:left w:val="single" w:sz="4" w:space="0" w:color="000000"/>
            </w:tcBorders>
          </w:tcPr>
          <w:p>
            <w:pPr>
              <w:pStyle w:val="Normal"/>
              <w:snapToGrid w:val="false"/>
              <w:jc w:val="both"/>
              <w:rPr>
                <w:rFonts w:cs="Arial"/>
                <w:sz w:val="22"/>
                <w:szCs w:val="22"/>
              </w:rPr>
            </w:pPr>
            <w:r>
              <w:rPr>
                <w:rFonts w:cs="Arial"/>
                <w:sz w:val="22"/>
                <w:szCs w:val="22"/>
              </w:rPr>
            </w:r>
          </w:p>
          <w:p>
            <w:pPr>
              <w:pStyle w:val="Normal"/>
              <w:jc w:val="both"/>
              <w:rPr>
                <w:rFonts w:cs="Arial"/>
                <w:sz w:val="22"/>
                <w:szCs w:val="22"/>
              </w:rPr>
            </w:pPr>
            <w:r>
              <w:rPr>
                <w:rFonts w:cs="Arial"/>
                <w:sz w:val="22"/>
                <w:szCs w:val="22"/>
              </w:rPr>
              <w:t>1.</w:t>
            </w:r>
          </w:p>
        </w:tc>
        <w:tc>
          <w:tcPr>
            <w:tcW w:w="9917" w:type="dxa"/>
            <w:tcBorders>
              <w:top w:val="single" w:sz="4" w:space="0" w:color="000000"/>
              <w:right w:val="single" w:sz="4" w:space="0" w:color="000000"/>
            </w:tcBorders>
          </w:tcPr>
          <w:p>
            <w:pPr>
              <w:pStyle w:val="Normal"/>
              <w:snapToGrid w:val="false"/>
              <w:jc w:val="both"/>
              <w:rPr>
                <w:rFonts w:cs="Arial"/>
                <w:sz w:val="22"/>
                <w:szCs w:val="22"/>
              </w:rPr>
            </w:pPr>
            <w:r>
              <w:rPr>
                <w:rFonts w:cs="Arial"/>
                <w:sz w:val="22"/>
                <w:szCs w:val="22"/>
              </w:rPr>
            </w:r>
          </w:p>
          <w:p>
            <w:pPr>
              <w:pStyle w:val="Normal"/>
              <w:jc w:val="both"/>
              <w:rPr>
                <w:rFonts w:cs="Arial"/>
                <w:sz w:val="22"/>
                <w:szCs w:val="22"/>
              </w:rPr>
            </w:pPr>
            <w:r>
              <w:rPr>
                <w:rFonts w:cs="Arial"/>
                <w:sz w:val="22"/>
                <w:szCs w:val="22"/>
              </w:rPr>
              <w:t>To actively promote the equalities and diversity agenda in the workplace and in service delivery.</w:t>
            </w:r>
          </w:p>
          <w:p>
            <w:pPr>
              <w:pStyle w:val="Normal"/>
              <w:jc w:val="both"/>
              <w:rPr>
                <w:rFonts w:cs="Arial"/>
                <w:sz w:val="22"/>
                <w:szCs w:val="22"/>
              </w:rPr>
            </w:pPr>
            <w:r>
              <w:rPr>
                <w:rFonts w:cs="Arial"/>
                <w:sz w:val="22"/>
                <w:szCs w:val="22"/>
              </w:rPr>
            </w:r>
          </w:p>
        </w:tc>
      </w:tr>
      <w:tr>
        <w:trPr>
          <w:trHeight w:val="255" w:hRule="atLeast"/>
        </w:trPr>
        <w:tc>
          <w:tcPr>
            <w:tcW w:w="522" w:type="dxa"/>
            <w:tcBorders>
              <w:left w:val="single" w:sz="4" w:space="0" w:color="000000"/>
            </w:tcBorders>
          </w:tcPr>
          <w:p>
            <w:pPr>
              <w:pStyle w:val="Normal"/>
              <w:jc w:val="both"/>
              <w:rPr>
                <w:rFonts w:cs="Arial"/>
                <w:sz w:val="22"/>
                <w:szCs w:val="22"/>
              </w:rPr>
            </w:pPr>
            <w:r>
              <w:rPr>
                <w:rFonts w:cs="Arial"/>
                <w:sz w:val="22"/>
                <w:szCs w:val="22"/>
              </w:rPr>
              <w:t>2.</w:t>
            </w:r>
          </w:p>
        </w:tc>
        <w:tc>
          <w:tcPr>
            <w:tcW w:w="9917" w:type="dxa"/>
            <w:tcBorders>
              <w:right w:val="single" w:sz="4" w:space="0" w:color="000000"/>
            </w:tcBorders>
          </w:tcPr>
          <w:p>
            <w:pPr>
              <w:pStyle w:val="Normal"/>
              <w:jc w:val="both"/>
              <w:rPr>
                <w:rFonts w:cs="Arial"/>
                <w:sz w:val="22"/>
                <w:szCs w:val="22"/>
              </w:rPr>
            </w:pPr>
            <w:r>
              <w:rPr>
                <w:rFonts w:cs="Arial"/>
                <w:sz w:val="22"/>
                <w:szCs w:val="22"/>
              </w:rPr>
              <w:t>To uphold and implement policies and procedures of the Council; including customer care, data protection, finance, ICT, safeguarding and health &amp; safety policies.</w:t>
            </w:r>
          </w:p>
          <w:p>
            <w:pPr>
              <w:pStyle w:val="Normal"/>
              <w:jc w:val="both"/>
              <w:rPr>
                <w:rFonts w:cs="Arial"/>
                <w:sz w:val="22"/>
                <w:szCs w:val="22"/>
              </w:rPr>
            </w:pPr>
            <w:r>
              <w:rPr>
                <w:rFonts w:cs="Arial"/>
                <w:sz w:val="22"/>
                <w:szCs w:val="22"/>
              </w:rPr>
            </w:r>
          </w:p>
        </w:tc>
      </w:tr>
      <w:tr>
        <w:trPr>
          <w:trHeight w:val="255" w:hRule="atLeast"/>
        </w:trPr>
        <w:tc>
          <w:tcPr>
            <w:tcW w:w="522" w:type="dxa"/>
            <w:tcBorders>
              <w:left w:val="single" w:sz="4" w:space="0" w:color="000000"/>
            </w:tcBorders>
          </w:tcPr>
          <w:p>
            <w:pPr>
              <w:pStyle w:val="Normal"/>
              <w:jc w:val="both"/>
              <w:rPr>
                <w:rFonts w:cs="Arial"/>
                <w:sz w:val="22"/>
                <w:szCs w:val="22"/>
              </w:rPr>
            </w:pPr>
            <w:r>
              <w:rPr>
                <w:rFonts w:cs="Arial"/>
                <w:sz w:val="22"/>
                <w:szCs w:val="22"/>
              </w:rPr>
              <w:t>3.</w:t>
            </w:r>
          </w:p>
        </w:tc>
        <w:tc>
          <w:tcPr>
            <w:tcW w:w="9917" w:type="dxa"/>
            <w:tcBorders>
              <w:right w:val="single" w:sz="4" w:space="0" w:color="000000"/>
            </w:tcBorders>
          </w:tcPr>
          <w:p>
            <w:pPr>
              <w:pStyle w:val="Normal"/>
              <w:jc w:val="both"/>
              <w:rPr>
                <w:rFonts w:cs="Arial"/>
                <w:sz w:val="22"/>
                <w:szCs w:val="22"/>
              </w:rPr>
            </w:pPr>
            <w:r>
              <w:rPr>
                <w:rFonts w:cs="Arial"/>
                <w:sz w:val="22"/>
                <w:szCs w:val="22"/>
              </w:rPr>
              <w:t>To actively engage with the behaviours and values of the Council to promote and support our Co-operative Agenda.</w:t>
            </w:r>
          </w:p>
          <w:p>
            <w:pPr>
              <w:pStyle w:val="Normal"/>
              <w:jc w:val="both"/>
              <w:rPr>
                <w:rFonts w:cs="Arial"/>
                <w:sz w:val="22"/>
                <w:szCs w:val="22"/>
              </w:rPr>
            </w:pPr>
            <w:r>
              <w:rPr>
                <w:rFonts w:cs="Arial"/>
                <w:sz w:val="22"/>
                <w:szCs w:val="22"/>
              </w:rPr>
            </w:r>
          </w:p>
        </w:tc>
      </w:tr>
      <w:tr>
        <w:trPr>
          <w:trHeight w:val="255" w:hRule="atLeast"/>
        </w:trPr>
        <w:tc>
          <w:tcPr>
            <w:tcW w:w="522" w:type="dxa"/>
            <w:tcBorders>
              <w:left w:val="single" w:sz="4" w:space="0" w:color="000000"/>
            </w:tcBorders>
          </w:tcPr>
          <w:p>
            <w:pPr>
              <w:pStyle w:val="Normal"/>
              <w:jc w:val="both"/>
              <w:rPr>
                <w:rFonts w:cs="Arial"/>
                <w:sz w:val="22"/>
                <w:szCs w:val="22"/>
              </w:rPr>
            </w:pPr>
            <w:r>
              <w:rPr>
                <w:rFonts w:cs="Arial"/>
                <w:sz w:val="22"/>
                <w:szCs w:val="22"/>
              </w:rPr>
              <w:t>4.</w:t>
            </w:r>
          </w:p>
        </w:tc>
        <w:tc>
          <w:tcPr>
            <w:tcW w:w="9917" w:type="dxa"/>
            <w:tcBorders>
              <w:right w:val="single" w:sz="4" w:space="0" w:color="000000"/>
            </w:tcBorders>
          </w:tcPr>
          <w:p>
            <w:pPr>
              <w:pStyle w:val="Normal"/>
              <w:jc w:val="both"/>
              <w:rPr>
                <w:rFonts w:cs="Arial"/>
                <w:sz w:val="22"/>
                <w:szCs w:val="22"/>
              </w:rPr>
            </w:pPr>
            <w:r>
              <w:rPr>
                <w:rFonts w:cs="Arial"/>
                <w:sz w:val="22"/>
                <w:szCs w:val="22"/>
              </w:rPr>
              <w:t xml:space="preserve">To undertake continuous professional development and to be aware of new developments, legislation, initiatives, guidelines, policies and procedures as appropriate to the role. </w:t>
            </w:r>
          </w:p>
          <w:p>
            <w:pPr>
              <w:pStyle w:val="Normal"/>
              <w:jc w:val="both"/>
              <w:rPr>
                <w:rFonts w:cs="Arial"/>
                <w:b/>
                <w:sz w:val="22"/>
                <w:szCs w:val="22"/>
              </w:rPr>
            </w:pPr>
            <w:r>
              <w:rPr>
                <w:rFonts w:cs="Arial"/>
                <w:b/>
                <w:sz w:val="22"/>
                <w:szCs w:val="22"/>
              </w:rPr>
            </w:r>
          </w:p>
        </w:tc>
      </w:tr>
      <w:tr>
        <w:trPr>
          <w:trHeight w:val="255" w:hRule="atLeast"/>
        </w:trPr>
        <w:tc>
          <w:tcPr>
            <w:tcW w:w="522" w:type="dxa"/>
            <w:tcBorders>
              <w:left w:val="single" w:sz="4" w:space="0" w:color="000000"/>
              <w:bottom w:val="single" w:sz="4" w:space="0" w:color="000000"/>
            </w:tcBorders>
          </w:tcPr>
          <w:p>
            <w:pPr>
              <w:pStyle w:val="Normal"/>
              <w:jc w:val="both"/>
              <w:rPr>
                <w:rFonts w:cs="Arial"/>
                <w:sz w:val="22"/>
                <w:szCs w:val="22"/>
              </w:rPr>
            </w:pPr>
            <w:r>
              <w:rPr>
                <w:rFonts w:cs="Arial"/>
                <w:sz w:val="22"/>
                <w:szCs w:val="22"/>
              </w:rPr>
              <w:t>5.</w:t>
            </w:r>
          </w:p>
        </w:tc>
        <w:tc>
          <w:tcPr>
            <w:tcW w:w="9917" w:type="dxa"/>
            <w:tcBorders>
              <w:bottom w:val="single" w:sz="4" w:space="0" w:color="000000"/>
              <w:right w:val="single" w:sz="4" w:space="0" w:color="000000"/>
            </w:tcBorders>
          </w:tcPr>
          <w:p>
            <w:pPr>
              <w:pStyle w:val="Normal"/>
              <w:jc w:val="both"/>
              <w:rPr>
                <w:rFonts w:cs="Arial"/>
                <w:sz w:val="22"/>
                <w:szCs w:val="22"/>
              </w:rPr>
            </w:pPr>
            <w:r>
              <w:rPr>
                <w:rFonts w:cs="Arial"/>
                <w:sz w:val="22"/>
                <w:szCs w:val="22"/>
              </w:rPr>
              <w:t>Undertake any additional duties commensurate with the level of the post.</w:t>
            </w:r>
          </w:p>
          <w:p>
            <w:pPr>
              <w:pStyle w:val="Normal"/>
              <w:jc w:val="both"/>
              <w:rPr>
                <w:rFonts w:cs="Arial"/>
                <w:b/>
                <w:sz w:val="22"/>
                <w:szCs w:val="22"/>
              </w:rPr>
            </w:pPr>
            <w:r>
              <w:rPr>
                <w:rFonts w:cs="Arial"/>
                <w:b/>
                <w:sz w:val="22"/>
                <w:szCs w:val="22"/>
              </w:rPr>
            </w:r>
          </w:p>
        </w:tc>
      </w:tr>
    </w:tbl>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r>
    </w:p>
    <w:tbl>
      <w:tblPr>
        <w:tblW w:w="10440" w:type="dxa"/>
        <w:jc w:val="left"/>
        <w:tblInd w:w="-504" w:type="dxa"/>
        <w:tblLayout w:type="fixed"/>
        <w:tblCellMar>
          <w:top w:w="0" w:type="dxa"/>
          <w:left w:w="108" w:type="dxa"/>
          <w:bottom w:w="0" w:type="dxa"/>
          <w:right w:w="108" w:type="dxa"/>
        </w:tblCellMar>
      </w:tblPr>
      <w:tblGrid>
        <w:gridCol w:w="10440"/>
      </w:tblGrid>
      <w:tr>
        <w:trPr/>
        <w:tc>
          <w:tcPr>
            <w:tcW w:w="10440" w:type="dxa"/>
            <w:tcBorders>
              <w:top w:val="single" w:sz="4" w:space="0" w:color="000000"/>
              <w:left w:val="single" w:sz="4" w:space="0" w:color="000000"/>
              <w:bottom w:val="single" w:sz="4" w:space="0" w:color="000000"/>
              <w:right w:val="single" w:sz="4" w:space="0" w:color="000000"/>
            </w:tcBorders>
          </w:tcPr>
          <w:p>
            <w:pPr>
              <w:pStyle w:val="Normal"/>
              <w:keepNext w:val="true"/>
              <w:jc w:val="both"/>
              <w:rPr>
                <w:rFonts w:cs="Arial"/>
                <w:b/>
                <w:sz w:val="22"/>
                <w:szCs w:val="22"/>
              </w:rPr>
            </w:pPr>
            <w:r>
              <w:rPr>
                <w:rFonts w:cs="Arial"/>
                <w:b/>
                <w:sz w:val="22"/>
                <w:szCs w:val="22"/>
              </w:rPr>
              <w:t>Contacts:</w:t>
            </w:r>
          </w:p>
          <w:p>
            <w:pPr>
              <w:pStyle w:val="Normal"/>
              <w:rPr>
                <w:rFonts w:cs="Arial"/>
                <w:sz w:val="22"/>
                <w:szCs w:val="22"/>
                <w:lang w:eastAsia="en-GB"/>
              </w:rPr>
            </w:pPr>
            <w:r>
              <w:rPr>
                <w:rFonts w:cs="Arial"/>
                <w:sz w:val="22"/>
                <w:szCs w:val="22"/>
                <w:lang w:eastAsia="en-GB"/>
              </w:rPr>
              <w:t xml:space="preserve">Elected Members of the Council, </w:t>
            </w:r>
          </w:p>
          <w:p>
            <w:pPr>
              <w:pStyle w:val="Normal"/>
              <w:rPr>
                <w:rFonts w:cs="Arial"/>
                <w:sz w:val="22"/>
                <w:szCs w:val="22"/>
                <w:lang w:eastAsia="en-GB"/>
              </w:rPr>
            </w:pPr>
            <w:r>
              <w:rPr>
                <w:rFonts w:cs="Arial"/>
                <w:sz w:val="22"/>
                <w:szCs w:val="22"/>
                <w:lang w:eastAsia="en-GB"/>
              </w:rPr>
              <w:t xml:space="preserve">Senior Officers / Heads of Departments, </w:t>
            </w:r>
          </w:p>
          <w:p>
            <w:pPr>
              <w:pStyle w:val="Normal"/>
              <w:rPr>
                <w:rFonts w:cs="Arial"/>
                <w:sz w:val="22"/>
                <w:szCs w:val="22"/>
                <w:lang w:eastAsia="en-GB"/>
              </w:rPr>
            </w:pPr>
            <w:r>
              <w:rPr>
                <w:rFonts w:cs="Arial"/>
                <w:sz w:val="22"/>
                <w:szCs w:val="22"/>
                <w:lang w:eastAsia="en-GB"/>
              </w:rPr>
              <w:t xml:space="preserve">Other employees of the Council, </w:t>
            </w:r>
          </w:p>
          <w:p>
            <w:pPr>
              <w:pStyle w:val="Normal"/>
              <w:rPr>
                <w:rFonts w:cs="Arial"/>
                <w:sz w:val="22"/>
                <w:szCs w:val="22"/>
                <w:lang w:eastAsia="en-GB"/>
              </w:rPr>
            </w:pPr>
            <w:r>
              <w:rPr>
                <w:rFonts w:cs="Arial"/>
                <w:sz w:val="22"/>
                <w:szCs w:val="22"/>
                <w:lang w:eastAsia="en-GB"/>
              </w:rPr>
              <w:t xml:space="preserve">Registered Providers, </w:t>
            </w:r>
          </w:p>
          <w:p>
            <w:pPr>
              <w:pStyle w:val="Normal"/>
              <w:rPr>
                <w:rFonts w:cs="Arial"/>
                <w:sz w:val="22"/>
                <w:szCs w:val="22"/>
                <w:lang w:eastAsia="en-GB"/>
              </w:rPr>
            </w:pPr>
            <w:r>
              <w:rPr>
                <w:rFonts w:cs="Arial"/>
                <w:sz w:val="22"/>
                <w:szCs w:val="22"/>
                <w:lang w:eastAsia="en-GB"/>
              </w:rPr>
              <w:t xml:space="preserve">Private landlords / agencies / investors and developers, </w:t>
            </w:r>
          </w:p>
          <w:p>
            <w:pPr>
              <w:pStyle w:val="Normal"/>
              <w:rPr>
                <w:rFonts w:cs="Arial"/>
                <w:sz w:val="22"/>
                <w:szCs w:val="22"/>
                <w:lang w:eastAsia="en-GB"/>
              </w:rPr>
            </w:pPr>
            <w:r>
              <w:rPr>
                <w:rFonts w:cs="Arial"/>
                <w:sz w:val="22"/>
                <w:szCs w:val="22"/>
                <w:lang w:eastAsia="en-GB"/>
              </w:rPr>
              <w:t xml:space="preserve">Partners within the Oldham Housing Partnership and Oldham Partnership, </w:t>
            </w:r>
          </w:p>
          <w:p>
            <w:pPr>
              <w:pStyle w:val="Normal"/>
              <w:rPr>
                <w:rFonts w:cs="Arial"/>
                <w:sz w:val="22"/>
                <w:szCs w:val="22"/>
              </w:rPr>
            </w:pPr>
            <w:r>
              <w:rPr>
                <w:rFonts w:cs="Arial"/>
                <w:sz w:val="22"/>
                <w:szCs w:val="22"/>
              </w:rPr>
              <w:t xml:space="preserve">CCG and NHS staff, representatives of various organisations, agencies, Homes England, </w:t>
            </w:r>
          </w:p>
          <w:p>
            <w:pPr>
              <w:pStyle w:val="Normal"/>
              <w:rPr>
                <w:rFonts w:cs="Arial"/>
                <w:sz w:val="22"/>
                <w:szCs w:val="22"/>
              </w:rPr>
            </w:pPr>
            <w:r>
              <w:rPr>
                <w:rFonts w:cs="Arial"/>
                <w:sz w:val="22"/>
                <w:szCs w:val="22"/>
              </w:rPr>
              <w:t xml:space="preserve">Greater Manchester Combined Authority, and other bodies with whom the Council has dealings, </w:t>
            </w:r>
          </w:p>
          <w:p>
            <w:pPr>
              <w:pStyle w:val="Normal"/>
              <w:rPr>
                <w:rFonts w:cs="Arial"/>
                <w:sz w:val="22"/>
                <w:szCs w:val="22"/>
              </w:rPr>
            </w:pPr>
            <w:r>
              <w:rPr>
                <w:rFonts w:cs="Arial"/>
                <w:sz w:val="22"/>
                <w:szCs w:val="22"/>
              </w:rPr>
              <w:t xml:space="preserve">Utility companies, </w:t>
            </w:r>
          </w:p>
          <w:p>
            <w:pPr>
              <w:pStyle w:val="Normal"/>
              <w:jc w:val="both"/>
              <w:rPr>
                <w:rFonts w:cs="Arial"/>
                <w:sz w:val="22"/>
                <w:szCs w:val="22"/>
              </w:rPr>
            </w:pPr>
            <w:r>
              <w:rPr>
                <w:rFonts w:cs="Arial"/>
                <w:sz w:val="22"/>
                <w:szCs w:val="22"/>
              </w:rPr>
              <w:t>Charitable and voluntary organisations.</w:t>
            </w:r>
          </w:p>
          <w:p>
            <w:pPr>
              <w:pStyle w:val="Normal"/>
              <w:jc w:val="both"/>
              <w:rPr>
                <w:rFonts w:cs="Arial"/>
                <w:sz w:val="22"/>
                <w:szCs w:val="22"/>
              </w:rPr>
            </w:pPr>
            <w:r>
              <w:rPr>
                <w:rFonts w:cs="Arial"/>
                <w:sz w:val="22"/>
                <w:szCs w:val="22"/>
              </w:rPr>
              <w:t>Public</w:t>
            </w:r>
          </w:p>
          <w:p>
            <w:pPr>
              <w:pStyle w:val="Normal"/>
              <w:jc w:val="both"/>
              <w:rPr>
                <w:rFonts w:cs="Arial"/>
                <w:sz w:val="22"/>
                <w:szCs w:val="22"/>
              </w:rPr>
            </w:pPr>
            <w:r>
              <w:rPr>
                <w:rFonts w:cs="Arial"/>
                <w:sz w:val="22"/>
                <w:szCs w:val="22"/>
              </w:rPr>
            </w:r>
          </w:p>
        </w:tc>
      </w:tr>
    </w:tbl>
    <w:p>
      <w:pPr>
        <w:pStyle w:val="Normal"/>
        <w:rPr>
          <w:rFonts w:cs="Arial"/>
          <w:sz w:val="22"/>
          <w:szCs w:val="22"/>
        </w:rPr>
      </w:pPr>
      <w:r>
        <w:rPr>
          <w:rFonts w:cs="Arial"/>
          <w:sz w:val="22"/>
          <w:szCs w:val="22"/>
        </w:rPr>
      </w:r>
    </w:p>
    <w:tbl>
      <w:tblPr>
        <w:tblW w:w="10439" w:type="dxa"/>
        <w:jc w:val="left"/>
        <w:tblInd w:w="-504" w:type="dxa"/>
        <w:tblLayout w:type="fixed"/>
        <w:tblCellMar>
          <w:top w:w="0" w:type="dxa"/>
          <w:left w:w="108" w:type="dxa"/>
          <w:bottom w:w="0" w:type="dxa"/>
          <w:right w:w="108" w:type="dxa"/>
        </w:tblCellMar>
      </w:tblPr>
      <w:tblGrid>
        <w:gridCol w:w="2106"/>
        <w:gridCol w:w="8333"/>
      </w:tblGrid>
      <w:tr>
        <w:trPr/>
        <w:tc>
          <w:tcPr>
            <w:tcW w:w="10439" w:type="dxa"/>
            <w:gridSpan w:val="2"/>
            <w:tcBorders>
              <w:top w:val="single" w:sz="4" w:space="0" w:color="000000"/>
              <w:left w:val="single" w:sz="4" w:space="0" w:color="000000"/>
              <w:bottom w:val="single" w:sz="4" w:space="0" w:color="000000"/>
              <w:right w:val="single" w:sz="4" w:space="0" w:color="000000"/>
            </w:tcBorders>
            <w:shd w:fill="00B3BE" w:val="clear"/>
          </w:tcPr>
          <w:p>
            <w:pPr>
              <w:pStyle w:val="BodyText"/>
              <w:rPr>
                <w:rFonts w:cs="Arial"/>
                <w:szCs w:val="22"/>
              </w:rPr>
            </w:pPr>
            <w:r>
              <w:rPr>
                <w:rFonts w:cs="Arial"/>
                <w:szCs w:val="22"/>
              </w:rPr>
              <w:t>Relationship To Other Posts In The Department:</w:t>
            </w:r>
          </w:p>
          <w:p>
            <w:pPr>
              <w:pStyle w:val="Normal"/>
              <w:rPr>
                <w:rFonts w:cs="Arial"/>
                <w:sz w:val="22"/>
                <w:szCs w:val="22"/>
              </w:rPr>
            </w:pPr>
            <w:r>
              <w:rPr>
                <w:rFonts w:cs="Arial"/>
                <w:sz w:val="22"/>
                <w:szCs w:val="22"/>
              </w:rPr>
            </w:r>
          </w:p>
        </w:tc>
      </w:tr>
      <w:tr>
        <w:trPr>
          <w:trHeight w:val="518" w:hRule="atLeast"/>
        </w:trPr>
        <w:tc>
          <w:tcPr>
            <w:tcW w:w="2106" w:type="dxa"/>
            <w:tcBorders>
              <w:top w:val="single" w:sz="4" w:space="0" w:color="000000"/>
              <w:left w:val="single" w:sz="4" w:space="0" w:color="000000"/>
            </w:tcBorders>
          </w:tcPr>
          <w:p>
            <w:pPr>
              <w:pStyle w:val="Normal"/>
              <w:rPr>
                <w:rFonts w:cs="Arial"/>
                <w:b/>
                <w:sz w:val="22"/>
                <w:szCs w:val="22"/>
              </w:rPr>
            </w:pPr>
            <w:r>
              <w:rPr>
                <w:rFonts w:cs="Arial"/>
                <w:b/>
                <w:sz w:val="22"/>
                <w:szCs w:val="22"/>
              </w:rPr>
              <w:t xml:space="preserve">Responsible to:   </w:t>
            </w:r>
          </w:p>
          <w:p>
            <w:pPr>
              <w:pStyle w:val="Normal"/>
              <w:rPr>
                <w:rFonts w:cs="Arial"/>
                <w:sz w:val="22"/>
                <w:szCs w:val="22"/>
              </w:rPr>
            </w:pPr>
            <w:r>
              <w:rPr>
                <w:rFonts w:cs="Arial"/>
                <w:sz w:val="22"/>
                <w:szCs w:val="22"/>
              </w:rPr>
            </w:r>
          </w:p>
        </w:tc>
        <w:tc>
          <w:tcPr>
            <w:tcW w:w="8333" w:type="dxa"/>
            <w:tcBorders>
              <w:top w:val="single" w:sz="4" w:space="0" w:color="000000"/>
              <w:right w:val="single" w:sz="4" w:space="0" w:color="000000"/>
            </w:tcBorders>
          </w:tcPr>
          <w:p>
            <w:pPr>
              <w:pStyle w:val="BodyText"/>
              <w:rPr>
                <w:rFonts w:cs="Arial"/>
                <w:b w:val="false"/>
                <w:szCs w:val="22"/>
              </w:rPr>
            </w:pPr>
            <w:r>
              <w:rPr>
                <w:rFonts w:cs="Arial"/>
                <w:b w:val="false"/>
                <w:szCs w:val="22"/>
              </w:rPr>
              <w:t>Head of Landlord Services</w:t>
            </w:r>
          </w:p>
        </w:tc>
      </w:tr>
      <w:tr>
        <w:trPr>
          <w:trHeight w:val="517" w:hRule="atLeast"/>
        </w:trPr>
        <w:tc>
          <w:tcPr>
            <w:tcW w:w="2106" w:type="dxa"/>
            <w:tcBorders>
              <w:left w:val="single" w:sz="4" w:space="0" w:color="000000"/>
              <w:bottom w:val="single" w:sz="4" w:space="0" w:color="000000"/>
            </w:tcBorders>
          </w:tcPr>
          <w:p>
            <w:pPr>
              <w:pStyle w:val="Normal"/>
              <w:rPr>
                <w:rFonts w:cs="Arial"/>
                <w:b/>
                <w:sz w:val="22"/>
                <w:szCs w:val="22"/>
              </w:rPr>
            </w:pPr>
            <w:r>
              <w:rPr>
                <w:rFonts w:cs="Arial"/>
                <w:b/>
                <w:sz w:val="22"/>
                <w:szCs w:val="22"/>
              </w:rPr>
              <w:t>Responsible for:</w:t>
            </w:r>
          </w:p>
        </w:tc>
        <w:tc>
          <w:tcPr>
            <w:tcW w:w="8333" w:type="dxa"/>
            <w:tcBorders>
              <w:bottom w:val="single" w:sz="4" w:space="0" w:color="000000"/>
              <w:right w:val="single" w:sz="4" w:space="0" w:color="000000"/>
            </w:tcBorders>
          </w:tcPr>
          <w:p>
            <w:pPr>
              <w:pStyle w:val="Normal"/>
              <w:rPr>
                <w:rFonts w:cs="Arial"/>
                <w:sz w:val="22"/>
                <w:szCs w:val="22"/>
              </w:rPr>
            </w:pPr>
            <w:r>
              <w:rPr>
                <w:rFonts w:cs="Arial"/>
                <w:sz w:val="22"/>
                <w:szCs w:val="22"/>
              </w:rPr>
              <w:t xml:space="preserve">Various staff members within the team including Contracts Performance and Quality Officers x2, Housing Technical Officers x2, </w:t>
            </w:r>
          </w:p>
          <w:p>
            <w:pPr>
              <w:pStyle w:val="Normal"/>
              <w:rPr>
                <w:rFonts w:cs="Arial"/>
                <w:sz w:val="22"/>
                <w:szCs w:val="22"/>
              </w:rPr>
            </w:pPr>
            <w:r>
              <w:rPr>
                <w:rFonts w:cs="Arial"/>
                <w:sz w:val="22"/>
                <w:szCs w:val="22"/>
              </w:rPr>
            </w:r>
          </w:p>
        </w:tc>
      </w:tr>
    </w:tbl>
    <w:p>
      <w:pPr>
        <w:pStyle w:val="Normal"/>
        <w:rPr>
          <w:rFonts w:cs="Arial"/>
          <w:sz w:val="22"/>
          <w:szCs w:val="22"/>
        </w:rPr>
      </w:pPr>
      <w:r>
        <w:rPr>
          <w:rFonts w:cs="Arial"/>
          <w:sz w:val="22"/>
          <w:szCs w:val="22"/>
        </w:rPr>
      </w:r>
    </w:p>
    <w:tbl>
      <w:tblPr>
        <w:tblW w:w="10440" w:type="dxa"/>
        <w:jc w:val="left"/>
        <w:tblInd w:w="-504" w:type="dxa"/>
        <w:tblLayout w:type="fixed"/>
        <w:tblCellMar>
          <w:top w:w="0" w:type="dxa"/>
          <w:left w:w="108" w:type="dxa"/>
          <w:bottom w:w="0" w:type="dxa"/>
          <w:right w:w="108" w:type="dxa"/>
        </w:tblCellMar>
      </w:tblPr>
      <w:tblGrid>
        <w:gridCol w:w="10440"/>
      </w:tblGrid>
      <w:tr>
        <w:trPr/>
        <w:tc>
          <w:tcPr>
            <w:tcW w:w="10440" w:type="dxa"/>
            <w:tcBorders>
              <w:top w:val="single" w:sz="4" w:space="0" w:color="000000"/>
              <w:left w:val="single" w:sz="4" w:space="0" w:color="000000"/>
              <w:bottom w:val="single" w:sz="4" w:space="0" w:color="000000"/>
              <w:right w:val="single" w:sz="4" w:space="0" w:color="000000"/>
            </w:tcBorders>
          </w:tcPr>
          <w:p>
            <w:pPr>
              <w:pStyle w:val="Normal"/>
              <w:rPr/>
            </w:pPr>
            <w:r>
              <w:rPr>
                <w:rFonts w:cs="Arial"/>
                <w:b/>
                <w:sz w:val="22"/>
                <w:szCs w:val="22"/>
              </w:rPr>
              <w:t xml:space="preserve">Special Conditions: </w:t>
            </w:r>
            <w:r>
              <w:rPr>
                <w:rFonts w:cs="Arial"/>
                <w:bCs/>
                <w:sz w:val="22"/>
                <w:szCs w:val="22"/>
              </w:rPr>
              <w:t>Essential Car Allowance</w:t>
            </w:r>
          </w:p>
          <w:p>
            <w:pPr>
              <w:pStyle w:val="Normal"/>
              <w:rPr>
                <w:rFonts w:cs="Arial"/>
                <w:sz w:val="22"/>
                <w:szCs w:val="22"/>
              </w:rPr>
            </w:pPr>
            <w:r>
              <w:rPr>
                <w:rFonts w:cs="Arial"/>
                <w:sz w:val="22"/>
                <w:szCs w:val="22"/>
              </w:rPr>
            </w:r>
          </w:p>
        </w:tc>
      </w:tr>
    </w:tbl>
    <w:p>
      <w:pPr>
        <w:pStyle w:val="Normal"/>
        <w:rPr>
          <w:rFonts w:cs="Arial"/>
          <w:sz w:val="22"/>
          <w:szCs w:val="22"/>
        </w:rPr>
      </w:pPr>
      <w:r>
        <w:rPr>
          <w:rFonts w:cs="Arial"/>
          <w:sz w:val="22"/>
          <w:szCs w:val="22"/>
        </w:rPr>
      </w:r>
    </w:p>
    <w:tbl>
      <w:tblPr>
        <w:tblW w:w="10440" w:type="dxa"/>
        <w:jc w:val="left"/>
        <w:tblInd w:w="-504" w:type="dxa"/>
        <w:tblLayout w:type="fixed"/>
        <w:tblCellMar>
          <w:top w:w="0" w:type="dxa"/>
          <w:left w:w="108" w:type="dxa"/>
          <w:bottom w:w="0" w:type="dxa"/>
          <w:right w:w="108" w:type="dxa"/>
        </w:tblCellMar>
      </w:tblPr>
      <w:tblGrid>
        <w:gridCol w:w="10440"/>
      </w:tblGrid>
      <w:tr>
        <w:trPr/>
        <w:tc>
          <w:tcPr>
            <w:tcW w:w="10440" w:type="dxa"/>
            <w:tcBorders>
              <w:top w:val="single" w:sz="4" w:space="0" w:color="000000"/>
              <w:left w:val="single" w:sz="4" w:space="0" w:color="000000"/>
              <w:bottom w:val="single" w:sz="4" w:space="0" w:color="000000"/>
              <w:right w:val="single" w:sz="4" w:space="0" w:color="000000"/>
            </w:tcBorders>
            <w:shd w:fill="00B3BE" w:val="clear"/>
          </w:tcPr>
          <w:p>
            <w:pPr>
              <w:pStyle w:val="Normal"/>
              <w:rPr>
                <w:rFonts w:cs="Arial"/>
                <w:b/>
                <w:sz w:val="22"/>
                <w:szCs w:val="22"/>
              </w:rPr>
            </w:pPr>
            <w:r>
              <w:rPr>
                <w:rFonts w:cs="Arial"/>
                <w:b/>
                <w:sz w:val="22"/>
                <w:szCs w:val="22"/>
              </w:rPr>
              <w:t>Values and Behaviours:</w:t>
            </w:r>
          </w:p>
          <w:p>
            <w:pPr>
              <w:pStyle w:val="Normal"/>
              <w:rPr>
                <w:rFonts w:cs="Arial"/>
                <w:b/>
                <w:sz w:val="22"/>
                <w:szCs w:val="22"/>
              </w:rPr>
            </w:pPr>
            <w:r>
              <w:rPr>
                <w:rFonts w:cs="Arial"/>
                <w:b/>
                <w:sz w:val="22"/>
                <w:szCs w:val="22"/>
              </w:rPr>
            </w:r>
          </w:p>
        </w:tc>
      </w:tr>
      <w:tr>
        <w:trPr>
          <w:trHeight w:val="518" w:hRule="atLeast"/>
        </w:trPr>
        <w:tc>
          <w:tcPr>
            <w:tcW w:w="10440" w:type="dxa"/>
            <w:tcBorders>
              <w:top w:val="single" w:sz="4" w:space="0" w:color="000000"/>
              <w:left w:val="single" w:sz="4" w:space="0" w:color="000000"/>
              <w:bottom w:val="single" w:sz="4" w:space="0" w:color="000000"/>
              <w:right w:val="single" w:sz="4" w:space="0" w:color="000000"/>
            </w:tcBorders>
          </w:tcPr>
          <w:p>
            <w:pPr>
              <w:pStyle w:val="Normal"/>
              <w:shd w:fill="FFFFFF" w:val="clear"/>
              <w:spacing w:lineRule="auto" w:line="256" w:before="0" w:after="379"/>
              <w:jc w:val="both"/>
              <w:rPr/>
            </w:pPr>
            <w:r>
              <w:rPr>
                <w:rFonts w:eastAsia="Helvetica;Arial" w:cs="Helvetica;Arial" w:ascii="Helvetica;Arial" w:hAnsi="Helvetica;Arial"/>
                <w:lang w:val="en-US"/>
              </w:rPr>
              <w:t>B</w:t>
            </w:r>
            <w:r>
              <w:rPr>
                <w:rFonts w:eastAsia="Arial" w:cs="Arial"/>
                <w:sz w:val="22"/>
                <w:szCs w:val="22"/>
                <w:lang w:val="en-US"/>
              </w:rPr>
              <w:t>y living our Values and Behaviours we will deliver the change we need to meet our Corporate ambitions for Oldham.</w:t>
            </w:r>
          </w:p>
          <w:p>
            <w:pPr>
              <w:pStyle w:val="Normal"/>
              <w:spacing w:lineRule="auto" w:line="256" w:before="280" w:after="280"/>
              <w:jc w:val="both"/>
              <w:rPr>
                <w:rFonts w:eastAsia="Arial" w:cs="Arial"/>
                <w:b/>
                <w:bCs/>
                <w:sz w:val="22"/>
                <w:szCs w:val="22"/>
                <w:lang w:val="en-US" w:eastAsia="en-GB"/>
              </w:rPr>
            </w:pPr>
            <w:r>
              <w:rPr>
                <w:rFonts w:eastAsia="Arial" w:cs="Arial"/>
                <w:b/>
                <w:bCs/>
                <w:sz w:val="22"/>
                <w:szCs w:val="22"/>
                <w:lang w:val="en-US" w:eastAsia="en-GB"/>
              </w:rPr>
              <w:t>Our Values:</w:t>
            </w:r>
          </w:p>
          <w:p>
            <w:pPr>
              <w:pStyle w:val="Normal"/>
              <w:spacing w:lineRule="auto" w:line="256" w:before="280" w:after="280"/>
              <w:jc w:val="both"/>
              <w:rPr>
                <w:rFonts w:eastAsia="Arial" w:cs="Arial"/>
                <w:b/>
                <w:bCs/>
                <w:sz w:val="22"/>
                <w:szCs w:val="22"/>
                <w:lang w:val="en-US"/>
              </w:rPr>
            </w:pPr>
            <w:r>
              <w:rPr>
                <w:rFonts w:eastAsia="Arial" w:cs="Arial"/>
                <w:b/>
                <w:bCs/>
                <w:sz w:val="22"/>
                <w:szCs w:val="22"/>
                <w:lang w:val="en-US"/>
              </w:rPr>
              <w:t>Proud</w:t>
            </w:r>
          </w:p>
          <w:p>
            <w:pPr>
              <w:pStyle w:val="Normal"/>
              <w:shd w:fill="FFFFFF" w:val="clear"/>
              <w:spacing w:before="0" w:after="379"/>
              <w:jc w:val="both"/>
              <w:rPr>
                <w:rFonts w:eastAsia="Arial" w:cs="Arial"/>
                <w:sz w:val="22"/>
                <w:szCs w:val="22"/>
                <w:lang w:val="en-US"/>
              </w:rPr>
            </w:pPr>
            <w:r>
              <w:rPr>
                <w:rFonts w:eastAsia="Arial" w:cs="Arial"/>
                <w:sz w:val="22"/>
                <w:szCs w:val="22"/>
                <w:lang w:val="en-US"/>
              </w:rPr>
              <w:t>We take pride not only in what we deliver for the residents of Oldham but also in how we deliver it.</w:t>
            </w:r>
          </w:p>
          <w:p>
            <w:pPr>
              <w:pStyle w:val="Normal"/>
              <w:spacing w:lineRule="auto" w:line="256" w:before="280" w:after="280"/>
              <w:jc w:val="both"/>
              <w:rPr>
                <w:rFonts w:eastAsia="Arial" w:cs="Arial"/>
                <w:b/>
                <w:bCs/>
                <w:sz w:val="22"/>
                <w:szCs w:val="22"/>
                <w:lang w:val="en-US"/>
              </w:rPr>
            </w:pPr>
            <w:r>
              <w:rPr>
                <w:rFonts w:eastAsia="Arial" w:cs="Arial"/>
                <w:b/>
                <w:bCs/>
                <w:sz w:val="22"/>
                <w:szCs w:val="22"/>
                <w:lang w:val="en-US"/>
              </w:rPr>
              <w:t>Ambitious</w:t>
            </w:r>
          </w:p>
          <w:p>
            <w:pPr>
              <w:pStyle w:val="Normal"/>
              <w:shd w:fill="FFFFFF" w:val="clear"/>
              <w:spacing w:before="0" w:after="379"/>
              <w:jc w:val="both"/>
              <w:rPr>
                <w:rFonts w:eastAsia="Arial" w:cs="Arial"/>
                <w:sz w:val="22"/>
                <w:szCs w:val="22"/>
                <w:lang w:val="en-US"/>
              </w:rPr>
            </w:pPr>
            <w:r>
              <w:rPr>
                <w:rFonts w:eastAsia="Arial" w:cs="Arial"/>
                <w:sz w:val="22"/>
                <w:szCs w:val="22"/>
                <w:lang w:val="en-US"/>
              </w:rPr>
              <w:t>We recognise the challenges we face and are committed to setting high aspirations to overcome them, with determination and focus.</w:t>
            </w:r>
          </w:p>
          <w:p>
            <w:pPr>
              <w:pStyle w:val="Normal"/>
              <w:spacing w:lineRule="auto" w:line="256" w:before="280" w:after="280"/>
              <w:jc w:val="both"/>
              <w:rPr>
                <w:rFonts w:eastAsia="Arial" w:cs="Arial"/>
                <w:b/>
                <w:bCs/>
                <w:sz w:val="22"/>
                <w:szCs w:val="22"/>
                <w:lang w:val="en-US"/>
              </w:rPr>
            </w:pPr>
            <w:r>
              <w:rPr>
                <w:rFonts w:eastAsia="Arial" w:cs="Arial"/>
                <w:b/>
                <w:bCs/>
                <w:sz w:val="22"/>
                <w:szCs w:val="22"/>
                <w:lang w:val="en-US"/>
              </w:rPr>
              <w:t>Together</w:t>
            </w:r>
          </w:p>
          <w:p>
            <w:pPr>
              <w:pStyle w:val="Normal"/>
              <w:spacing w:before="280" w:after="0"/>
              <w:jc w:val="both"/>
              <w:rPr>
                <w:rFonts w:eastAsia="Arial" w:cs="Arial"/>
                <w:sz w:val="22"/>
                <w:szCs w:val="22"/>
                <w:lang w:val="en-US"/>
              </w:rPr>
            </w:pPr>
            <w:r>
              <w:rPr>
                <w:rFonts w:eastAsia="Arial" w:cs="Arial"/>
                <w:sz w:val="22"/>
                <w:szCs w:val="22"/>
                <w:lang w:val="en-US"/>
              </w:rPr>
              <w:t>We believe in shared solutions, working across sectors and with our communities to achieve common goals and deliver the quality services Oldham deserves.</w:t>
            </w:r>
          </w:p>
        </w:tc>
      </w:tr>
      <w:tr>
        <w:trPr>
          <w:trHeight w:val="518" w:hRule="atLeast"/>
        </w:trPr>
        <w:tc>
          <w:tcPr>
            <w:tcW w:w="10440" w:type="dxa"/>
            <w:tcBorders>
              <w:top w:val="single" w:sz="4" w:space="0" w:color="000000"/>
              <w:left w:val="single" w:sz="4" w:space="0" w:color="000000"/>
              <w:bottom w:val="single" w:sz="4" w:space="0" w:color="000000"/>
              <w:right w:val="single" w:sz="4" w:space="0" w:color="000000"/>
            </w:tcBorders>
          </w:tcPr>
          <w:p>
            <w:pPr>
              <w:pStyle w:val="Normal"/>
              <w:rPr/>
            </w:pPr>
            <w:r>
              <w:rPr>
                <w:rFonts w:eastAsia="Arial" w:cs="Arial"/>
                <w:sz w:val="22"/>
                <w:szCs w:val="22"/>
                <w:lang w:val="en"/>
              </w:rPr>
              <w:t xml:space="preserve">We have </w:t>
            </w:r>
            <w:r>
              <w:rPr>
                <w:rFonts w:eastAsia="Arial" w:cs="Arial"/>
                <w:b/>
                <w:bCs/>
                <w:sz w:val="22"/>
                <w:szCs w:val="22"/>
                <w:lang w:val="en"/>
              </w:rPr>
              <w:t xml:space="preserve">five Behaviours </w:t>
            </w:r>
            <w:r>
              <w:rPr>
                <w:rFonts w:eastAsia="Arial" w:cs="Arial"/>
                <w:sz w:val="22"/>
                <w:szCs w:val="22"/>
                <w:lang w:val="en"/>
              </w:rPr>
              <w:t>which outline the priority areas of focus for staff at all levels:</w:t>
            </w:r>
          </w:p>
          <w:p>
            <w:pPr>
              <w:pStyle w:val="Normal"/>
              <w:rPr>
                <w:rFonts w:eastAsia="Arial" w:cs="Arial"/>
                <w:sz w:val="22"/>
                <w:szCs w:val="22"/>
              </w:rPr>
            </w:pPr>
            <w:r>
              <w:rPr>
                <w:rFonts w:eastAsia="Arial" w:cs="Arial"/>
                <w:sz w:val="22"/>
                <w:szCs w:val="22"/>
              </w:rPr>
            </w:r>
          </w:p>
          <w:p>
            <w:pPr>
              <w:pStyle w:val="ListParagraph"/>
              <w:numPr>
                <w:ilvl w:val="0"/>
                <w:numId w:val="3"/>
              </w:numPr>
              <w:rPr/>
            </w:pPr>
            <w:r>
              <w:rPr>
                <w:rFonts w:eastAsia="Arial" w:cs="Arial" w:ascii="Arial" w:hAnsi="Arial"/>
              </w:rPr>
              <w:t>Work with a Resident Focus</w:t>
            </w:r>
          </w:p>
          <w:p>
            <w:pPr>
              <w:pStyle w:val="ListParagraph"/>
              <w:numPr>
                <w:ilvl w:val="0"/>
                <w:numId w:val="3"/>
              </w:numPr>
              <w:rPr/>
            </w:pPr>
            <w:r>
              <w:rPr>
                <w:rFonts w:eastAsia="Arial" w:cs="Arial" w:ascii="Arial" w:hAnsi="Arial"/>
              </w:rPr>
              <w:t>Support Local Leaders</w:t>
            </w:r>
          </w:p>
          <w:p>
            <w:pPr>
              <w:pStyle w:val="ListParagraph"/>
              <w:numPr>
                <w:ilvl w:val="0"/>
                <w:numId w:val="3"/>
              </w:numPr>
              <w:rPr/>
            </w:pPr>
            <w:r>
              <w:rPr>
                <w:rFonts w:eastAsia="Arial" w:cs="Arial" w:ascii="Arial" w:hAnsi="Arial"/>
              </w:rPr>
              <w:t>Committed to the Borough</w:t>
            </w:r>
          </w:p>
          <w:p>
            <w:pPr>
              <w:pStyle w:val="ListParagraph"/>
              <w:numPr>
                <w:ilvl w:val="0"/>
                <w:numId w:val="3"/>
              </w:numPr>
              <w:rPr/>
            </w:pPr>
            <w:r>
              <w:rPr>
                <w:rFonts w:eastAsia="Arial" w:cs="Arial" w:ascii="Arial" w:hAnsi="Arial"/>
              </w:rPr>
              <w:t>Take Ownership and Drive Change</w:t>
            </w:r>
          </w:p>
          <w:p>
            <w:pPr>
              <w:pStyle w:val="ListParagraph"/>
              <w:numPr>
                <w:ilvl w:val="0"/>
                <w:numId w:val="3"/>
              </w:numPr>
              <w:rPr/>
            </w:pPr>
            <w:r>
              <w:rPr>
                <w:rFonts w:eastAsia="Arial" w:cs="Arial" w:ascii="Arial" w:hAnsi="Arial"/>
              </w:rPr>
              <w:t xml:space="preserve">Deliver High Performance </w:t>
            </w:r>
          </w:p>
          <w:p>
            <w:pPr>
              <w:pStyle w:val="Normal"/>
              <w:rPr>
                <w:rFonts w:eastAsia="Arial" w:cs="Arial"/>
                <w:sz w:val="22"/>
                <w:szCs w:val="22"/>
              </w:rPr>
            </w:pPr>
            <w:r>
              <w:rPr>
                <w:rFonts w:eastAsia="Arial" w:cs="Arial"/>
                <w:sz w:val="22"/>
                <w:szCs w:val="22"/>
              </w:rPr>
            </w:r>
          </w:p>
          <w:p>
            <w:pPr>
              <w:pStyle w:val="Normal"/>
              <w:rPr/>
            </w:pPr>
            <w:r>
              <w:rPr>
                <w:rFonts w:eastAsia="Arial" w:cs="Arial"/>
                <w:sz w:val="22"/>
                <w:szCs w:val="22"/>
              </w:rPr>
              <w:t xml:space="preserve">More information about our Corporate Plan and our Values and Behaviours can be found on our </w:t>
            </w:r>
            <w:r>
              <w:rPr>
                <w:rStyle w:val="Hyperlink"/>
                <w:rFonts w:eastAsia="Arial" w:cs="Arial"/>
                <w:sz w:val="22"/>
                <w:szCs w:val="22"/>
              </w:rPr>
              <w:t>Greater. Jobs pages</w:t>
            </w:r>
            <w:r>
              <w:rPr>
                <w:rFonts w:eastAsia="Arial" w:cs="Arial"/>
                <w:sz w:val="22"/>
                <w:szCs w:val="22"/>
              </w:rPr>
              <w:t xml:space="preserve"> together with information about the staff benefits we offer.</w:t>
            </w:r>
          </w:p>
          <w:p>
            <w:pPr>
              <w:pStyle w:val="Normal"/>
              <w:rPr>
                <w:rFonts w:cs="Arial"/>
                <w:b/>
                <w:sz w:val="22"/>
                <w:szCs w:val="22"/>
              </w:rPr>
            </w:pPr>
            <w:r>
              <w:rPr>
                <w:rFonts w:cs="Arial"/>
                <w:b/>
                <w:sz w:val="22"/>
                <w:szCs w:val="22"/>
              </w:rPr>
            </w:r>
          </w:p>
        </w:tc>
      </w:tr>
    </w:tbl>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r>
    </w:p>
    <w:tbl>
      <w:tblPr>
        <w:tblW w:w="10439" w:type="dxa"/>
        <w:jc w:val="left"/>
        <w:tblInd w:w="-504" w:type="dxa"/>
        <w:tblLayout w:type="fixed"/>
        <w:tblCellMar>
          <w:top w:w="0" w:type="dxa"/>
          <w:left w:w="108" w:type="dxa"/>
          <w:bottom w:w="0" w:type="dxa"/>
          <w:right w:w="108" w:type="dxa"/>
        </w:tblCellMar>
      </w:tblPr>
      <w:tblGrid>
        <w:gridCol w:w="1620"/>
        <w:gridCol w:w="1800"/>
        <w:gridCol w:w="2160"/>
        <w:gridCol w:w="4859"/>
      </w:tblGrid>
      <w:tr>
        <w:trPr/>
        <w:tc>
          <w:tcPr>
            <w:tcW w:w="1620" w:type="dxa"/>
            <w:tcBorders>
              <w:top w:val="single" w:sz="4" w:space="0" w:color="000000"/>
              <w:left w:val="single" w:sz="4" w:space="0" w:color="000000"/>
              <w:bottom w:val="single" w:sz="4" w:space="0" w:color="000000"/>
              <w:right w:val="single" w:sz="4" w:space="0" w:color="000000"/>
            </w:tcBorders>
            <w:shd w:fill="00B3BE" w:val="clear"/>
          </w:tcPr>
          <w:p>
            <w:pPr>
              <w:pStyle w:val="Header"/>
              <w:tabs>
                <w:tab w:val="clear" w:pos="4153"/>
                <w:tab w:val="clear" w:pos="8306"/>
              </w:tabs>
              <w:snapToGrid w:val="false"/>
              <w:spacing w:before="60" w:after="60"/>
              <w:rPr>
                <w:rFonts w:cs="Arial"/>
                <w:szCs w:val="22"/>
              </w:rPr>
            </w:pPr>
            <w:r>
              <w:rPr>
                <w:rFonts w:cs="Arial"/>
                <w:szCs w:val="22"/>
              </w:rPr>
            </w:r>
          </w:p>
        </w:tc>
        <w:tc>
          <w:tcPr>
            <w:tcW w:w="1800" w:type="dxa"/>
            <w:tcBorders>
              <w:top w:val="single" w:sz="4" w:space="0" w:color="000000"/>
              <w:left w:val="single" w:sz="4" w:space="0" w:color="000000"/>
              <w:bottom w:val="single" w:sz="4" w:space="0" w:color="000000"/>
              <w:right w:val="single" w:sz="4" w:space="0" w:color="000000"/>
            </w:tcBorders>
            <w:shd w:fill="00B3BE" w:val="clear"/>
          </w:tcPr>
          <w:p>
            <w:pPr>
              <w:pStyle w:val="Normal"/>
              <w:spacing w:before="60" w:after="60"/>
              <w:jc w:val="center"/>
              <w:rPr>
                <w:rFonts w:cs="Arial"/>
                <w:b/>
                <w:sz w:val="22"/>
                <w:szCs w:val="22"/>
              </w:rPr>
            </w:pPr>
            <w:r>
              <w:rPr>
                <w:rFonts w:cs="Arial"/>
                <w:b/>
                <w:sz w:val="22"/>
                <w:szCs w:val="22"/>
              </w:rPr>
              <w:t>DATE</w:t>
            </w:r>
          </w:p>
        </w:tc>
        <w:tc>
          <w:tcPr>
            <w:tcW w:w="2160" w:type="dxa"/>
            <w:tcBorders>
              <w:top w:val="single" w:sz="4" w:space="0" w:color="000000"/>
              <w:left w:val="single" w:sz="4" w:space="0" w:color="000000"/>
              <w:bottom w:val="single" w:sz="4" w:space="0" w:color="000000"/>
              <w:right w:val="single" w:sz="4" w:space="0" w:color="000000"/>
            </w:tcBorders>
            <w:shd w:fill="00B3BE" w:val="clear"/>
          </w:tcPr>
          <w:p>
            <w:pPr>
              <w:pStyle w:val="Normal"/>
              <w:spacing w:before="60" w:after="60"/>
              <w:jc w:val="center"/>
              <w:rPr>
                <w:rFonts w:cs="Arial"/>
                <w:b/>
                <w:sz w:val="22"/>
                <w:szCs w:val="22"/>
              </w:rPr>
            </w:pPr>
            <w:r>
              <w:rPr>
                <w:rFonts w:cs="Arial"/>
                <w:b/>
                <w:sz w:val="22"/>
                <w:szCs w:val="22"/>
              </w:rPr>
              <w:t>NAME</w:t>
            </w:r>
          </w:p>
        </w:tc>
        <w:tc>
          <w:tcPr>
            <w:tcW w:w="4859" w:type="dxa"/>
            <w:tcBorders>
              <w:top w:val="single" w:sz="4" w:space="0" w:color="000000"/>
              <w:left w:val="single" w:sz="4" w:space="0" w:color="000000"/>
              <w:bottom w:val="single" w:sz="4" w:space="0" w:color="000000"/>
              <w:right w:val="single" w:sz="4" w:space="0" w:color="000000"/>
            </w:tcBorders>
            <w:shd w:fill="00B3BE" w:val="clear"/>
          </w:tcPr>
          <w:p>
            <w:pPr>
              <w:pStyle w:val="Normal"/>
              <w:spacing w:before="60" w:after="60"/>
              <w:jc w:val="center"/>
              <w:rPr>
                <w:rFonts w:cs="Arial"/>
                <w:b/>
                <w:sz w:val="22"/>
                <w:szCs w:val="22"/>
              </w:rPr>
            </w:pPr>
            <w:r>
              <w:rPr>
                <w:rFonts w:cs="Arial"/>
                <w:b/>
                <w:sz w:val="22"/>
                <w:szCs w:val="22"/>
              </w:rPr>
              <w:t>POST TITLE</w:t>
            </w:r>
          </w:p>
        </w:tc>
      </w:tr>
      <w:tr>
        <w:trPr/>
        <w:tc>
          <w:tcPr>
            <w:tcW w:w="1620" w:type="dxa"/>
            <w:tcBorders>
              <w:top w:val="single" w:sz="4" w:space="0" w:color="000000"/>
              <w:left w:val="single" w:sz="4" w:space="0" w:color="000000"/>
              <w:bottom w:val="single" w:sz="4" w:space="0" w:color="000000"/>
              <w:right w:val="single" w:sz="4" w:space="0" w:color="000000"/>
            </w:tcBorders>
          </w:tcPr>
          <w:p>
            <w:pPr>
              <w:pStyle w:val="Normal"/>
              <w:spacing w:before="60" w:after="60"/>
              <w:rPr>
                <w:rFonts w:cs="Arial"/>
                <w:b/>
                <w:sz w:val="22"/>
                <w:szCs w:val="22"/>
              </w:rPr>
            </w:pPr>
            <w:r>
              <w:rPr>
                <w:rFonts w:cs="Arial"/>
                <w:b/>
                <w:sz w:val="22"/>
                <w:szCs w:val="22"/>
              </w:rPr>
              <w:t>Prepared</w:t>
            </w:r>
          </w:p>
        </w:tc>
        <w:tc>
          <w:tcPr>
            <w:tcW w:w="1800" w:type="dxa"/>
            <w:tcBorders>
              <w:top w:val="single" w:sz="4" w:space="0" w:color="000000"/>
              <w:left w:val="single" w:sz="4" w:space="0" w:color="000000"/>
              <w:bottom w:val="single" w:sz="4" w:space="0" w:color="000000"/>
              <w:right w:val="single" w:sz="4" w:space="0" w:color="000000"/>
            </w:tcBorders>
          </w:tcPr>
          <w:p>
            <w:pPr>
              <w:pStyle w:val="Normal"/>
              <w:spacing w:before="60" w:after="60"/>
              <w:rPr>
                <w:rFonts w:cs="Arial"/>
                <w:sz w:val="22"/>
                <w:szCs w:val="22"/>
              </w:rPr>
            </w:pPr>
            <w:r>
              <w:rPr>
                <w:rFonts w:cs="Arial"/>
                <w:sz w:val="22"/>
                <w:szCs w:val="22"/>
              </w:rPr>
              <w:t>14/04/2022</w:t>
            </w:r>
          </w:p>
        </w:tc>
        <w:tc>
          <w:tcPr>
            <w:tcW w:w="2160" w:type="dxa"/>
            <w:tcBorders>
              <w:top w:val="single" w:sz="4" w:space="0" w:color="000000"/>
              <w:left w:val="single" w:sz="4" w:space="0" w:color="000000"/>
              <w:bottom w:val="single" w:sz="4" w:space="0" w:color="000000"/>
              <w:right w:val="single" w:sz="4" w:space="0" w:color="000000"/>
            </w:tcBorders>
          </w:tcPr>
          <w:p>
            <w:pPr>
              <w:pStyle w:val="Normal"/>
              <w:spacing w:before="60" w:after="60"/>
              <w:rPr>
                <w:rFonts w:cs="Arial"/>
                <w:sz w:val="22"/>
                <w:szCs w:val="22"/>
              </w:rPr>
            </w:pPr>
            <w:r>
              <w:rPr>
                <w:rFonts w:cs="Arial"/>
                <w:sz w:val="22"/>
                <w:szCs w:val="22"/>
              </w:rPr>
              <w:t>Victoria Wood</w:t>
            </w:r>
          </w:p>
        </w:tc>
        <w:tc>
          <w:tcPr>
            <w:tcW w:w="4859" w:type="dxa"/>
            <w:tcBorders>
              <w:top w:val="single" w:sz="4" w:space="0" w:color="000000"/>
              <w:left w:val="single" w:sz="4" w:space="0" w:color="000000"/>
              <w:bottom w:val="single" w:sz="4" w:space="0" w:color="000000"/>
              <w:right w:val="single" w:sz="4" w:space="0" w:color="000000"/>
            </w:tcBorders>
          </w:tcPr>
          <w:p>
            <w:pPr>
              <w:pStyle w:val="Normal"/>
              <w:spacing w:before="60" w:after="60"/>
              <w:rPr>
                <w:rFonts w:cs="Arial"/>
                <w:sz w:val="22"/>
                <w:szCs w:val="22"/>
              </w:rPr>
            </w:pPr>
            <w:r>
              <w:rPr>
                <w:rFonts w:cs="Arial"/>
                <w:sz w:val="22"/>
                <w:szCs w:val="22"/>
              </w:rPr>
              <w:t>Team Leader – Housing Strategy</w:t>
            </w:r>
          </w:p>
        </w:tc>
      </w:tr>
      <w:tr>
        <w:trPr/>
        <w:tc>
          <w:tcPr>
            <w:tcW w:w="1620" w:type="dxa"/>
            <w:tcBorders>
              <w:top w:val="single" w:sz="4" w:space="0" w:color="000000"/>
              <w:left w:val="single" w:sz="4" w:space="0" w:color="000000"/>
              <w:bottom w:val="single" w:sz="4" w:space="0" w:color="000000"/>
              <w:right w:val="single" w:sz="4" w:space="0" w:color="000000"/>
            </w:tcBorders>
          </w:tcPr>
          <w:p>
            <w:pPr>
              <w:pStyle w:val="Normal"/>
              <w:spacing w:before="60" w:after="60"/>
              <w:rPr>
                <w:rFonts w:cs="Arial"/>
                <w:b/>
                <w:sz w:val="22"/>
                <w:szCs w:val="22"/>
              </w:rPr>
            </w:pPr>
            <w:r>
              <w:rPr>
                <w:rFonts w:cs="Arial"/>
                <w:b/>
                <w:sz w:val="22"/>
                <w:szCs w:val="22"/>
              </w:rPr>
              <w:t>Reviewed</w:t>
            </w:r>
          </w:p>
        </w:tc>
        <w:tc>
          <w:tcPr>
            <w:tcW w:w="1800" w:type="dxa"/>
            <w:tcBorders>
              <w:top w:val="single" w:sz="4" w:space="0" w:color="000000"/>
              <w:left w:val="single" w:sz="4" w:space="0" w:color="000000"/>
              <w:bottom w:val="single" w:sz="4" w:space="0" w:color="000000"/>
              <w:right w:val="single" w:sz="4" w:space="0" w:color="000000"/>
            </w:tcBorders>
          </w:tcPr>
          <w:p>
            <w:pPr>
              <w:pStyle w:val="Normal"/>
              <w:spacing w:before="60" w:after="60"/>
              <w:rPr>
                <w:rFonts w:cs="Arial"/>
                <w:sz w:val="22"/>
                <w:szCs w:val="22"/>
              </w:rPr>
            </w:pPr>
            <w:r>
              <w:rPr>
                <w:rFonts w:cs="Arial"/>
                <w:sz w:val="22"/>
                <w:szCs w:val="22"/>
              </w:rPr>
              <w:t>25/08/2022</w:t>
            </w:r>
          </w:p>
        </w:tc>
        <w:tc>
          <w:tcPr>
            <w:tcW w:w="2160" w:type="dxa"/>
            <w:tcBorders>
              <w:top w:val="single" w:sz="4" w:space="0" w:color="000000"/>
              <w:left w:val="single" w:sz="4" w:space="0" w:color="000000"/>
              <w:bottom w:val="single" w:sz="4" w:space="0" w:color="000000"/>
              <w:right w:val="single" w:sz="4" w:space="0" w:color="000000"/>
            </w:tcBorders>
          </w:tcPr>
          <w:p>
            <w:pPr>
              <w:pStyle w:val="Normal"/>
              <w:spacing w:before="60" w:after="60"/>
              <w:rPr>
                <w:rFonts w:cs="Arial"/>
                <w:sz w:val="22"/>
                <w:szCs w:val="22"/>
              </w:rPr>
            </w:pPr>
            <w:r>
              <w:rPr>
                <w:rFonts w:cs="Arial"/>
                <w:sz w:val="22"/>
                <w:szCs w:val="22"/>
              </w:rPr>
              <w:t>Victoria Wood</w:t>
            </w:r>
          </w:p>
        </w:tc>
        <w:tc>
          <w:tcPr>
            <w:tcW w:w="4859" w:type="dxa"/>
            <w:tcBorders>
              <w:top w:val="single" w:sz="4" w:space="0" w:color="000000"/>
              <w:left w:val="single" w:sz="4" w:space="0" w:color="000000"/>
              <w:bottom w:val="single" w:sz="4" w:space="0" w:color="000000"/>
              <w:right w:val="single" w:sz="4" w:space="0" w:color="000000"/>
            </w:tcBorders>
          </w:tcPr>
          <w:p>
            <w:pPr>
              <w:pStyle w:val="Normal"/>
              <w:spacing w:before="60" w:after="60"/>
              <w:rPr>
                <w:rFonts w:cs="Arial"/>
                <w:sz w:val="22"/>
                <w:szCs w:val="22"/>
              </w:rPr>
            </w:pPr>
            <w:r>
              <w:rPr>
                <w:rFonts w:cs="Arial"/>
                <w:sz w:val="22"/>
                <w:szCs w:val="22"/>
              </w:rPr>
              <w:t xml:space="preserve">Team Leader – Housing Strategy </w:t>
            </w:r>
          </w:p>
        </w:tc>
      </w:tr>
      <w:tr>
        <w:trPr/>
        <w:tc>
          <w:tcPr>
            <w:tcW w:w="1620" w:type="dxa"/>
            <w:tcBorders>
              <w:top w:val="single" w:sz="4" w:space="0" w:color="000000"/>
              <w:left w:val="single" w:sz="4" w:space="0" w:color="000000"/>
              <w:bottom w:val="single" w:sz="4" w:space="0" w:color="000000"/>
              <w:right w:val="single" w:sz="4" w:space="0" w:color="000000"/>
            </w:tcBorders>
          </w:tcPr>
          <w:p>
            <w:pPr>
              <w:pStyle w:val="Normal"/>
              <w:spacing w:before="60" w:after="60"/>
              <w:rPr>
                <w:rFonts w:cs="Arial"/>
                <w:b/>
                <w:sz w:val="22"/>
                <w:szCs w:val="22"/>
              </w:rPr>
            </w:pPr>
            <w:r>
              <w:rPr>
                <w:rFonts w:cs="Arial"/>
                <w:b/>
                <w:sz w:val="22"/>
                <w:szCs w:val="22"/>
              </w:rPr>
              <w:t>Reviewed</w:t>
            </w:r>
          </w:p>
        </w:tc>
        <w:tc>
          <w:tcPr>
            <w:tcW w:w="1800" w:type="dxa"/>
            <w:tcBorders>
              <w:top w:val="single" w:sz="4" w:space="0" w:color="000000"/>
              <w:left w:val="single" w:sz="4" w:space="0" w:color="000000"/>
              <w:bottom w:val="single" w:sz="4" w:space="0" w:color="000000"/>
              <w:right w:val="single" w:sz="4" w:space="0" w:color="000000"/>
            </w:tcBorders>
          </w:tcPr>
          <w:p>
            <w:pPr>
              <w:pStyle w:val="Normal"/>
              <w:spacing w:before="60" w:after="60"/>
              <w:rPr>
                <w:rFonts w:cs="Arial"/>
                <w:sz w:val="22"/>
                <w:szCs w:val="22"/>
              </w:rPr>
            </w:pPr>
            <w:r>
              <w:rPr>
                <w:rFonts w:cs="Arial"/>
                <w:sz w:val="22"/>
                <w:szCs w:val="22"/>
              </w:rPr>
              <w:t>16/07/2026</w:t>
            </w:r>
          </w:p>
        </w:tc>
        <w:tc>
          <w:tcPr>
            <w:tcW w:w="2160" w:type="dxa"/>
            <w:tcBorders>
              <w:top w:val="single" w:sz="4" w:space="0" w:color="000000"/>
              <w:left w:val="single" w:sz="4" w:space="0" w:color="000000"/>
              <w:bottom w:val="single" w:sz="4" w:space="0" w:color="000000"/>
              <w:right w:val="single" w:sz="4" w:space="0" w:color="000000"/>
            </w:tcBorders>
          </w:tcPr>
          <w:p>
            <w:pPr>
              <w:pStyle w:val="Normal"/>
              <w:spacing w:before="60" w:after="60"/>
              <w:rPr>
                <w:rFonts w:cs="Arial"/>
                <w:sz w:val="22"/>
                <w:szCs w:val="22"/>
              </w:rPr>
            </w:pPr>
            <w:r>
              <w:rPr>
                <w:rFonts w:cs="Arial"/>
                <w:sz w:val="22"/>
                <w:szCs w:val="22"/>
              </w:rPr>
              <w:t>Victoria Wood</w:t>
            </w:r>
          </w:p>
        </w:tc>
        <w:tc>
          <w:tcPr>
            <w:tcW w:w="4859" w:type="dxa"/>
            <w:tcBorders>
              <w:top w:val="single" w:sz="4" w:space="0" w:color="000000"/>
              <w:left w:val="single" w:sz="4" w:space="0" w:color="000000"/>
              <w:bottom w:val="single" w:sz="4" w:space="0" w:color="000000"/>
              <w:right w:val="single" w:sz="4" w:space="0" w:color="000000"/>
            </w:tcBorders>
          </w:tcPr>
          <w:p>
            <w:pPr>
              <w:pStyle w:val="Normal"/>
              <w:spacing w:before="60" w:after="60"/>
              <w:rPr>
                <w:rFonts w:cs="Arial"/>
                <w:sz w:val="22"/>
                <w:szCs w:val="22"/>
              </w:rPr>
            </w:pPr>
            <w:r>
              <w:rPr>
                <w:rFonts w:cs="Arial"/>
                <w:sz w:val="22"/>
                <w:szCs w:val="22"/>
              </w:rPr>
              <w:t>Assistant Director - Housing</w:t>
            </w:r>
          </w:p>
        </w:tc>
      </w:tr>
    </w:tbl>
    <w:p>
      <w:pPr>
        <w:pStyle w:val="Normal"/>
        <w:jc w:val="center"/>
        <w:rPr>
          <w:rFonts w:cs="Arial"/>
          <w:b/>
          <w:bCs/>
          <w:sz w:val="22"/>
          <w:szCs w:val="22"/>
          <w:u w:val="single"/>
        </w:rPr>
      </w:pPr>
      <w:r>
        <w:br w:type="page"/>
      </w:r>
      <w:r>
        <w:rPr>
          <w:rFonts w:cs="Arial"/>
          <w:b/>
          <w:bCs/>
          <w:sz w:val="22"/>
          <w:szCs w:val="22"/>
          <w:u w:val="single"/>
        </w:rPr>
        <w:t>OLDHAM COUNCIL</w:t>
      </w:r>
    </w:p>
    <w:p>
      <w:pPr>
        <w:pStyle w:val="Normal"/>
        <w:jc w:val="center"/>
        <w:rPr>
          <w:rFonts w:cs="Arial"/>
          <w:b/>
          <w:bCs/>
          <w:sz w:val="22"/>
          <w:szCs w:val="22"/>
          <w:u w:val="single"/>
        </w:rPr>
      </w:pPr>
      <w:r>
        <w:rPr>
          <w:rFonts w:cs="Arial"/>
          <w:b/>
          <w:bCs/>
          <w:sz w:val="22"/>
          <w:szCs w:val="22"/>
          <w:u w:val="single"/>
        </w:rPr>
        <mc:AlternateContent>
          <mc:Choice Requires="wps">
            <w:drawing>
              <wp:anchor behindDoc="0" distT="0" distB="0" distL="114935" distR="114300" simplePos="0" locked="0" layoutInCell="1" allowOverlap="1" relativeHeight="3">
                <wp:simplePos x="0" y="0"/>
                <wp:positionH relativeFrom="column">
                  <wp:posOffset>5143500</wp:posOffset>
                </wp:positionH>
                <wp:positionV relativeFrom="paragraph">
                  <wp:posOffset>-605790</wp:posOffset>
                </wp:positionV>
                <wp:extent cx="1148715" cy="1187450"/>
                <wp:effectExtent l="635" t="0" r="0" b="0"/>
                <wp:wrapNone/>
                <wp:docPr id="5" name="Text Box 3"/>
                <a:graphic xmlns:a="http://schemas.openxmlformats.org/drawingml/2006/main">
                  <a:graphicData uri="http://schemas.microsoft.com/office/word/2010/wordprocessingShape">
                    <wps:wsp>
                      <wps:cNvSpPr/>
                      <wps:spPr>
                        <a:xfrm>
                          <a:off x="0" y="0"/>
                          <a:ext cx="1148760" cy="1187280"/>
                        </a:xfrm>
                        <a:prstGeom prst="rect">
                          <a:avLst/>
                        </a:prstGeom>
                        <a:solidFill>
                          <a:srgbClr val="ffffff"/>
                        </a:solidFill>
                        <a:ln w="0">
                          <a:noFill/>
                        </a:ln>
                      </wps:spPr>
                      <wps:style>
                        <a:lnRef idx="0"/>
                        <a:fillRef idx="0"/>
                        <a:effectRef idx="0"/>
                        <a:fontRef idx="minor"/>
                      </wps:style>
                      <wps:bodyPr/>
                    </wps:wsp>
                  </a:graphicData>
                </a:graphic>
              </wp:anchor>
            </w:drawing>
          </mc:Choice>
          <mc:Fallback>
            <w:pict>
              <v:rect id="shape_0" ID="Text Box 3" path="m0,0l-2147483645,0l-2147483645,-2147483646l0,-2147483646xe" fillcolor="white" stroked="f" o:allowincell="f" style="position:absolute;margin-left:405pt;margin-top:-47.7pt;width:90.4pt;height:93.45pt;mso-wrap-style:none;v-text-anchor:middle">
                <v:fill o:detectmouseclick="t" type="solid" color2="black"/>
                <v:stroke color="#3465a4" joinstyle="round" endcap="flat"/>
                <w10:wrap type="none"/>
              </v:rect>
            </w:pict>
          </mc:Fallback>
        </mc:AlternateContent>
      </w:r>
      <w:r>
        <mc:AlternateContent>
          <mc:Choice Requires="wps">
            <w:drawing>
              <wp:anchor behindDoc="0" distT="72390" distB="72390" distL="0" distR="3810" simplePos="0" locked="0" layoutInCell="1" allowOverlap="1" relativeHeight="6">
                <wp:simplePos x="0" y="0"/>
                <wp:positionH relativeFrom="column">
                  <wp:posOffset>5143500</wp:posOffset>
                </wp:positionH>
                <wp:positionV relativeFrom="paragraph">
                  <wp:posOffset>-605790</wp:posOffset>
                </wp:positionV>
                <wp:extent cx="1148715" cy="1187450"/>
                <wp:effectExtent l="0" t="0" r="0" b="0"/>
                <wp:wrapNone/>
                <wp:docPr id="6" name="Frame2"/>
                <a:graphic xmlns:a="http://schemas.openxmlformats.org/drawingml/2006/main">
                  <a:graphicData uri="http://schemas.microsoft.com/office/word/2010/wordprocessingShape">
                    <wps:wsp>
                      <wps:cNvSpPr txBox="1"/>
                      <wps:spPr>
                        <a:xfrm>
                          <a:off x="0" y="0"/>
                          <a:ext cx="1148715" cy="1187450"/>
                        </a:xfrm>
                        <a:prstGeom prst="rect"/>
                        <a:solidFill>
                          <a:srgbClr val="FFFFFF"/>
                        </a:solidFill>
                      </wps:spPr>
                      <wps:txbx>
                        <w:txbxContent>
                          <w:p>
                            <w:pPr>
                              <w:pStyle w:val="FrameContents"/>
                              <w:rPr/>
                            </w:pPr>
                            <w:r>
                              <w:rPr/>
                              <w:drawing>
                                <wp:inline distT="0" distB="0" distL="0" distR="0">
                                  <wp:extent cx="965200" cy="1097915"/>
                                  <wp:effectExtent l="0" t="0" r="0" b="0"/>
                                  <wp:docPr id="7"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2" descr=""/>
                                          <pic:cNvPicPr>
                                            <a:picLocks noChangeAspect="1" noChangeArrowheads="1"/>
                                          </pic:cNvPicPr>
                                        </pic:nvPicPr>
                                        <pic:blipFill>
                                          <a:blip r:embed="rId4"/>
                                          <a:srcRect l="-40" t="-35" r="-40" b="-35"/>
                                          <a:stretch>
                                            <a:fillRect/>
                                          </a:stretch>
                                        </pic:blipFill>
                                        <pic:spPr bwMode="auto">
                                          <a:xfrm>
                                            <a:off x="0" y="0"/>
                                            <a:ext cx="965200" cy="1097915"/>
                                          </a:xfrm>
                                          <a:prstGeom prst="rect">
                                            <a:avLst/>
                                          </a:prstGeom>
                                        </pic:spPr>
                                      </pic:pic>
                                    </a:graphicData>
                                  </a:graphic>
                                </wp:inline>
                              </w:drawing>
                            </w:r>
                          </w:p>
                        </w:txbxContent>
                      </wps:txbx>
                      <wps:bodyPr anchor="t" lIns="92075" tIns="46355" rIns="92075" bIns="46355">
                        <a:noAutofit/>
                      </wps:bodyPr>
                    </wps:wsp>
                  </a:graphicData>
                </a:graphic>
              </wp:anchor>
            </w:drawing>
          </mc:Choice>
          <mc:Fallback>
            <w:pict>
              <v:rect fillcolor="#FFFFFF" style="position:absolute;rotation:-0;width:90.45pt;height:93.5pt;mso-wrap-distance-left:0pt;mso-wrap-distance-right:0.3pt;mso-wrap-distance-top:5.7pt;mso-wrap-distance-bottom:5.7pt;margin-top:-47.7pt;mso-position-vertical-relative:text;margin-left:405pt;mso-position-horizontal-relative:text">
                <v:textbox inset="0.100694444444444in,0.0506944444444444in,0.100694444444444in,0.0506944444444444in">
                  <w:txbxContent>
                    <w:p>
                      <w:pPr>
                        <w:pStyle w:val="FrameContents"/>
                        <w:rPr/>
                      </w:pPr>
                      <w:r>
                        <w:rPr/>
                        <w:drawing>
                          <wp:inline distT="0" distB="0" distL="0" distR="0">
                            <wp:extent cx="965200" cy="1097915"/>
                            <wp:effectExtent l="0" t="0" r="0" b="0"/>
                            <wp:docPr id="8"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2" descr=""/>
                                    <pic:cNvPicPr>
                                      <a:picLocks noChangeAspect="1" noChangeArrowheads="1"/>
                                    </pic:cNvPicPr>
                                  </pic:nvPicPr>
                                  <pic:blipFill>
                                    <a:blip r:embed="rId5"/>
                                    <a:srcRect l="-40" t="-35" r="-40" b="-35"/>
                                    <a:stretch>
                                      <a:fillRect/>
                                    </a:stretch>
                                  </pic:blipFill>
                                  <pic:spPr bwMode="auto">
                                    <a:xfrm>
                                      <a:off x="0" y="0"/>
                                      <a:ext cx="965200" cy="1097915"/>
                                    </a:xfrm>
                                    <a:prstGeom prst="rect">
                                      <a:avLst/>
                                    </a:prstGeom>
                                  </pic:spPr>
                                </pic:pic>
                              </a:graphicData>
                            </a:graphic>
                          </wp:inline>
                        </w:drawing>
                      </w:r>
                    </w:p>
                  </w:txbxContent>
                </v:textbox>
                <w10:wrap type="none"/>
              </v:rect>
            </w:pict>
          </mc:Fallback>
        </mc:AlternateContent>
      </w:r>
    </w:p>
    <w:p>
      <w:pPr>
        <w:pStyle w:val="Normal"/>
        <w:jc w:val="center"/>
        <w:rPr>
          <w:rFonts w:cs="Arial"/>
          <w:b/>
          <w:bCs/>
          <w:sz w:val="22"/>
          <w:szCs w:val="22"/>
          <w:u w:val="single"/>
        </w:rPr>
      </w:pPr>
      <w:r>
        <w:rPr>
          <w:rFonts w:cs="Arial"/>
          <w:b/>
          <w:bCs/>
          <w:sz w:val="22"/>
          <w:szCs w:val="22"/>
          <w:u w:val="single"/>
        </w:rPr>
        <w:t>PERSON SPECIFICATION</w:t>
      </w:r>
    </w:p>
    <w:p>
      <w:pPr>
        <w:pStyle w:val="Normal"/>
        <w:rPr>
          <w:rFonts w:cs="Arial"/>
          <w:bCs/>
          <w:sz w:val="22"/>
          <w:szCs w:val="22"/>
        </w:rPr>
      </w:pPr>
      <w:r>
        <w:rPr>
          <w:rFonts w:cs="Arial"/>
          <w:bCs/>
          <w:sz w:val="22"/>
          <w:szCs w:val="22"/>
        </w:rPr>
      </w:r>
    </w:p>
    <w:p>
      <w:pPr>
        <w:pStyle w:val="Normal"/>
        <w:ind w:right="-514"/>
        <w:rPr/>
      </w:pPr>
      <w:r>
        <w:rPr>
          <w:rFonts w:cs="Arial"/>
          <w:b/>
          <w:bCs/>
          <w:sz w:val="22"/>
          <w:szCs w:val="22"/>
        </w:rPr>
        <w:t>Job Title:</w:t>
      </w:r>
      <w:r>
        <w:rPr>
          <w:rFonts w:cs="Arial"/>
          <w:bCs/>
          <w:sz w:val="22"/>
          <w:szCs w:val="22"/>
        </w:rPr>
        <w:t xml:space="preserve">  Housing Contracts and Quality Manager – Housing</w:t>
      </w:r>
    </w:p>
    <w:p>
      <w:pPr>
        <w:pStyle w:val="Normal"/>
        <w:rPr>
          <w:rFonts w:cs="Arial"/>
          <w:sz w:val="22"/>
          <w:szCs w:val="22"/>
        </w:rPr>
      </w:pPr>
      <w:r>
        <w:rPr>
          <w:rFonts w:cs="Arial"/>
          <w:sz w:val="22"/>
          <w:szCs w:val="22"/>
        </w:rPr>
      </w:r>
    </w:p>
    <w:tbl>
      <w:tblPr>
        <w:tblW w:w="10439" w:type="dxa"/>
        <w:jc w:val="left"/>
        <w:tblInd w:w="-504" w:type="dxa"/>
        <w:tblLayout w:type="fixed"/>
        <w:tblCellMar>
          <w:top w:w="0" w:type="dxa"/>
          <w:left w:w="108" w:type="dxa"/>
          <w:bottom w:w="0" w:type="dxa"/>
          <w:right w:w="108" w:type="dxa"/>
        </w:tblCellMar>
      </w:tblPr>
      <w:tblGrid>
        <w:gridCol w:w="1799"/>
        <w:gridCol w:w="3960"/>
        <w:gridCol w:w="3060"/>
        <w:gridCol w:w="1620"/>
      </w:tblGrid>
      <w:tr>
        <w:trPr>
          <w:trHeight w:val="1000" w:hRule="atLeast"/>
          <w:cantSplit w:val="true"/>
        </w:trPr>
        <w:tc>
          <w:tcPr>
            <w:tcW w:w="1799" w:type="dxa"/>
            <w:tcBorders>
              <w:top w:val="single" w:sz="4" w:space="0" w:color="000000"/>
              <w:left w:val="single" w:sz="4" w:space="0" w:color="000000"/>
              <w:bottom w:val="single" w:sz="4" w:space="0" w:color="000000"/>
              <w:right w:val="single" w:sz="4" w:space="0" w:color="000000"/>
            </w:tcBorders>
            <w:shd w:fill="00B3BE" w:val="clear"/>
          </w:tcPr>
          <w:p>
            <w:pPr>
              <w:pStyle w:val="Normal"/>
              <w:snapToGrid w:val="false"/>
              <w:rPr>
                <w:rFonts w:cs="Arial"/>
                <w:b/>
                <w:bCs/>
                <w:sz w:val="22"/>
                <w:szCs w:val="22"/>
              </w:rPr>
            </w:pPr>
            <w:r>
              <w:rPr>
                <w:rFonts w:cs="Arial"/>
                <w:b/>
                <w:bCs/>
                <w:sz w:val="22"/>
                <w:szCs w:val="22"/>
              </w:rPr>
            </w:r>
          </w:p>
        </w:tc>
        <w:tc>
          <w:tcPr>
            <w:tcW w:w="3960" w:type="dxa"/>
            <w:tcBorders>
              <w:top w:val="single" w:sz="4" w:space="0" w:color="000000"/>
              <w:left w:val="single" w:sz="4" w:space="0" w:color="000000"/>
              <w:bottom w:val="single" w:sz="4" w:space="0" w:color="000000"/>
              <w:right w:val="single" w:sz="4" w:space="0" w:color="000000"/>
            </w:tcBorders>
            <w:shd w:fill="00B3BE" w:val="clear"/>
          </w:tcPr>
          <w:p>
            <w:pPr>
              <w:pStyle w:val="Normal"/>
              <w:snapToGrid w:val="false"/>
              <w:jc w:val="center"/>
              <w:rPr>
                <w:rFonts w:cs="Arial"/>
                <w:b/>
                <w:bCs/>
                <w:sz w:val="22"/>
                <w:szCs w:val="22"/>
              </w:rPr>
            </w:pPr>
            <w:r>
              <w:rPr>
                <w:rFonts w:cs="Arial"/>
                <w:b/>
                <w:bCs/>
                <w:sz w:val="22"/>
                <w:szCs w:val="22"/>
              </w:rPr>
            </w:r>
          </w:p>
          <w:p>
            <w:pPr>
              <w:pStyle w:val="Normal"/>
              <w:jc w:val="center"/>
              <w:rPr>
                <w:rFonts w:cs="Arial"/>
                <w:b/>
                <w:bCs/>
                <w:sz w:val="22"/>
                <w:szCs w:val="22"/>
              </w:rPr>
            </w:pPr>
            <w:r>
              <w:rPr>
                <w:rFonts w:cs="Arial"/>
                <w:b/>
                <w:bCs/>
                <w:sz w:val="22"/>
                <w:szCs w:val="22"/>
              </w:rPr>
              <w:t xml:space="preserve">Selection criteria </w:t>
            </w:r>
          </w:p>
          <w:p>
            <w:pPr>
              <w:pStyle w:val="Normal"/>
              <w:jc w:val="center"/>
              <w:rPr>
                <w:rFonts w:cs="Arial"/>
                <w:b/>
                <w:bCs/>
                <w:sz w:val="22"/>
                <w:szCs w:val="22"/>
              </w:rPr>
            </w:pPr>
            <w:r>
              <w:rPr>
                <w:rFonts w:cs="Arial"/>
                <w:b/>
                <w:bCs/>
                <w:sz w:val="22"/>
                <w:szCs w:val="22"/>
              </w:rPr>
              <w:t>(Essential)</w:t>
            </w:r>
          </w:p>
        </w:tc>
        <w:tc>
          <w:tcPr>
            <w:tcW w:w="3060" w:type="dxa"/>
            <w:tcBorders>
              <w:top w:val="single" w:sz="4" w:space="0" w:color="000000"/>
              <w:left w:val="single" w:sz="4" w:space="0" w:color="000000"/>
              <w:bottom w:val="single" w:sz="4" w:space="0" w:color="000000"/>
              <w:right w:val="single" w:sz="4" w:space="0" w:color="000000"/>
            </w:tcBorders>
            <w:shd w:fill="00B3BE" w:val="clear"/>
          </w:tcPr>
          <w:p>
            <w:pPr>
              <w:pStyle w:val="Normal"/>
              <w:snapToGrid w:val="false"/>
              <w:jc w:val="center"/>
              <w:rPr>
                <w:rFonts w:cs="Arial"/>
                <w:b/>
                <w:bCs/>
                <w:sz w:val="22"/>
                <w:szCs w:val="22"/>
              </w:rPr>
            </w:pPr>
            <w:r>
              <w:rPr>
                <w:rFonts w:cs="Arial"/>
                <w:b/>
                <w:bCs/>
                <w:sz w:val="22"/>
                <w:szCs w:val="22"/>
              </w:rPr>
            </w:r>
          </w:p>
          <w:p>
            <w:pPr>
              <w:pStyle w:val="Normal"/>
              <w:jc w:val="center"/>
              <w:rPr>
                <w:rFonts w:cs="Arial"/>
                <w:b/>
                <w:bCs/>
                <w:sz w:val="22"/>
                <w:szCs w:val="22"/>
              </w:rPr>
            </w:pPr>
            <w:r>
              <w:rPr>
                <w:rFonts w:cs="Arial"/>
                <w:b/>
                <w:bCs/>
                <w:sz w:val="22"/>
                <w:szCs w:val="22"/>
              </w:rPr>
              <w:t xml:space="preserve">Selection criteria </w:t>
            </w:r>
          </w:p>
          <w:p>
            <w:pPr>
              <w:pStyle w:val="Normal"/>
              <w:jc w:val="center"/>
              <w:rPr>
                <w:rFonts w:cs="Arial"/>
                <w:b/>
                <w:bCs/>
                <w:sz w:val="22"/>
                <w:szCs w:val="22"/>
              </w:rPr>
            </w:pPr>
            <w:r>
              <w:rPr>
                <w:rFonts w:cs="Arial"/>
                <w:b/>
                <w:bCs/>
                <w:sz w:val="22"/>
                <w:szCs w:val="22"/>
              </w:rPr>
              <w:t>(Desirable)</w:t>
            </w:r>
          </w:p>
          <w:p>
            <w:pPr>
              <w:pStyle w:val="Normal"/>
              <w:jc w:val="center"/>
              <w:rPr>
                <w:rFonts w:cs="Arial"/>
                <w:b/>
                <w:bCs/>
                <w:sz w:val="22"/>
                <w:szCs w:val="22"/>
              </w:rPr>
            </w:pPr>
            <w:r>
              <w:rPr>
                <w:rFonts w:cs="Arial"/>
                <w:b/>
                <w:bCs/>
                <w:sz w:val="22"/>
                <w:szCs w:val="22"/>
              </w:rPr>
            </w:r>
          </w:p>
        </w:tc>
        <w:tc>
          <w:tcPr>
            <w:tcW w:w="1620" w:type="dxa"/>
            <w:tcBorders>
              <w:top w:val="single" w:sz="4" w:space="0" w:color="000000"/>
              <w:left w:val="single" w:sz="4" w:space="0" w:color="000000"/>
              <w:bottom w:val="single" w:sz="4" w:space="0" w:color="000000"/>
              <w:right w:val="single" w:sz="4" w:space="0" w:color="000000"/>
            </w:tcBorders>
            <w:shd w:fill="00B3BE" w:val="clear"/>
          </w:tcPr>
          <w:p>
            <w:pPr>
              <w:pStyle w:val="Normal"/>
              <w:snapToGrid w:val="false"/>
              <w:jc w:val="center"/>
              <w:rPr>
                <w:rFonts w:cs="Arial"/>
                <w:b/>
                <w:bCs/>
                <w:sz w:val="22"/>
                <w:szCs w:val="22"/>
              </w:rPr>
            </w:pPr>
            <w:r>
              <w:rPr>
                <w:rFonts w:cs="Arial"/>
                <w:b/>
                <w:bCs/>
                <w:sz w:val="22"/>
                <w:szCs w:val="22"/>
              </w:rPr>
            </w:r>
          </w:p>
          <w:p>
            <w:pPr>
              <w:pStyle w:val="Normal"/>
              <w:jc w:val="center"/>
              <w:rPr>
                <w:rFonts w:cs="Arial"/>
                <w:b/>
                <w:bCs/>
                <w:sz w:val="22"/>
                <w:szCs w:val="22"/>
              </w:rPr>
            </w:pPr>
            <w:r>
              <w:rPr>
                <w:rFonts w:cs="Arial"/>
                <w:b/>
                <w:bCs/>
                <w:sz w:val="22"/>
                <w:szCs w:val="22"/>
              </w:rPr>
              <w:t>How Assessed</w:t>
            </w:r>
          </w:p>
        </w:tc>
      </w:tr>
      <w:tr>
        <w:trPr/>
        <w:tc>
          <w:tcPr>
            <w:tcW w:w="1799" w:type="dxa"/>
            <w:tcBorders>
              <w:top w:val="single" w:sz="4" w:space="0" w:color="000000"/>
              <w:left w:val="single" w:sz="4" w:space="0" w:color="000000"/>
              <w:bottom w:val="single" w:sz="4" w:space="0" w:color="000000"/>
              <w:right w:val="single" w:sz="4" w:space="0" w:color="000000"/>
            </w:tcBorders>
            <w:shd w:fill="00B3BE" w:val="clear"/>
          </w:tcPr>
          <w:p>
            <w:pPr>
              <w:pStyle w:val="Normal"/>
              <w:snapToGrid w:val="false"/>
              <w:rPr>
                <w:rFonts w:cs="Arial"/>
                <w:b/>
                <w:bCs/>
                <w:sz w:val="22"/>
                <w:szCs w:val="22"/>
              </w:rPr>
            </w:pPr>
            <w:r>
              <w:rPr>
                <w:rFonts w:cs="Arial"/>
                <w:b/>
                <w:bCs/>
                <w:sz w:val="22"/>
                <w:szCs w:val="22"/>
              </w:rPr>
            </w:r>
          </w:p>
          <w:p>
            <w:pPr>
              <w:pStyle w:val="BodyText"/>
              <w:rPr>
                <w:rFonts w:cs="Arial"/>
                <w:bCs/>
                <w:szCs w:val="22"/>
              </w:rPr>
            </w:pPr>
            <w:r>
              <w:rPr>
                <w:rFonts w:cs="Arial"/>
                <w:bCs/>
                <w:szCs w:val="22"/>
              </w:rPr>
              <w:t>Education &amp; Qualifications</w:t>
            </w:r>
          </w:p>
          <w:p>
            <w:pPr>
              <w:pStyle w:val="Normal"/>
              <w:rPr>
                <w:rFonts w:cs="Arial"/>
                <w:b/>
                <w:bCs/>
                <w:sz w:val="22"/>
                <w:szCs w:val="22"/>
              </w:rPr>
            </w:pPr>
            <w:r>
              <w:rPr>
                <w:rFonts w:cs="Arial"/>
                <w:b/>
                <w:bCs/>
                <w:sz w:val="22"/>
                <w:szCs w:val="22"/>
              </w:rPr>
            </w:r>
          </w:p>
        </w:tc>
        <w:tc>
          <w:tcPr>
            <w:tcW w:w="3960" w:type="dxa"/>
            <w:tcBorders>
              <w:top w:val="single" w:sz="4" w:space="0" w:color="000000"/>
              <w:left w:val="single" w:sz="4" w:space="0" w:color="000000"/>
              <w:bottom w:val="single" w:sz="4" w:space="0" w:color="000000"/>
              <w:right w:val="single" w:sz="4" w:space="0" w:color="000000"/>
            </w:tcBorders>
          </w:tcPr>
          <w:p>
            <w:pPr>
              <w:pStyle w:val="Normal"/>
              <w:rPr>
                <w:rFonts w:cs="Arial"/>
                <w:sz w:val="22"/>
                <w:szCs w:val="22"/>
              </w:rPr>
            </w:pPr>
            <w:r>
              <w:rPr>
                <w:rFonts w:cs="Arial"/>
                <w:sz w:val="22"/>
                <w:szCs w:val="22"/>
              </w:rPr>
              <w:t>Relevant degree or other professional qualification e.g. Chartered Institute of Housing sufficient to meet the Competency and Conduct Standard (level 4 or above).</w:t>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t xml:space="preserve">Evidence of continued professional, managerial, and personal development. </w:t>
            </w:r>
          </w:p>
          <w:p>
            <w:pPr>
              <w:pStyle w:val="Header"/>
              <w:tabs>
                <w:tab w:val="clear" w:pos="4153"/>
                <w:tab w:val="clear" w:pos="8306"/>
              </w:tabs>
              <w:rPr>
                <w:rFonts w:cs="Arial"/>
                <w:szCs w:val="22"/>
              </w:rPr>
            </w:pPr>
            <w:r>
              <w:rPr>
                <w:rFonts w:cs="Arial"/>
                <w:szCs w:val="22"/>
              </w:rPr>
            </w:r>
          </w:p>
        </w:tc>
        <w:tc>
          <w:tcPr>
            <w:tcW w:w="3060" w:type="dxa"/>
            <w:tcBorders>
              <w:top w:val="single" w:sz="4" w:space="0" w:color="000000"/>
              <w:left w:val="single" w:sz="4" w:space="0" w:color="000000"/>
              <w:bottom w:val="single" w:sz="4" w:space="0" w:color="000000"/>
              <w:right w:val="single" w:sz="4" w:space="0" w:color="000000"/>
            </w:tcBorders>
          </w:tcPr>
          <w:p>
            <w:pPr>
              <w:pStyle w:val="Normal"/>
              <w:rPr>
                <w:rFonts w:cs="Arial"/>
                <w:sz w:val="22"/>
                <w:szCs w:val="22"/>
              </w:rPr>
            </w:pPr>
            <w:r>
              <w:rPr>
                <w:rFonts w:cs="Arial"/>
                <w:sz w:val="22"/>
                <w:szCs w:val="22"/>
              </w:rPr>
              <w:t>Leadership or Management qualification.</w:t>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t>Project Management qualification e.g. Prince 2.</w:t>
            </w:r>
          </w:p>
        </w:tc>
        <w:tc>
          <w:tcPr>
            <w:tcW w:w="1620" w:type="dxa"/>
            <w:tcBorders>
              <w:top w:val="single" w:sz="4" w:space="0" w:color="000000"/>
              <w:left w:val="single" w:sz="4" w:space="0" w:color="000000"/>
              <w:bottom w:val="single" w:sz="4" w:space="0" w:color="000000"/>
              <w:right w:val="single" w:sz="4" w:space="0" w:color="000000"/>
            </w:tcBorders>
          </w:tcPr>
          <w:p>
            <w:pPr>
              <w:pStyle w:val="Header"/>
              <w:tabs>
                <w:tab w:val="clear" w:pos="4153"/>
                <w:tab w:val="clear" w:pos="8306"/>
              </w:tabs>
              <w:jc w:val="center"/>
              <w:rPr>
                <w:rFonts w:cs="Arial"/>
                <w:szCs w:val="22"/>
              </w:rPr>
            </w:pPr>
            <w:r>
              <w:rPr>
                <w:rFonts w:cs="Arial"/>
                <w:szCs w:val="22"/>
              </w:rPr>
              <w:t>AF/I/C</w:t>
            </w:r>
          </w:p>
        </w:tc>
      </w:tr>
      <w:tr>
        <w:trPr/>
        <w:tc>
          <w:tcPr>
            <w:tcW w:w="1799" w:type="dxa"/>
            <w:tcBorders>
              <w:top w:val="single" w:sz="4" w:space="0" w:color="000000"/>
              <w:left w:val="single" w:sz="4" w:space="0" w:color="000000"/>
              <w:bottom w:val="single" w:sz="4" w:space="0" w:color="000000"/>
              <w:right w:val="single" w:sz="4" w:space="0" w:color="000000"/>
            </w:tcBorders>
            <w:shd w:fill="00B3BE" w:val="clear"/>
          </w:tcPr>
          <w:p>
            <w:pPr>
              <w:pStyle w:val="Normal"/>
              <w:snapToGrid w:val="false"/>
              <w:rPr>
                <w:rFonts w:cs="Arial"/>
                <w:b/>
                <w:bCs/>
                <w:sz w:val="22"/>
                <w:szCs w:val="22"/>
              </w:rPr>
            </w:pPr>
            <w:r>
              <w:rPr>
                <w:rFonts w:cs="Arial"/>
                <w:b/>
                <w:bCs/>
                <w:sz w:val="22"/>
                <w:szCs w:val="22"/>
              </w:rPr>
            </w:r>
          </w:p>
          <w:p>
            <w:pPr>
              <w:pStyle w:val="Normal"/>
              <w:rPr>
                <w:rFonts w:cs="Arial"/>
                <w:b/>
                <w:bCs/>
                <w:sz w:val="22"/>
                <w:szCs w:val="22"/>
              </w:rPr>
            </w:pPr>
            <w:r>
              <w:rPr>
                <w:rFonts w:cs="Arial"/>
                <w:b/>
                <w:bCs/>
                <w:sz w:val="22"/>
                <w:szCs w:val="22"/>
              </w:rPr>
              <w:t>Experience</w:t>
            </w:r>
          </w:p>
          <w:p>
            <w:pPr>
              <w:pStyle w:val="Normal"/>
              <w:rPr>
                <w:rFonts w:cs="Arial"/>
                <w:b/>
                <w:bCs/>
                <w:sz w:val="22"/>
                <w:szCs w:val="22"/>
              </w:rPr>
            </w:pPr>
            <w:r>
              <w:rPr>
                <w:rFonts w:cs="Arial"/>
                <w:b/>
                <w:bCs/>
                <w:sz w:val="22"/>
                <w:szCs w:val="22"/>
              </w:rPr>
            </w:r>
          </w:p>
        </w:tc>
        <w:tc>
          <w:tcPr>
            <w:tcW w:w="3960" w:type="dxa"/>
            <w:tcBorders>
              <w:top w:val="single" w:sz="4" w:space="0" w:color="000000"/>
              <w:left w:val="single" w:sz="4" w:space="0" w:color="000000"/>
              <w:bottom w:val="single" w:sz="4" w:space="0" w:color="000000"/>
              <w:right w:val="single" w:sz="4" w:space="0" w:color="000000"/>
            </w:tcBorders>
          </w:tcPr>
          <w:p>
            <w:pPr>
              <w:pStyle w:val="Normal"/>
              <w:rPr>
                <w:rFonts w:cs="Arial"/>
                <w:sz w:val="22"/>
                <w:szCs w:val="22"/>
              </w:rPr>
            </w:pPr>
            <w:r>
              <w:rPr>
                <w:rFonts w:cs="Arial"/>
                <w:sz w:val="22"/>
                <w:szCs w:val="22"/>
              </w:rPr>
              <w:t>Experience of managing and motivating professional, technical and administrative staff.</w:t>
            </w:r>
          </w:p>
          <w:p>
            <w:pPr>
              <w:pStyle w:val="Normal"/>
              <w:rPr>
                <w:rFonts w:cs="Arial"/>
                <w:sz w:val="22"/>
                <w:szCs w:val="22"/>
              </w:rPr>
            </w:pPr>
            <w:r>
              <w:rPr>
                <w:rFonts w:cs="Arial"/>
                <w:sz w:val="22"/>
                <w:szCs w:val="22"/>
              </w:rPr>
            </w:r>
          </w:p>
          <w:p>
            <w:pPr>
              <w:pStyle w:val="Default"/>
              <w:rPr>
                <w:color w:val="auto"/>
                <w:sz w:val="22"/>
                <w:szCs w:val="22"/>
              </w:rPr>
            </w:pPr>
            <w:r>
              <w:rPr>
                <w:color w:val="auto"/>
                <w:sz w:val="22"/>
                <w:szCs w:val="22"/>
              </w:rPr>
              <w:t xml:space="preserve">Experience of working in partnership with a wide range of stakeholders including engaging with vulnerable and hard to reach groups and elected members. </w:t>
            </w:r>
          </w:p>
          <w:p>
            <w:pPr>
              <w:pStyle w:val="Default"/>
              <w:rPr>
                <w:color w:val="auto"/>
                <w:sz w:val="22"/>
                <w:szCs w:val="22"/>
              </w:rPr>
            </w:pPr>
            <w:r>
              <w:rPr>
                <w:color w:val="auto"/>
                <w:sz w:val="22"/>
                <w:szCs w:val="22"/>
              </w:rPr>
            </w:r>
          </w:p>
          <w:p>
            <w:pPr>
              <w:pStyle w:val="Default"/>
              <w:rPr>
                <w:color w:val="auto"/>
                <w:sz w:val="22"/>
                <w:szCs w:val="22"/>
              </w:rPr>
            </w:pPr>
            <w:r>
              <w:rPr>
                <w:color w:val="auto"/>
                <w:sz w:val="22"/>
                <w:szCs w:val="22"/>
              </w:rPr>
              <w:t xml:space="preserve">Experience of managing a wide range of very high value long-term contracts including budget management ensuring projects are delivered on time, to a high standard achieving outcomes, and value for money.  </w:t>
            </w:r>
          </w:p>
          <w:p>
            <w:pPr>
              <w:pStyle w:val="Default"/>
              <w:rPr>
                <w:color w:val="auto"/>
                <w:sz w:val="22"/>
                <w:szCs w:val="22"/>
              </w:rPr>
            </w:pPr>
            <w:r>
              <w:rPr>
                <w:color w:val="auto"/>
                <w:sz w:val="22"/>
                <w:szCs w:val="22"/>
              </w:rPr>
            </w:r>
          </w:p>
          <w:p>
            <w:pPr>
              <w:pStyle w:val="Default"/>
              <w:rPr>
                <w:color w:val="auto"/>
                <w:sz w:val="22"/>
                <w:szCs w:val="22"/>
              </w:rPr>
            </w:pPr>
            <w:r>
              <w:rPr>
                <w:color w:val="auto"/>
                <w:sz w:val="22"/>
                <w:szCs w:val="22"/>
              </w:rPr>
              <w:t xml:space="preserve">Experience of dealing with development and/or regeneration schemes to achieve identified outputs. </w:t>
            </w:r>
          </w:p>
          <w:p>
            <w:pPr>
              <w:pStyle w:val="Default"/>
              <w:rPr>
                <w:color w:val="auto"/>
                <w:sz w:val="22"/>
                <w:szCs w:val="22"/>
              </w:rPr>
            </w:pPr>
            <w:r>
              <w:rPr>
                <w:color w:val="auto"/>
                <w:sz w:val="22"/>
                <w:szCs w:val="22"/>
              </w:rPr>
              <w:t xml:space="preserve">Including experience of: </w:t>
            </w:r>
          </w:p>
          <w:p>
            <w:pPr>
              <w:pStyle w:val="Default"/>
              <w:rPr>
                <w:color w:val="auto"/>
                <w:sz w:val="22"/>
                <w:szCs w:val="22"/>
              </w:rPr>
            </w:pPr>
            <w:r>
              <w:rPr>
                <w:color w:val="auto"/>
                <w:sz w:val="22"/>
                <w:szCs w:val="22"/>
              </w:rPr>
            </w:r>
          </w:p>
          <w:p>
            <w:pPr>
              <w:pStyle w:val="Default"/>
              <w:numPr>
                <w:ilvl w:val="0"/>
                <w:numId w:val="2"/>
              </w:numPr>
              <w:ind w:hanging="231" w:left="231" w:right="0"/>
              <w:rPr/>
            </w:pPr>
            <w:r>
              <w:rPr>
                <w:color w:val="auto"/>
                <w:sz w:val="22"/>
                <w:szCs w:val="22"/>
              </w:rPr>
              <w:t xml:space="preserve">Development agreements, funding agreements and nomination agreements </w:t>
            </w:r>
          </w:p>
          <w:p>
            <w:pPr>
              <w:pStyle w:val="Default"/>
              <w:numPr>
                <w:ilvl w:val="0"/>
                <w:numId w:val="2"/>
              </w:numPr>
              <w:ind w:hanging="231" w:left="231" w:right="0"/>
              <w:rPr/>
            </w:pPr>
            <w:r>
              <w:rPr>
                <w:color w:val="auto"/>
                <w:sz w:val="22"/>
                <w:szCs w:val="22"/>
              </w:rPr>
              <w:t xml:space="preserve">Appointing and managing external consultants </w:t>
            </w:r>
          </w:p>
          <w:p>
            <w:pPr>
              <w:pStyle w:val="Default"/>
              <w:numPr>
                <w:ilvl w:val="0"/>
                <w:numId w:val="2"/>
              </w:numPr>
              <w:ind w:hanging="231" w:left="231" w:right="0"/>
              <w:rPr/>
            </w:pPr>
            <w:r>
              <w:rPr>
                <w:color w:val="auto"/>
                <w:sz w:val="22"/>
                <w:szCs w:val="22"/>
              </w:rPr>
              <w:t xml:space="preserve">Residential schemes </w:t>
            </w:r>
          </w:p>
          <w:p>
            <w:pPr>
              <w:pStyle w:val="Default"/>
              <w:numPr>
                <w:ilvl w:val="0"/>
                <w:numId w:val="2"/>
              </w:numPr>
              <w:ind w:hanging="231" w:left="231" w:right="0"/>
              <w:rPr/>
            </w:pPr>
            <w:r>
              <w:rPr>
                <w:color w:val="auto"/>
                <w:sz w:val="22"/>
                <w:szCs w:val="22"/>
              </w:rPr>
              <w:t xml:space="preserve">Negotiating, agreeing, supervising and monitoring contracts, and developing effective working relationships with suppliers and contractors </w:t>
            </w:r>
          </w:p>
          <w:p>
            <w:pPr>
              <w:pStyle w:val="Default"/>
              <w:numPr>
                <w:ilvl w:val="0"/>
                <w:numId w:val="2"/>
              </w:numPr>
              <w:ind w:hanging="231" w:left="231" w:right="0"/>
              <w:rPr/>
            </w:pPr>
            <w:r>
              <w:rPr>
                <w:color w:val="auto"/>
                <w:sz w:val="22"/>
                <w:szCs w:val="22"/>
              </w:rPr>
              <w:t xml:space="preserve">Resident engagement </w:t>
            </w:r>
          </w:p>
          <w:p>
            <w:pPr>
              <w:pStyle w:val="Default"/>
              <w:numPr>
                <w:ilvl w:val="0"/>
                <w:numId w:val="2"/>
              </w:numPr>
              <w:ind w:hanging="231" w:left="231" w:right="0"/>
              <w:rPr/>
            </w:pPr>
            <w:r>
              <w:rPr>
                <w:color w:val="auto"/>
                <w:sz w:val="22"/>
                <w:szCs w:val="22"/>
              </w:rPr>
              <w:t xml:space="preserve">Code assessments, building regulations and energy statements </w:t>
            </w:r>
          </w:p>
          <w:p>
            <w:pPr>
              <w:pStyle w:val="Normal"/>
              <w:rPr>
                <w:rFonts w:cs="Arial"/>
                <w:sz w:val="22"/>
                <w:szCs w:val="22"/>
              </w:rPr>
            </w:pPr>
            <w:r>
              <w:rPr>
                <w:rFonts w:cs="Arial"/>
                <w:sz w:val="22"/>
                <w:szCs w:val="22"/>
              </w:rPr>
            </w:r>
          </w:p>
        </w:tc>
        <w:tc>
          <w:tcPr>
            <w:tcW w:w="3060" w:type="dxa"/>
            <w:tcBorders>
              <w:top w:val="single" w:sz="4" w:space="0" w:color="000000"/>
              <w:left w:val="single" w:sz="4" w:space="0" w:color="000000"/>
              <w:bottom w:val="single" w:sz="4" w:space="0" w:color="000000"/>
              <w:right w:val="single" w:sz="4" w:space="0" w:color="000000"/>
            </w:tcBorders>
          </w:tcPr>
          <w:p>
            <w:pPr>
              <w:pStyle w:val="Normal"/>
              <w:snapToGrid w:val="false"/>
              <w:rPr>
                <w:rFonts w:cs="Arial"/>
                <w:sz w:val="22"/>
                <w:szCs w:val="22"/>
              </w:rPr>
            </w:pPr>
            <w:r>
              <w:rPr>
                <w:rFonts w:cs="Arial"/>
                <w:sz w:val="22"/>
                <w:szCs w:val="22"/>
              </w:rPr>
            </w:r>
          </w:p>
        </w:tc>
        <w:tc>
          <w:tcPr>
            <w:tcW w:w="1620" w:type="dxa"/>
            <w:tcBorders>
              <w:top w:val="single" w:sz="4" w:space="0" w:color="000000"/>
              <w:left w:val="single" w:sz="4" w:space="0" w:color="000000"/>
              <w:bottom w:val="single" w:sz="4" w:space="0" w:color="000000"/>
              <w:right w:val="single" w:sz="4" w:space="0" w:color="000000"/>
            </w:tcBorders>
          </w:tcPr>
          <w:p>
            <w:pPr>
              <w:pStyle w:val="Normal"/>
              <w:jc w:val="center"/>
              <w:rPr>
                <w:rFonts w:cs="Arial"/>
                <w:sz w:val="22"/>
                <w:szCs w:val="22"/>
              </w:rPr>
            </w:pPr>
            <w:r>
              <w:rPr>
                <w:rFonts w:cs="Arial"/>
                <w:sz w:val="22"/>
                <w:szCs w:val="22"/>
              </w:rPr>
              <w:t>AF / I</w:t>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t>AF / I</w:t>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t>AF / I</w:t>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t>AF / I</w:t>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tc>
      </w:tr>
      <w:tr>
        <w:trPr/>
        <w:tc>
          <w:tcPr>
            <w:tcW w:w="1799" w:type="dxa"/>
            <w:tcBorders>
              <w:top w:val="single" w:sz="4" w:space="0" w:color="000000"/>
              <w:left w:val="single" w:sz="4" w:space="0" w:color="000000"/>
              <w:bottom w:val="single" w:sz="4" w:space="0" w:color="000000"/>
              <w:right w:val="single" w:sz="4" w:space="0" w:color="000000"/>
            </w:tcBorders>
            <w:shd w:fill="00B3BE" w:val="clear"/>
          </w:tcPr>
          <w:p>
            <w:pPr>
              <w:pStyle w:val="Normal"/>
              <w:snapToGrid w:val="false"/>
              <w:rPr>
                <w:rFonts w:cs="Arial"/>
                <w:b/>
                <w:bCs/>
                <w:sz w:val="22"/>
                <w:szCs w:val="22"/>
              </w:rPr>
            </w:pPr>
            <w:r>
              <w:rPr>
                <w:rFonts w:cs="Arial"/>
                <w:b/>
                <w:bCs/>
                <w:sz w:val="22"/>
                <w:szCs w:val="22"/>
              </w:rPr>
            </w:r>
          </w:p>
          <w:p>
            <w:pPr>
              <w:pStyle w:val="Normal"/>
              <w:rPr>
                <w:rFonts w:cs="Arial"/>
                <w:b/>
                <w:bCs/>
                <w:sz w:val="22"/>
                <w:szCs w:val="22"/>
              </w:rPr>
            </w:pPr>
            <w:r>
              <w:rPr>
                <w:rFonts w:cs="Arial"/>
                <w:b/>
                <w:bCs/>
                <w:sz w:val="22"/>
                <w:szCs w:val="22"/>
              </w:rPr>
              <w:t>Skills &amp; Abilities</w:t>
            </w:r>
          </w:p>
          <w:p>
            <w:pPr>
              <w:pStyle w:val="Normal"/>
              <w:rPr>
                <w:rFonts w:cs="Arial"/>
                <w:b/>
                <w:bCs/>
                <w:sz w:val="22"/>
                <w:szCs w:val="22"/>
              </w:rPr>
            </w:pPr>
            <w:r>
              <w:rPr>
                <w:rFonts w:cs="Arial"/>
                <w:b/>
                <w:bCs/>
                <w:sz w:val="22"/>
                <w:szCs w:val="22"/>
              </w:rPr>
            </w:r>
          </w:p>
        </w:tc>
        <w:tc>
          <w:tcPr>
            <w:tcW w:w="3960" w:type="dxa"/>
            <w:tcBorders>
              <w:top w:val="single" w:sz="4" w:space="0" w:color="000000"/>
              <w:left w:val="single" w:sz="4" w:space="0" w:color="000000"/>
              <w:bottom w:val="single" w:sz="4" w:space="0" w:color="000000"/>
              <w:right w:val="single" w:sz="4" w:space="0" w:color="000000"/>
            </w:tcBorders>
          </w:tcPr>
          <w:p>
            <w:pPr>
              <w:pStyle w:val="Normal"/>
              <w:rPr>
                <w:rFonts w:cs="Arial"/>
                <w:sz w:val="22"/>
                <w:szCs w:val="22"/>
              </w:rPr>
            </w:pPr>
            <w:r>
              <w:rPr>
                <w:rFonts w:cs="Arial"/>
                <w:sz w:val="22"/>
                <w:szCs w:val="22"/>
              </w:rPr>
              <w:t xml:space="preserve">Ability to effectively manage, develop, instruct and motivate staff. </w:t>
            </w:r>
          </w:p>
          <w:p>
            <w:pPr>
              <w:pStyle w:val="Normal"/>
              <w:rPr>
                <w:rFonts w:cs="Arial"/>
                <w:sz w:val="22"/>
                <w:szCs w:val="22"/>
              </w:rPr>
            </w:pPr>
            <w:r>
              <w:rPr>
                <w:rFonts w:cs="Arial"/>
                <w:sz w:val="22"/>
                <w:szCs w:val="22"/>
              </w:rPr>
            </w:r>
          </w:p>
          <w:p>
            <w:pPr>
              <w:pStyle w:val="Default"/>
              <w:rPr>
                <w:color w:val="auto"/>
                <w:sz w:val="22"/>
                <w:szCs w:val="22"/>
              </w:rPr>
            </w:pPr>
            <w:r>
              <w:rPr>
                <w:color w:val="auto"/>
                <w:sz w:val="22"/>
                <w:szCs w:val="22"/>
              </w:rPr>
              <w:t>Excellent communication skills, including highly developed negotiation and persuading skills both orally and in writing and with the skills to deliver information and presentations to a variety of audiences, including senior managers and politicians.</w:t>
            </w:r>
          </w:p>
          <w:p>
            <w:pPr>
              <w:pStyle w:val="Default"/>
              <w:rPr>
                <w:color w:val="auto"/>
                <w:sz w:val="22"/>
                <w:szCs w:val="22"/>
              </w:rPr>
            </w:pPr>
            <w:r>
              <w:rPr>
                <w:color w:val="auto"/>
                <w:sz w:val="22"/>
                <w:szCs w:val="22"/>
              </w:rPr>
            </w:r>
          </w:p>
          <w:p>
            <w:pPr>
              <w:pStyle w:val="Normal"/>
              <w:rPr>
                <w:rFonts w:cs="Arial"/>
                <w:sz w:val="22"/>
                <w:szCs w:val="22"/>
              </w:rPr>
            </w:pPr>
            <w:r>
              <w:rPr>
                <w:rFonts w:cs="Arial"/>
                <w:sz w:val="22"/>
                <w:szCs w:val="22"/>
              </w:rPr>
              <w:t>Well-developed project and programme management skills, including the ability to prioritise, manage budgets and resources including developing project plans, risk registers, and technical service specifications.</w:t>
            </w:r>
          </w:p>
          <w:p>
            <w:pPr>
              <w:pStyle w:val="Normal"/>
              <w:rPr>
                <w:rFonts w:cs="Arial"/>
                <w:sz w:val="22"/>
                <w:szCs w:val="22"/>
              </w:rPr>
            </w:pPr>
            <w:r>
              <w:rPr>
                <w:rFonts w:cs="Arial"/>
                <w:sz w:val="22"/>
                <w:szCs w:val="22"/>
              </w:rPr>
            </w:r>
          </w:p>
          <w:p>
            <w:pPr>
              <w:pStyle w:val="Default"/>
              <w:rPr>
                <w:color w:val="auto"/>
                <w:sz w:val="22"/>
                <w:szCs w:val="22"/>
              </w:rPr>
            </w:pPr>
            <w:r>
              <w:rPr>
                <w:color w:val="auto"/>
                <w:sz w:val="22"/>
                <w:szCs w:val="22"/>
              </w:rPr>
              <w:t xml:space="preserve">Ability to write and make high value funding bids to help deliver the housing delivery programme. </w:t>
            </w:r>
          </w:p>
          <w:p>
            <w:pPr>
              <w:pStyle w:val="Default"/>
              <w:rPr>
                <w:color w:val="auto"/>
                <w:sz w:val="22"/>
                <w:szCs w:val="22"/>
              </w:rPr>
            </w:pPr>
            <w:r>
              <w:rPr>
                <w:color w:val="auto"/>
                <w:sz w:val="22"/>
                <w:szCs w:val="22"/>
              </w:rPr>
            </w:r>
          </w:p>
          <w:p>
            <w:pPr>
              <w:pStyle w:val="Normal"/>
              <w:rPr>
                <w:rFonts w:cs="Arial"/>
                <w:sz w:val="22"/>
                <w:szCs w:val="22"/>
              </w:rPr>
            </w:pPr>
            <w:r>
              <w:rPr>
                <w:rFonts w:cs="Arial"/>
                <w:sz w:val="22"/>
                <w:szCs w:val="22"/>
              </w:rPr>
              <w:t>Ability to manage high value long-term contracts of a diverse nature.</w:t>
            </w:r>
          </w:p>
          <w:p>
            <w:pPr>
              <w:pStyle w:val="Default"/>
              <w:rPr>
                <w:color w:val="auto"/>
                <w:sz w:val="22"/>
                <w:szCs w:val="22"/>
              </w:rPr>
            </w:pPr>
            <w:r>
              <w:rPr>
                <w:color w:val="auto"/>
                <w:sz w:val="22"/>
                <w:szCs w:val="22"/>
              </w:rPr>
            </w:r>
          </w:p>
          <w:p>
            <w:pPr>
              <w:pStyle w:val="Default"/>
              <w:rPr>
                <w:color w:val="auto"/>
                <w:sz w:val="22"/>
                <w:szCs w:val="22"/>
              </w:rPr>
            </w:pPr>
            <w:r>
              <w:rPr>
                <w:color w:val="auto"/>
                <w:sz w:val="22"/>
                <w:szCs w:val="22"/>
              </w:rPr>
              <w:t xml:space="preserve">Ability to manage competing demands and organise the work of yourself and others. </w:t>
            </w:r>
          </w:p>
          <w:p>
            <w:pPr>
              <w:pStyle w:val="Default"/>
              <w:rPr>
                <w:color w:val="auto"/>
                <w:sz w:val="22"/>
                <w:szCs w:val="22"/>
              </w:rPr>
            </w:pPr>
            <w:r>
              <w:rPr>
                <w:color w:val="auto"/>
                <w:sz w:val="22"/>
                <w:szCs w:val="22"/>
              </w:rPr>
            </w:r>
          </w:p>
        </w:tc>
        <w:tc>
          <w:tcPr>
            <w:tcW w:w="3060" w:type="dxa"/>
            <w:tcBorders>
              <w:top w:val="single" w:sz="4" w:space="0" w:color="000000"/>
              <w:left w:val="single" w:sz="4" w:space="0" w:color="000000"/>
              <w:bottom w:val="single" w:sz="4" w:space="0" w:color="000000"/>
              <w:right w:val="single" w:sz="4" w:space="0" w:color="000000"/>
            </w:tcBorders>
          </w:tcPr>
          <w:p>
            <w:pPr>
              <w:pStyle w:val="Normal"/>
              <w:rPr>
                <w:rFonts w:cs="Arial"/>
                <w:sz w:val="22"/>
                <w:szCs w:val="22"/>
              </w:rPr>
            </w:pPr>
            <w:r>
              <w:rPr>
                <w:rFonts w:cs="Arial"/>
                <w:sz w:val="22"/>
                <w:szCs w:val="22"/>
              </w:rPr>
              <w:t>Ability to use IMS for the purpose of submitting funding bids to Homes England</w:t>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r>
          </w:p>
        </w:tc>
        <w:tc>
          <w:tcPr>
            <w:tcW w:w="1620" w:type="dxa"/>
            <w:tcBorders>
              <w:top w:val="single" w:sz="4" w:space="0" w:color="000000"/>
              <w:left w:val="single" w:sz="4" w:space="0" w:color="000000"/>
              <w:bottom w:val="single" w:sz="4" w:space="0" w:color="000000"/>
              <w:right w:val="single" w:sz="4" w:space="0" w:color="000000"/>
            </w:tcBorders>
          </w:tcPr>
          <w:p>
            <w:pPr>
              <w:pStyle w:val="Normal"/>
              <w:jc w:val="center"/>
              <w:rPr>
                <w:rFonts w:cs="Arial"/>
                <w:sz w:val="22"/>
                <w:szCs w:val="22"/>
              </w:rPr>
            </w:pPr>
            <w:r>
              <w:rPr>
                <w:rFonts w:cs="Arial"/>
                <w:sz w:val="22"/>
                <w:szCs w:val="22"/>
              </w:rPr>
              <w:t>AF / I</w:t>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t>AF / I</w:t>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t>AF / I</w:t>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t>AF / I</w:t>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t>AF / I</w:t>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tc>
      </w:tr>
      <w:tr>
        <w:trPr/>
        <w:tc>
          <w:tcPr>
            <w:tcW w:w="1799" w:type="dxa"/>
            <w:tcBorders>
              <w:top w:val="single" w:sz="4" w:space="0" w:color="000000"/>
              <w:left w:val="single" w:sz="4" w:space="0" w:color="000000"/>
              <w:bottom w:val="single" w:sz="4" w:space="0" w:color="000000"/>
              <w:right w:val="single" w:sz="4" w:space="0" w:color="000000"/>
            </w:tcBorders>
            <w:shd w:fill="00B3BE" w:val="clear"/>
          </w:tcPr>
          <w:p>
            <w:pPr>
              <w:pStyle w:val="Normal"/>
              <w:snapToGrid w:val="false"/>
              <w:rPr>
                <w:rFonts w:cs="Arial"/>
                <w:b/>
                <w:bCs/>
                <w:sz w:val="22"/>
                <w:szCs w:val="22"/>
              </w:rPr>
            </w:pPr>
            <w:r>
              <w:rPr>
                <w:rFonts w:cs="Arial"/>
                <w:b/>
                <w:bCs/>
                <w:sz w:val="22"/>
                <w:szCs w:val="22"/>
              </w:rPr>
            </w:r>
          </w:p>
          <w:p>
            <w:pPr>
              <w:pStyle w:val="Normal"/>
              <w:rPr>
                <w:rFonts w:cs="Arial"/>
                <w:b/>
                <w:bCs/>
                <w:sz w:val="22"/>
                <w:szCs w:val="22"/>
              </w:rPr>
            </w:pPr>
            <w:r>
              <w:rPr>
                <w:rFonts w:cs="Arial"/>
                <w:b/>
                <w:bCs/>
                <w:sz w:val="22"/>
                <w:szCs w:val="22"/>
              </w:rPr>
              <w:t>Knowledge</w:t>
            </w:r>
          </w:p>
          <w:p>
            <w:pPr>
              <w:pStyle w:val="Normal"/>
              <w:rPr>
                <w:rFonts w:cs="Arial"/>
                <w:b/>
                <w:bCs/>
                <w:sz w:val="22"/>
                <w:szCs w:val="22"/>
              </w:rPr>
            </w:pPr>
            <w:r>
              <w:rPr>
                <w:rFonts w:cs="Arial"/>
                <w:b/>
                <w:bCs/>
                <w:sz w:val="22"/>
                <w:szCs w:val="22"/>
              </w:rPr>
            </w:r>
          </w:p>
        </w:tc>
        <w:tc>
          <w:tcPr>
            <w:tcW w:w="3960" w:type="dxa"/>
            <w:tcBorders>
              <w:top w:val="single" w:sz="4" w:space="0" w:color="000000"/>
              <w:left w:val="single" w:sz="4" w:space="0" w:color="000000"/>
              <w:bottom w:val="single" w:sz="4" w:space="0" w:color="000000"/>
              <w:right w:val="single" w:sz="4" w:space="0" w:color="000000"/>
            </w:tcBorders>
          </w:tcPr>
          <w:p>
            <w:pPr>
              <w:pStyle w:val="Default"/>
              <w:rPr>
                <w:color w:val="auto"/>
                <w:sz w:val="22"/>
                <w:szCs w:val="22"/>
              </w:rPr>
            </w:pPr>
            <w:r>
              <w:rPr>
                <w:color w:val="auto"/>
                <w:sz w:val="22"/>
                <w:szCs w:val="22"/>
              </w:rPr>
              <w:t xml:space="preserve">Knowledge of key housing, planning and development issues at national and local levels. </w:t>
            </w:r>
          </w:p>
          <w:p>
            <w:pPr>
              <w:pStyle w:val="Default"/>
              <w:rPr>
                <w:color w:val="auto"/>
                <w:sz w:val="22"/>
                <w:szCs w:val="22"/>
              </w:rPr>
            </w:pPr>
            <w:r>
              <w:rPr>
                <w:color w:val="auto"/>
                <w:sz w:val="22"/>
                <w:szCs w:val="22"/>
              </w:rPr>
            </w:r>
          </w:p>
          <w:p>
            <w:pPr>
              <w:pStyle w:val="Default"/>
              <w:rPr>
                <w:color w:val="auto"/>
                <w:sz w:val="22"/>
                <w:szCs w:val="22"/>
              </w:rPr>
            </w:pPr>
            <w:r>
              <w:rPr>
                <w:color w:val="auto"/>
                <w:sz w:val="22"/>
                <w:szCs w:val="22"/>
              </w:rPr>
              <w:t>Knowledge and understanding of the legislative requirements surrounding building and fire safety to ensure compliance for of the Council’s HRA stock.</w:t>
            </w:r>
          </w:p>
          <w:p>
            <w:pPr>
              <w:pStyle w:val="Default"/>
              <w:rPr>
                <w:color w:val="auto"/>
                <w:sz w:val="22"/>
                <w:szCs w:val="22"/>
              </w:rPr>
            </w:pPr>
            <w:r>
              <w:rPr>
                <w:color w:val="auto"/>
                <w:sz w:val="22"/>
                <w:szCs w:val="22"/>
              </w:rPr>
            </w:r>
          </w:p>
          <w:p>
            <w:pPr>
              <w:pStyle w:val="Default"/>
              <w:rPr>
                <w:color w:val="auto"/>
                <w:sz w:val="22"/>
                <w:szCs w:val="22"/>
              </w:rPr>
            </w:pPr>
            <w:r>
              <w:rPr>
                <w:color w:val="auto"/>
                <w:sz w:val="22"/>
                <w:szCs w:val="22"/>
              </w:rPr>
              <w:t>Knowledge and understanding of PFI housing funding and contractual related issues.</w:t>
            </w:r>
          </w:p>
          <w:p>
            <w:pPr>
              <w:pStyle w:val="Normal"/>
              <w:rPr>
                <w:rFonts w:cs="Arial"/>
                <w:sz w:val="22"/>
                <w:szCs w:val="22"/>
              </w:rPr>
            </w:pPr>
            <w:r>
              <w:rPr>
                <w:rFonts w:cs="Arial"/>
                <w:sz w:val="22"/>
                <w:szCs w:val="22"/>
              </w:rPr>
            </w:r>
          </w:p>
          <w:p>
            <w:pPr>
              <w:pStyle w:val="Default"/>
              <w:rPr>
                <w:color w:val="auto"/>
                <w:sz w:val="22"/>
                <w:szCs w:val="22"/>
              </w:rPr>
            </w:pPr>
            <w:r>
              <w:rPr>
                <w:color w:val="auto"/>
                <w:sz w:val="22"/>
                <w:szCs w:val="22"/>
              </w:rPr>
              <w:t xml:space="preserve">Knowledge and understanding of the principles of performance management and quality standards including Best Value and Best Consideration. </w:t>
            </w:r>
          </w:p>
          <w:p>
            <w:pPr>
              <w:pStyle w:val="Default"/>
              <w:rPr>
                <w:color w:val="auto"/>
                <w:sz w:val="22"/>
                <w:szCs w:val="22"/>
              </w:rPr>
            </w:pPr>
            <w:r>
              <w:rPr>
                <w:color w:val="auto"/>
                <w:sz w:val="22"/>
                <w:szCs w:val="22"/>
              </w:rPr>
            </w:r>
          </w:p>
          <w:p>
            <w:pPr>
              <w:pStyle w:val="Normal"/>
              <w:rPr>
                <w:rFonts w:cs="Arial"/>
                <w:sz w:val="22"/>
                <w:szCs w:val="22"/>
              </w:rPr>
            </w:pPr>
            <w:r>
              <w:rPr>
                <w:rFonts w:cs="Arial"/>
                <w:sz w:val="22"/>
                <w:szCs w:val="22"/>
              </w:rPr>
              <w:t xml:space="preserve">Knowledge and understanding of procurement (PCR processes, financial regulations and contract standing orders) with regard to planning, tendering, evaluating and selecting. </w:t>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t>Knowledge and understanding of Affordable Warmth, Fuel Poverty, Housing and Health, and Housing Retrofit issues, opportunities, policies, programmes, and legislative developments</w:t>
            </w:r>
          </w:p>
          <w:p>
            <w:pPr>
              <w:pStyle w:val="Default"/>
              <w:rPr>
                <w:color w:val="auto"/>
                <w:sz w:val="22"/>
                <w:szCs w:val="22"/>
              </w:rPr>
            </w:pPr>
            <w:r>
              <w:rPr>
                <w:color w:val="auto"/>
                <w:sz w:val="22"/>
                <w:szCs w:val="22"/>
              </w:rPr>
            </w:r>
          </w:p>
          <w:p>
            <w:pPr>
              <w:pStyle w:val="Normal"/>
              <w:rPr>
                <w:rFonts w:cs="Arial"/>
                <w:sz w:val="22"/>
                <w:szCs w:val="22"/>
              </w:rPr>
            </w:pPr>
            <w:r>
              <w:rPr>
                <w:rFonts w:cs="Arial"/>
                <w:sz w:val="22"/>
                <w:szCs w:val="22"/>
              </w:rPr>
              <w:t xml:space="preserve">Knowledge of the methods for public consultation and participation. </w:t>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t>Knowledge and understanding of the Regulator of Social Housing and how this affects Council owned stock.</w:t>
            </w:r>
          </w:p>
          <w:p>
            <w:pPr>
              <w:pStyle w:val="Normal"/>
              <w:rPr>
                <w:rFonts w:cs="Arial"/>
                <w:sz w:val="22"/>
                <w:szCs w:val="22"/>
                <w:lang w:val="en-US"/>
              </w:rPr>
            </w:pPr>
            <w:r>
              <w:rPr>
                <w:rFonts w:cs="Arial"/>
                <w:sz w:val="22"/>
                <w:szCs w:val="22"/>
                <w:lang w:val="en-US"/>
              </w:rPr>
            </w:r>
          </w:p>
        </w:tc>
        <w:tc>
          <w:tcPr>
            <w:tcW w:w="3060" w:type="dxa"/>
            <w:tcBorders>
              <w:top w:val="single" w:sz="4" w:space="0" w:color="000000"/>
              <w:left w:val="single" w:sz="4" w:space="0" w:color="000000"/>
              <w:bottom w:val="single" w:sz="4" w:space="0" w:color="000000"/>
              <w:right w:val="single" w:sz="4" w:space="0" w:color="000000"/>
            </w:tcBorders>
          </w:tcPr>
          <w:p>
            <w:pPr>
              <w:pStyle w:val="Normal"/>
              <w:snapToGrid w:val="false"/>
              <w:rPr>
                <w:rFonts w:cs="Arial"/>
                <w:sz w:val="22"/>
                <w:szCs w:val="22"/>
                <w:lang w:val="en-US"/>
              </w:rPr>
            </w:pPr>
            <w:r>
              <w:rPr>
                <w:rFonts w:cs="Arial"/>
                <w:sz w:val="22"/>
                <w:szCs w:val="22"/>
                <w:lang w:val="en-US"/>
              </w:rPr>
            </w:r>
          </w:p>
        </w:tc>
        <w:tc>
          <w:tcPr>
            <w:tcW w:w="1620" w:type="dxa"/>
            <w:tcBorders>
              <w:top w:val="single" w:sz="4" w:space="0" w:color="000000"/>
              <w:left w:val="single" w:sz="4" w:space="0" w:color="000000"/>
              <w:bottom w:val="single" w:sz="4" w:space="0" w:color="000000"/>
              <w:right w:val="single" w:sz="4" w:space="0" w:color="000000"/>
            </w:tcBorders>
          </w:tcPr>
          <w:p>
            <w:pPr>
              <w:pStyle w:val="Normal"/>
              <w:jc w:val="center"/>
              <w:rPr>
                <w:rFonts w:cs="Arial"/>
                <w:sz w:val="22"/>
                <w:szCs w:val="22"/>
              </w:rPr>
            </w:pPr>
            <w:r>
              <w:rPr>
                <w:rFonts w:cs="Arial"/>
                <w:sz w:val="22"/>
                <w:szCs w:val="22"/>
              </w:rPr>
              <w:t>AF / I</w:t>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t>AF / I</w:t>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t>AF / I</w:t>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t>AF / I</w:t>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t>AF / I</w:t>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t>AF / I</w:t>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t>AF / I</w:t>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tc>
      </w:tr>
      <w:tr>
        <w:trPr/>
        <w:tc>
          <w:tcPr>
            <w:tcW w:w="1799" w:type="dxa"/>
            <w:tcBorders>
              <w:top w:val="single" w:sz="4" w:space="0" w:color="000000"/>
              <w:left w:val="single" w:sz="4" w:space="0" w:color="000000"/>
              <w:bottom w:val="single" w:sz="4" w:space="0" w:color="000000"/>
              <w:right w:val="single" w:sz="4" w:space="0" w:color="000000"/>
            </w:tcBorders>
            <w:shd w:fill="00B3BE" w:val="clear"/>
          </w:tcPr>
          <w:p>
            <w:pPr>
              <w:pStyle w:val="Normal"/>
              <w:snapToGrid w:val="false"/>
              <w:rPr>
                <w:rFonts w:cs="Arial"/>
                <w:b/>
                <w:bCs/>
                <w:sz w:val="22"/>
                <w:szCs w:val="22"/>
              </w:rPr>
            </w:pPr>
            <w:r>
              <w:rPr>
                <w:rFonts w:cs="Arial"/>
                <w:b/>
                <w:bCs/>
                <w:sz w:val="22"/>
                <w:szCs w:val="22"/>
              </w:rPr>
            </w:r>
          </w:p>
          <w:p>
            <w:pPr>
              <w:pStyle w:val="BodyText"/>
              <w:rPr>
                <w:rFonts w:cs="Arial"/>
                <w:bCs/>
                <w:szCs w:val="22"/>
              </w:rPr>
            </w:pPr>
            <w:r>
              <w:rPr>
                <w:rFonts w:cs="Arial"/>
                <w:bCs/>
                <w:szCs w:val="22"/>
              </w:rPr>
              <w:t>Work Circumstances</w:t>
            </w:r>
          </w:p>
          <w:p>
            <w:pPr>
              <w:pStyle w:val="Normal"/>
              <w:rPr>
                <w:rFonts w:cs="Arial"/>
                <w:b/>
                <w:bCs/>
                <w:sz w:val="22"/>
                <w:szCs w:val="22"/>
              </w:rPr>
            </w:pPr>
            <w:r>
              <w:rPr>
                <w:rFonts w:cs="Arial"/>
                <w:b/>
                <w:bCs/>
                <w:sz w:val="22"/>
                <w:szCs w:val="22"/>
              </w:rPr>
            </w:r>
          </w:p>
        </w:tc>
        <w:tc>
          <w:tcPr>
            <w:tcW w:w="3960" w:type="dxa"/>
            <w:tcBorders>
              <w:top w:val="single" w:sz="4" w:space="0" w:color="000000"/>
              <w:left w:val="single" w:sz="4" w:space="0" w:color="000000"/>
              <w:bottom w:val="single" w:sz="4" w:space="0" w:color="000000"/>
              <w:right w:val="single" w:sz="4" w:space="0" w:color="000000"/>
            </w:tcBorders>
          </w:tcPr>
          <w:p>
            <w:pPr>
              <w:pStyle w:val="Normal"/>
              <w:rPr>
                <w:rFonts w:cs="Arial"/>
                <w:sz w:val="22"/>
                <w:szCs w:val="22"/>
              </w:rPr>
            </w:pPr>
            <w:r>
              <w:rPr>
                <w:rFonts w:cs="Arial"/>
                <w:sz w:val="22"/>
                <w:szCs w:val="22"/>
              </w:rPr>
              <w:t>The post holder will be required to have access to a vehicle to travel to and between sites to undertake inspections and to attend meetings.</w:t>
            </w:r>
          </w:p>
          <w:p>
            <w:pPr>
              <w:pStyle w:val="Normal"/>
              <w:rPr>
                <w:rFonts w:cs="Arial"/>
                <w:b/>
                <w:bCs/>
                <w:iCs/>
                <w:sz w:val="22"/>
                <w:szCs w:val="22"/>
              </w:rPr>
            </w:pPr>
            <w:r>
              <w:rPr>
                <w:rFonts w:cs="Arial"/>
                <w:b/>
                <w:bCs/>
                <w:iCs/>
                <w:sz w:val="22"/>
                <w:szCs w:val="22"/>
              </w:rPr>
            </w:r>
          </w:p>
          <w:p>
            <w:pPr>
              <w:pStyle w:val="Normal"/>
              <w:rPr>
                <w:rFonts w:cs="Arial"/>
                <w:sz w:val="22"/>
                <w:szCs w:val="22"/>
              </w:rPr>
            </w:pPr>
            <w:r>
              <w:rPr>
                <w:rFonts w:cs="Arial"/>
                <w:sz w:val="22"/>
                <w:szCs w:val="22"/>
              </w:rPr>
              <w:t>The post holder may be required to attend evening or weekend meetings</w:t>
            </w:r>
          </w:p>
        </w:tc>
        <w:tc>
          <w:tcPr>
            <w:tcW w:w="3060" w:type="dxa"/>
            <w:tcBorders>
              <w:top w:val="single" w:sz="4" w:space="0" w:color="000000"/>
              <w:left w:val="single" w:sz="4" w:space="0" w:color="000000"/>
              <w:bottom w:val="single" w:sz="4" w:space="0" w:color="000000"/>
              <w:right w:val="single" w:sz="4" w:space="0" w:color="000000"/>
            </w:tcBorders>
          </w:tcPr>
          <w:p>
            <w:pPr>
              <w:pStyle w:val="Normal"/>
              <w:snapToGrid w:val="false"/>
              <w:rPr>
                <w:rFonts w:cs="Arial"/>
                <w:sz w:val="22"/>
                <w:szCs w:val="22"/>
              </w:rPr>
            </w:pPr>
            <w:r>
              <w:rPr>
                <w:rFonts w:cs="Arial"/>
                <w:sz w:val="22"/>
                <w:szCs w:val="22"/>
              </w:rPr>
            </w:r>
          </w:p>
        </w:tc>
        <w:tc>
          <w:tcPr>
            <w:tcW w:w="1620" w:type="dxa"/>
            <w:tcBorders>
              <w:top w:val="single" w:sz="4" w:space="0" w:color="000000"/>
              <w:left w:val="single" w:sz="4" w:space="0" w:color="000000"/>
              <w:bottom w:val="single" w:sz="4" w:space="0" w:color="000000"/>
              <w:right w:val="single" w:sz="4" w:space="0" w:color="000000"/>
            </w:tcBorders>
          </w:tcPr>
          <w:p>
            <w:pPr>
              <w:pStyle w:val="Normal"/>
              <w:jc w:val="center"/>
              <w:rPr>
                <w:rFonts w:cs="Arial"/>
                <w:sz w:val="22"/>
                <w:szCs w:val="22"/>
              </w:rPr>
            </w:pPr>
            <w:r>
              <w:rPr>
                <w:rFonts w:cs="Arial"/>
                <w:sz w:val="22"/>
                <w:szCs w:val="22"/>
              </w:rPr>
              <w:t>AF / I</w:t>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t>AF / I</w:t>
            </w:r>
          </w:p>
        </w:tc>
      </w:tr>
    </w:tbl>
    <w:p>
      <w:pPr>
        <w:pStyle w:val="Normal"/>
        <w:rPr>
          <w:rFonts w:cs="Arial"/>
          <w:sz w:val="22"/>
          <w:szCs w:val="22"/>
        </w:rPr>
      </w:pPr>
      <w:r>
        <w:rPr>
          <w:rFonts w:cs="Arial"/>
          <w:sz w:val="22"/>
          <w:szCs w:val="22"/>
        </w:rPr>
      </w:r>
    </w:p>
    <w:p>
      <w:pPr>
        <w:pStyle w:val="Normal"/>
        <w:spacing w:before="0" w:after="60"/>
        <w:jc w:val="both"/>
        <w:rPr/>
      </w:pPr>
      <w:r>
        <w:rPr>
          <w:rFonts w:cs="Arial"/>
          <w:i/>
          <w:sz w:val="22"/>
          <w:szCs w:val="22"/>
        </w:rPr>
        <w:t>Abbreviations:</w:t>
      </w:r>
      <w:r>
        <w:rPr>
          <w:rFonts w:cs="Arial"/>
          <w:sz w:val="22"/>
          <w:szCs w:val="22"/>
        </w:rPr>
        <w:t xml:space="preserve"> AF = Application Form; I = Interview; AC = Assessment Centre; T = Test</w:t>
      </w:r>
    </w:p>
    <w:p>
      <w:pPr>
        <w:pStyle w:val="Normal"/>
        <w:rPr>
          <w:rFonts w:cs="Arial"/>
          <w:sz w:val="22"/>
          <w:szCs w:val="22"/>
        </w:rPr>
      </w:pPr>
      <w:r>
        <w:rPr>
          <w:rFonts w:cs="Arial"/>
          <w:sz w:val="22"/>
          <w:szCs w:val="22"/>
        </w:rPr>
      </w:r>
    </w:p>
    <w:p>
      <w:pPr>
        <w:pStyle w:val="Normal"/>
        <w:jc w:val="both"/>
        <w:rPr>
          <w:rFonts w:cs="Arial"/>
          <w:b/>
          <w:bCs/>
          <w:sz w:val="22"/>
          <w:szCs w:val="22"/>
        </w:rPr>
      </w:pPr>
      <w:r>
        <w:rPr>
          <w:rFonts w:cs="Arial"/>
          <w:b/>
          <w:bCs/>
          <w:sz w:val="22"/>
          <w:szCs w:val="22"/>
        </w:rPr>
        <w:t>NB. - Any candidate with a disability who meets the essential criteria will be guaranteed an interview</w:t>
      </w:r>
    </w:p>
    <w:sectPr>
      <w:headerReference w:type="default" r:id="rId6"/>
      <w:headerReference w:type="first" r:id="rId7"/>
      <w:type w:val="nextPage"/>
      <w:pgSz w:w="11906" w:h="16838"/>
      <w:pgMar w:left="1440" w:right="1440" w:gutter="0" w:header="567" w:top="624" w:footer="0" w:bottom="1440"/>
      <w:pgNumType w:fmt="decimal"/>
      <w:formProt w:val="false"/>
      <w:titlePg/>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ourier New">
    <w:charset w:val="01"/>
    <w:family w:val="modern"/>
    <w:pitch w:val="default"/>
  </w:font>
  <w:font w:name="Wingdings">
    <w:charset w:val="02"/>
    <w:family w:val="auto"/>
    <w:pitch w:val="variable"/>
  </w:font>
  <w:font w:name="Liberation Sans">
    <w:altName w:val="Arial"/>
    <w:charset w:val="00"/>
    <w:family w:val="swiss"/>
    <w:pitch w:val="variable"/>
  </w:font>
  <w:font w:name="Palatino">
    <w:charset w:val="00"/>
    <w:family w:val="roman"/>
    <w:pitch w:val="variable"/>
  </w:font>
  <w:font w:name="Calibri">
    <w:charset w:val="00"/>
    <w:family w:val="roman"/>
    <w:pitch w:val="variable"/>
  </w:font>
  <w:font w:name="Helvetica">
    <w:altName w:val="Arial"/>
    <w:charset w:val="00"/>
    <w:family w:val="swiss"/>
    <w:pitch w:val="variable"/>
  </w:font>
  <w:font w:name="Courier New">
    <w:charset w:val="01"/>
    <w:family w:val="modern"/>
    <w:pitch w:val="fixed"/>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spacing w:lineRule="auto" w:line="264"/>
      <w:rPr/>
    </w:pPr>
    <w:r>
      <w:rPr/>
    </w:r>
  </w:p>
  <w:p>
    <w:pPr>
      <w:pStyle w:val="Header"/>
      <w:tabs>
        <w:tab w:val="clear" w:pos="4153"/>
        <w:tab w:val="clear" w:pos="8306"/>
        <w:tab w:val="left" w:pos="8565" w:leader="none"/>
      </w:tabs>
      <w:rPr/>
    </w:pPr>
    <w:r>
      <w:rPr/>
      <w:tab/>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Heading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percent="100"/>
  <w:displayBackgroundShape/>
  <w:defaultTabStop w:val="720"/>
  <w:autoHyphenation w:val="true"/>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suppressAutoHyphens w:val="true"/>
      </w:pPr>
    </w:pPrDefault>
  </w:docDefaults>
  <w:style w:type="paragraph" w:styleId="Normal">
    <w:name w:val="Normal"/>
    <w:qFormat/>
    <w:pPr>
      <w:widowControl/>
      <w:suppressAutoHyphens w:val="true"/>
      <w:bidi w:val="0"/>
      <w:spacing w:before="0" w:after="0"/>
      <w:jc w:val="left"/>
    </w:pPr>
    <w:rPr>
      <w:rFonts w:ascii="Arial" w:hAnsi="Arial" w:eastAsia="Times New Roman" w:cs="Times New Roman"/>
      <w:color w:val="auto"/>
      <w:kern w:val="0"/>
      <w:sz w:val="24"/>
      <w:szCs w:val="24"/>
      <w:lang w:val="en-GB" w:eastAsia="en-US" w:bidi="ar-SA"/>
    </w:rPr>
  </w:style>
  <w:style w:type="paragraph" w:styleId="Heading1">
    <w:name w:val="Heading 1"/>
    <w:basedOn w:val="Normal"/>
    <w:next w:val="Normal"/>
    <w:qFormat/>
    <w:pPr>
      <w:keepNext w:val="true"/>
      <w:numPr>
        <w:ilvl w:val="0"/>
        <w:numId w:val="1"/>
      </w:numPr>
      <w:spacing w:lineRule="auto" w:line="264"/>
      <w:outlineLvl w:val="0"/>
    </w:pPr>
    <w:rPr>
      <w:b/>
      <w:bCs/>
      <w:sz w:val="22"/>
      <w:szCs w:val="20"/>
    </w:rPr>
  </w:style>
  <w:style w:type="character" w:styleId="WW8Num1z0">
    <w:name w:val="WW8Num1z0"/>
    <w:qFormat/>
    <w:rPr>
      <w:rFonts w:ascii="Symbol" w:hAnsi="Symbol" w:cs="Symbol"/>
    </w:rPr>
  </w:style>
  <w:style w:type="character" w:styleId="WW8Num1z1">
    <w:name w:val="WW8Num1z1"/>
    <w:qFormat/>
    <w:rPr>
      <w:rFonts w:ascii="Courier New" w:hAnsi="Courier New" w:cs="Courier New"/>
    </w:rPr>
  </w:style>
  <w:style w:type="character" w:styleId="WW8Num1z2">
    <w:name w:val="WW8Num1z2"/>
    <w:qFormat/>
    <w:rPr>
      <w:rFonts w:ascii="Wingdings" w:hAnsi="Wingdings" w:cs="Wingdings"/>
    </w:rPr>
  </w:style>
  <w:style w:type="character" w:styleId="WW8Num2z0">
    <w:name w:val="WW8Num2z0"/>
    <w:qFormat/>
    <w:rPr>
      <w:rFonts w:ascii="Symbol" w:hAnsi="Symbol" w:cs="Symbol"/>
    </w:rPr>
  </w:style>
  <w:style w:type="character" w:styleId="WW8Num2z1">
    <w:name w:val="WW8Num2z1"/>
    <w:qFormat/>
    <w:rPr>
      <w:rFonts w:ascii="Courier New" w:hAnsi="Courier New" w:cs="Courier New"/>
    </w:rPr>
  </w:style>
  <w:style w:type="character" w:styleId="WW8Num2z2">
    <w:name w:val="WW8Num2z2"/>
    <w:qFormat/>
    <w:rPr>
      <w:rFonts w:ascii="Wingdings" w:hAnsi="Wingdings" w:cs="Wingdings"/>
    </w:rPr>
  </w:style>
  <w:style w:type="character" w:styleId="DefaultParagraphFont">
    <w:name w:val="Default Paragraph Font"/>
    <w:qFormat/>
    <w:rPr/>
  </w:style>
  <w:style w:type="character" w:styleId="Hyperlink">
    <w:name w:val="Hyperlink"/>
    <w:rPr>
      <w:color w:val="0563C1"/>
      <w:u w:val="single"/>
    </w:rPr>
  </w:style>
  <w:style w:type="paragraph" w:styleId="Heading">
    <w:name w:val="Heading"/>
    <w:basedOn w:val="Normal"/>
    <w:next w:val="BodyText"/>
    <w:qFormat/>
    <w:pPr>
      <w:keepNext w:val="true"/>
      <w:spacing w:before="240" w:after="120"/>
    </w:pPr>
    <w:rPr>
      <w:rFonts w:ascii="Liberation Sans;Arial" w:hAnsi="Liberation Sans;Arial" w:eastAsia="Microsoft YaHei" w:cs="Lucida Sans"/>
      <w:sz w:val="28"/>
      <w:szCs w:val="28"/>
    </w:rPr>
  </w:style>
  <w:style w:type="paragraph" w:styleId="BodyText">
    <w:name w:val="Body Text"/>
    <w:basedOn w:val="Normal"/>
    <w:pPr/>
    <w:rPr>
      <w:b/>
      <w:sz w:val="22"/>
      <w:szCs w:val="20"/>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EndnoteText">
    <w:name w:val="Endnote Text"/>
    <w:basedOn w:val="Normal"/>
    <w:pPr>
      <w:overflowPunct w:val="true"/>
      <w:textAlignment w:val="baseline"/>
    </w:pPr>
    <w:rPr>
      <w:rFonts w:ascii="Palatino" w:hAnsi="Palatino" w:cs="Palatino"/>
      <w:szCs w:val="20"/>
    </w:rPr>
  </w:style>
  <w:style w:type="paragraph" w:styleId="HeaderandFooter">
    <w:name w:val="Header and Footer"/>
    <w:basedOn w:val="Normal"/>
    <w:qFormat/>
    <w:pPr/>
    <w:rPr/>
  </w:style>
  <w:style w:type="paragraph" w:styleId="Header">
    <w:name w:val="Header"/>
    <w:basedOn w:val="Normal"/>
    <w:pPr>
      <w:tabs>
        <w:tab w:val="clear" w:pos="720"/>
        <w:tab w:val="center" w:pos="4153" w:leader="none"/>
        <w:tab w:val="right" w:pos="8306" w:leader="none"/>
      </w:tabs>
    </w:pPr>
    <w:rPr>
      <w:sz w:val="22"/>
      <w:szCs w:val="20"/>
    </w:rPr>
  </w:style>
  <w:style w:type="paragraph" w:styleId="BodyTextIndent">
    <w:name w:val="Body Text Indent"/>
    <w:basedOn w:val="Normal"/>
    <w:pPr>
      <w:spacing w:before="0" w:after="120"/>
      <w:ind w:hanging="0" w:left="283" w:right="0"/>
    </w:pPr>
    <w:rPr/>
  </w:style>
  <w:style w:type="paragraph" w:styleId="ListParagraph">
    <w:name w:val="List Paragraph"/>
    <w:basedOn w:val="Normal"/>
    <w:qFormat/>
    <w:pPr>
      <w:spacing w:lineRule="auto" w:line="276" w:before="0" w:after="200"/>
      <w:ind w:hanging="0" w:left="720" w:right="0"/>
      <w:contextualSpacing/>
    </w:pPr>
    <w:rPr>
      <w:rFonts w:ascii="Calibri" w:hAnsi="Calibri" w:eastAsia="Calibri" w:cs="Calibri"/>
      <w:sz w:val="22"/>
      <w:szCs w:val="22"/>
    </w:rPr>
  </w:style>
  <w:style w:type="paragraph" w:styleId="Default">
    <w:name w:val="Default"/>
    <w:qFormat/>
    <w:pPr>
      <w:widowControl/>
      <w:suppressAutoHyphens w:val="true"/>
      <w:bidi w:val="0"/>
      <w:spacing w:before="0" w:after="0"/>
      <w:jc w:val="left"/>
    </w:pPr>
    <w:rPr>
      <w:rFonts w:ascii="Arial" w:hAnsi="Arial" w:eastAsia="Times New Roman" w:cs="Arial"/>
      <w:color w:val="000000"/>
      <w:kern w:val="0"/>
      <w:sz w:val="24"/>
      <w:szCs w:val="24"/>
      <w:lang w:val="en-GB" w:eastAsia="en-GB" w:bidi="ar-SA"/>
    </w:rPr>
  </w:style>
  <w:style w:type="paragraph" w:styleId="FrameContents">
    <w:name w:val="Frame Contents"/>
    <w:basedOn w:val="Normal"/>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 w:type="numbering" w:styleId="WW8Num3">
    <w:name w:val="WW8Num3"/>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wmf"/><Relationship Id="rId3" Type="http://schemas.openxmlformats.org/officeDocument/2006/relationships/image" Target="media/image1.wmf"/><Relationship Id="rId4" Type="http://schemas.openxmlformats.org/officeDocument/2006/relationships/image" Target="media/image1.wmf"/><Relationship Id="rId5" Type="http://schemas.openxmlformats.org/officeDocument/2006/relationships/image" Target="media/image1.wmf"/><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numbering" Target="numbering.xml"/><Relationship Id="rId9" Type="http://schemas.openxmlformats.org/officeDocument/2006/relationships/fontTable" Target="fontTable.xml"/><Relationship Id="rId10" Type="http://schemas.openxmlformats.org/officeDocument/2006/relationships/settings" Target="settings.xml"/><Relationship Id="rId11"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0</TotalTime>
  <Application>LibreOffice/24.2.4.2$Windows_X86_64 LibreOffice_project/51a6219feb6075d9a4c46691dcfe0cd9c4fff3c2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