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both"/>
        <w:rPr>
          <w:rFonts w:ascii="Arial" w:hAnsi="Arial" w:cs="Arial"/>
          <w:b/>
          <w:color w:val="008080"/>
          <w:sz w:val="32"/>
          <w:szCs w:val="22"/>
        </w:rPr>
      </w:pPr>
      <w:r>
        <w:rPr>
          <w:rFonts w:cs="Arial" w:ascii="Arial" w:hAnsi="Arial"/>
          <w:b/>
          <w:color w:val="008080"/>
          <w:sz w:val="32"/>
          <w:szCs w:val="22"/>
        </w:rPr>
        <w:t>ROLE PROFILE</w:t>
      </w:r>
    </w:p>
    <w:p>
      <w:pPr>
        <w:pStyle w:val="NoSpacing"/>
        <w:jc w:val="both"/>
        <w:rPr>
          <w:rFonts w:ascii="Arial" w:hAnsi="Arial" w:cs="Arial"/>
          <w:b/>
          <w:bCs/>
          <w:color w:val="000000"/>
          <w:lang w:eastAsia="en-GB"/>
        </w:rPr>
      </w:pPr>
      <w:r>
        <w:rPr>
          <w:rFonts w:cs="Arial" w:ascii="Arial" w:hAnsi="Arial"/>
          <w:b/>
          <w:bCs/>
          <w:color w:val="000000"/>
          <w:lang w:eastAsia="en-GB"/>
        </w:rPr>
        <w:t xml:space="preserve">Level 4 Housing and Communities Project Management Apprenticeship </w:t>
      </w:r>
    </w:p>
    <w:p>
      <w:pPr>
        <w:pStyle w:val="NoSpacing"/>
        <w:jc w:val="both"/>
        <w:rPr>
          <w:rFonts w:ascii="Arial" w:hAnsi="Arial" w:cs="Arial"/>
          <w:bCs/>
          <w:color w:val="000000"/>
          <w:sz w:val="22"/>
          <w:szCs w:val="22"/>
          <w:lang w:eastAsia="en-GB"/>
        </w:rPr>
      </w:pPr>
      <w:r>
        <w:rPr>
          <w:rFonts w:cs="Arial" w:ascii="Arial" w:hAnsi="Arial"/>
          <w:bCs/>
          <w:color w:val="000000"/>
          <w:sz w:val="22"/>
          <w:szCs w:val="22"/>
          <w:lang w:eastAsia="en-GB"/>
        </w:rPr>
      </w:r>
    </w:p>
    <w:p>
      <w:pPr>
        <w:pStyle w:val="NoSpacing"/>
        <w:jc w:val="both"/>
        <w:rPr>
          <w:rFonts w:ascii="Arial" w:hAnsi="Arial" w:cs="Arial"/>
          <w:b/>
          <w:bCs/>
          <w:color w:val="008080"/>
          <w:sz w:val="22"/>
          <w:szCs w:val="22"/>
          <w:lang w:eastAsia="en-GB"/>
        </w:rPr>
      </w:pPr>
      <w:r>
        <w:rPr>
          <w:rFonts w:cs="Arial" w:ascii="Arial" w:hAnsi="Arial"/>
          <w:b/>
          <w:bCs/>
          <w:color w:val="008080"/>
          <w:sz w:val="22"/>
          <w:szCs w:val="22"/>
          <w:lang w:eastAsia="en-GB"/>
        </w:rPr>
        <w:t xml:space="preserve">About the Council: </w:t>
      </w:r>
    </w:p>
    <w:p>
      <w:pPr>
        <w:pStyle w:val="NoSpacing"/>
        <w:jc w:val="both"/>
        <w:rPr>
          <w:rFonts w:ascii="Arial" w:hAnsi="Arial" w:cs="Arial"/>
          <w:bCs/>
          <w:color w:val="008080"/>
          <w:sz w:val="22"/>
          <w:szCs w:val="22"/>
          <w:lang w:eastAsia="en-GB"/>
        </w:rPr>
      </w:pPr>
      <w:r>
        <w:rPr>
          <w:rFonts w:cs="Arial" w:ascii="Arial" w:hAnsi="Arial"/>
          <w:bCs/>
          <w:color w:val="008080"/>
          <w:sz w:val="22"/>
          <w:szCs w:val="22"/>
          <w:lang w:eastAsia="en-GB"/>
        </w:rPr>
      </w:r>
    </w:p>
    <w:p>
      <w:pPr>
        <w:pStyle w:val="NoSpacing"/>
        <w:jc w:val="both"/>
        <w:rPr>
          <w:rFonts w:ascii="Arial" w:hAnsi="Arial" w:cs="Arial"/>
          <w:bCs/>
          <w:color w:val="000000"/>
          <w:sz w:val="22"/>
          <w:szCs w:val="22"/>
          <w:lang w:eastAsia="en-GB"/>
        </w:rPr>
      </w:pPr>
      <w:r>
        <w:rPr>
          <w:rFonts w:cs="Arial" w:ascii="Arial" w:hAnsi="Arial"/>
          <w:bCs/>
          <w:color w:val="000000"/>
          <w:sz w:val="22"/>
          <w:szCs w:val="22"/>
          <w:lang w:eastAsia="en-GB"/>
        </w:rPr>
        <w:t xml:space="preserve">As a co-operative council, Oldham is committed to developing a future where citizens, partners and staff work together to improve the borough and create a confident and ambitious place.  </w:t>
      </w:r>
    </w:p>
    <w:p>
      <w:pPr>
        <w:pStyle w:val="NoSpacing"/>
        <w:jc w:val="both"/>
        <w:rPr>
          <w:rFonts w:ascii="Arial" w:hAnsi="Arial" w:cs="Arial"/>
          <w:bCs/>
          <w:color w:val="000000"/>
          <w:sz w:val="22"/>
          <w:szCs w:val="22"/>
          <w:lang w:eastAsia="en-GB"/>
        </w:rPr>
      </w:pPr>
      <w:r>
        <w:rPr>
          <w:rFonts w:cs="Arial" w:ascii="Arial" w:hAnsi="Arial"/>
          <w:bCs/>
          <w:color w:val="000000"/>
          <w:sz w:val="22"/>
          <w:szCs w:val="22"/>
          <w:lang w:eastAsia="en-GB"/>
        </w:rPr>
      </w:r>
    </w:p>
    <w:p>
      <w:pPr>
        <w:pStyle w:val="NoSpacing"/>
        <w:jc w:val="both"/>
        <w:rPr/>
      </w:pPr>
      <w:r>
        <w:rPr>
          <w:rFonts w:cs="Arial" w:ascii="Arial" w:hAnsi="Arial"/>
          <w:bCs/>
          <w:color w:val="000000"/>
          <w:sz w:val="22"/>
          <w:szCs w:val="22"/>
          <w:lang w:eastAsia="en-GB"/>
        </w:rPr>
        <w:t>A co-operative council aims to support everybody doing their bit and everybody benefitting. This means we work</w:t>
      </w:r>
      <w:r>
        <w:rPr>
          <w:rFonts w:cs="Arial" w:ascii="Arial" w:hAnsi="Arial"/>
          <w:sz w:val="22"/>
          <w:szCs w:val="22"/>
          <w:lang w:val="en"/>
        </w:rPr>
        <w:t xml:space="preserve"> in a way which helps to empower residents to take greater control of their own lives but also gets the maximum benefit from the resources that are available to the community and public sector. We work in ways which are ethical, fair and deliver good social value as well as value-for-money. Residents are able to work in collaboration to design and even help deliver services. </w:t>
      </w:r>
    </w:p>
    <w:p>
      <w:pPr>
        <w:pStyle w:val="NoSpacing"/>
        <w:jc w:val="both"/>
        <w:rPr>
          <w:rFonts w:ascii="Arial" w:hAnsi="Arial" w:eastAsia="Arial" w:cs="Arial"/>
          <w:sz w:val="22"/>
          <w:szCs w:val="22"/>
          <w:lang w:val="en"/>
        </w:rPr>
      </w:pPr>
      <w:r>
        <w:rPr>
          <w:rFonts w:eastAsia="Arial" w:cs="Arial" w:ascii="Arial" w:hAnsi="Arial"/>
          <w:sz w:val="22"/>
          <w:szCs w:val="22"/>
          <w:lang w:val="en"/>
        </w:rPr>
        <w:t xml:space="preserve"> </w:t>
      </w:r>
    </w:p>
    <w:p>
      <w:pPr>
        <w:pStyle w:val="NoSpacing"/>
        <w:jc w:val="both"/>
        <w:rPr>
          <w:rFonts w:ascii="Arial" w:hAnsi="Arial" w:cs="Arial"/>
          <w:b/>
          <w:bCs/>
          <w:color w:val="008080"/>
          <w:sz w:val="22"/>
          <w:szCs w:val="22"/>
          <w:lang w:eastAsia="en-GB"/>
        </w:rPr>
      </w:pPr>
      <w:r>
        <w:rPr>
          <w:rFonts w:cs="Arial" w:ascii="Arial" w:hAnsi="Arial"/>
          <w:b/>
          <w:bCs/>
          <w:color w:val="008080"/>
          <w:sz w:val="22"/>
          <w:szCs w:val="22"/>
          <w:lang w:eastAsia="en-GB"/>
        </w:rPr>
        <w:t>Purpose of Apprenticeship:</w:t>
      </w:r>
    </w:p>
    <w:p>
      <w:pPr>
        <w:pStyle w:val="NoSpacing"/>
        <w:jc w:val="both"/>
        <w:rPr>
          <w:rFonts w:ascii="Arial" w:hAnsi="Arial" w:cs="Arial"/>
          <w:color w:val="000000"/>
          <w:sz w:val="22"/>
          <w:szCs w:val="22"/>
          <w:lang w:eastAsia="en-GB"/>
        </w:rPr>
      </w:pPr>
      <w:r>
        <w:rPr>
          <w:rFonts w:cs="Arial" w:ascii="Arial" w:hAnsi="Arial"/>
          <w:color w:val="000000"/>
          <w:sz w:val="22"/>
          <w:szCs w:val="22"/>
          <w:lang w:eastAsia="en-GB"/>
        </w:rPr>
      </w:r>
    </w:p>
    <w:p>
      <w:pPr>
        <w:pStyle w:val="NoSpacing"/>
        <w:jc w:val="both"/>
        <w:rPr>
          <w:rFonts w:ascii="Arial" w:hAnsi="Arial" w:cs="Arial"/>
          <w:sz w:val="22"/>
          <w:szCs w:val="22"/>
          <w:lang w:eastAsia="en-GB"/>
        </w:rPr>
      </w:pPr>
      <w:r>
        <w:rPr>
          <w:rFonts w:cs="Arial" w:ascii="Arial" w:hAnsi="Arial"/>
          <w:sz w:val="22"/>
          <w:szCs w:val="22"/>
          <w:lang w:eastAsia="en-GB"/>
        </w:rPr>
        <w:t>The main purpose of the apprenticeship will be to support the delivery of a diverse range of projects and improvement initiatives that form part of the Council's Housing Change Programme, working across a variety of areas.  The role will also assist to provide effective project and change administrative and support.</w:t>
      </w:r>
    </w:p>
    <w:p>
      <w:pPr>
        <w:pStyle w:val="NoSpacing"/>
        <w:jc w:val="both"/>
        <w:rPr>
          <w:rFonts w:ascii="Arial" w:hAnsi="Arial" w:cs="Arial"/>
          <w:sz w:val="22"/>
          <w:szCs w:val="22"/>
          <w:lang w:eastAsia="en-GB"/>
        </w:rPr>
      </w:pPr>
      <w:r>
        <w:rPr>
          <w:rFonts w:cs="Arial" w:ascii="Arial" w:hAnsi="Arial"/>
          <w:sz w:val="22"/>
          <w:szCs w:val="22"/>
          <w:lang w:eastAsia="en-GB"/>
        </w:rPr>
      </w:r>
    </w:p>
    <w:p>
      <w:pPr>
        <w:pStyle w:val="NoSpacing"/>
        <w:jc w:val="both"/>
        <w:rPr>
          <w:rFonts w:ascii="Arial" w:hAnsi="Arial" w:cs="Arial"/>
          <w:sz w:val="22"/>
          <w:szCs w:val="22"/>
          <w:lang w:eastAsia="en-GB"/>
        </w:rPr>
      </w:pPr>
      <w:r>
        <w:rPr>
          <w:rFonts w:cs="Arial" w:ascii="Arial" w:hAnsi="Arial"/>
          <w:sz w:val="22"/>
          <w:szCs w:val="22"/>
          <w:lang w:eastAsia="en-GB"/>
        </w:rPr>
        <w:t>The Housing Team plays a vital role in shaping Oldham Council’s strategic approach to housing, homelessness prevention, and community wellbeing. The team develops, implements, and monitors housing policies and plans to ensure residents have access to safe, affordable, and sustainable homes. Working in collaboration with internal departments, registered providers, partner agencies, and the voluntary sector, the team oversees commissioned programmes such as A Bed Every Night (ABEN), Rough Sleeper Initiative (RSI), Community Accommodation Service – Tier 3 (CAS-3), and the Greater Manchester Move-On Partnership (GMMOP), as well as supported accommodation pathways.</w:t>
      </w:r>
    </w:p>
    <w:p>
      <w:pPr>
        <w:pStyle w:val="NoSpacing"/>
        <w:jc w:val="both"/>
        <w:rPr>
          <w:rFonts w:ascii="Arial" w:hAnsi="Arial" w:cs="Arial"/>
          <w:sz w:val="22"/>
          <w:szCs w:val="22"/>
          <w:lang w:eastAsia="en-GB"/>
        </w:rPr>
      </w:pPr>
      <w:r>
        <w:rPr>
          <w:rFonts w:cs="Arial" w:ascii="Arial" w:hAnsi="Arial"/>
          <w:sz w:val="22"/>
          <w:szCs w:val="22"/>
          <w:lang w:eastAsia="en-GB"/>
        </w:rPr>
      </w:r>
    </w:p>
    <w:p>
      <w:pPr>
        <w:pStyle w:val="NoSpacing"/>
        <w:jc w:val="both"/>
        <w:rPr/>
      </w:pPr>
      <w:r>
        <w:rPr>
          <w:rFonts w:cs="Arial" w:ascii="Arial" w:hAnsi="Arial"/>
          <w:sz w:val="22"/>
          <w:szCs w:val="22"/>
          <w:lang w:eastAsia="en-GB"/>
        </w:rPr>
        <w:t xml:space="preserve">The apprentice will support the Housing Options and Strategy Teams in delivering change and improvement and will work closely with an experienced Project Manager within the Council's Transformation Service, who will provide guidance, coaching, mentoring and </w:t>
      </w:r>
      <w:r>
        <w:rPr>
          <w:rFonts w:eastAsia="Times New Roman" w:cs="Arial" w:ascii="Arial" w:hAnsi="Arial"/>
          <w:sz w:val="21"/>
          <w:szCs w:val="21"/>
          <w:lang w:eastAsia="en-GB"/>
        </w:rPr>
        <w:t>practical learning opportunities.</w:t>
      </w:r>
      <w:r>
        <w:rPr>
          <w:rFonts w:cs="Arial" w:ascii="Arial" w:hAnsi="Arial"/>
          <w:sz w:val="22"/>
          <w:szCs w:val="22"/>
          <w:lang w:eastAsia="en-GB"/>
        </w:rPr>
        <w:t xml:space="preserve"> This structured support will enable the apprentice to develop practical project management knowledge and skills while gaining valuable experience of delivering change within a local government environment.</w:t>
      </w:r>
    </w:p>
    <w:p>
      <w:pPr>
        <w:pStyle w:val="NoSpacing"/>
        <w:jc w:val="both"/>
        <w:rPr>
          <w:rFonts w:ascii="Arial" w:hAnsi="Arial" w:cs="Arial"/>
          <w:sz w:val="22"/>
          <w:szCs w:val="22"/>
          <w:lang w:eastAsia="en-GB"/>
        </w:rPr>
      </w:pPr>
      <w:r>
        <w:rPr>
          <w:rFonts w:cs="Arial" w:ascii="Arial" w:hAnsi="Arial"/>
          <w:sz w:val="22"/>
          <w:szCs w:val="22"/>
          <w:lang w:eastAsia="en-GB"/>
        </w:rPr>
      </w:r>
    </w:p>
    <w:p>
      <w:pPr>
        <w:pStyle w:val="NoSpacing"/>
        <w:jc w:val="both"/>
        <w:rPr>
          <w:rFonts w:ascii="Arial" w:hAnsi="Arial" w:cs="Arial"/>
          <w:sz w:val="22"/>
          <w:szCs w:val="22"/>
        </w:rPr>
      </w:pPr>
      <w:r>
        <w:rPr>
          <w:rFonts w:cs="Arial" w:ascii="Arial" w:hAnsi="Arial"/>
          <w:sz w:val="22"/>
          <w:szCs w:val="22"/>
        </w:rPr>
        <w:t>Through involvement in live projects, the apprentice will develop the competencies required to successfully achieve their apprenticeship qualification, whilst making a meaningful contribution to the successful delivery of housing transformation priorities and improved outcomes for residents.</w:t>
      </w:r>
    </w:p>
    <w:p>
      <w:pPr>
        <w:pStyle w:val="NoSpacing"/>
        <w:jc w:val="both"/>
        <w:rPr>
          <w:rFonts w:ascii="Arial" w:hAnsi="Arial" w:cs="Arial"/>
          <w:sz w:val="22"/>
          <w:szCs w:val="22"/>
          <w:lang w:val="en-AU"/>
        </w:rPr>
      </w:pPr>
      <w:r>
        <w:rPr>
          <w:rFonts w:cs="Arial" w:ascii="Arial" w:hAnsi="Arial"/>
          <w:sz w:val="22"/>
          <w:szCs w:val="22"/>
          <w:lang w:val="en-AU"/>
        </w:rPr>
      </w:r>
    </w:p>
    <w:p>
      <w:pPr>
        <w:pStyle w:val="NoSpacing"/>
        <w:jc w:val="both"/>
        <w:rPr>
          <w:rFonts w:ascii="Arial" w:hAnsi="Arial" w:eastAsia="Arial" w:cs="Arial"/>
          <w:color w:val="000000"/>
          <w:sz w:val="22"/>
          <w:szCs w:val="22"/>
          <w:lang w:eastAsia="en-GB"/>
        </w:rPr>
      </w:pPr>
      <w:r>
        <w:rPr>
          <w:rFonts w:eastAsia="Arial" w:cs="Arial" w:ascii="Arial" w:hAnsi="Arial"/>
          <w:color w:val="000000"/>
          <w:sz w:val="22"/>
          <w:szCs w:val="22"/>
          <w:lang w:eastAsia="en-GB"/>
        </w:rPr>
        <w:t xml:space="preserve">  </w:t>
      </w:r>
    </w:p>
    <w:p>
      <w:pPr>
        <w:pStyle w:val="NoSpacing"/>
        <w:jc w:val="both"/>
        <w:rPr>
          <w:rFonts w:ascii="Arial" w:hAnsi="Arial" w:cs="Arial"/>
          <w:b/>
          <w:bCs/>
          <w:color w:val="008080"/>
          <w:sz w:val="22"/>
          <w:szCs w:val="22"/>
          <w:lang w:eastAsia="en-GB"/>
        </w:rPr>
      </w:pPr>
      <w:r>
        <w:rPr>
          <w:rFonts w:cs="Arial" w:ascii="Arial" w:hAnsi="Arial"/>
          <w:b/>
          <w:bCs/>
          <w:color w:val="008080"/>
          <w:sz w:val="22"/>
          <w:szCs w:val="22"/>
          <w:lang w:eastAsia="en-GB"/>
        </w:rPr>
        <w:t>What will I be doing?</w:t>
      </w:r>
    </w:p>
    <w:p>
      <w:pPr>
        <w:pStyle w:val="ListParagraph"/>
        <w:numPr>
          <w:ilvl w:val="0"/>
          <w:numId w:val="8"/>
        </w:numPr>
        <w:spacing w:before="0" w:after="120"/>
        <w:rPr/>
      </w:pPr>
      <w:r>
        <w:rPr>
          <w:rFonts w:eastAsia="Times New Roman" w:cs="Arial" w:ascii="Arial" w:hAnsi="Arial"/>
          <w:lang w:eastAsia="en-GB"/>
        </w:rPr>
        <w:t>Support the delivery of projects and service improvement initiatives within the Housing Change Programme.</w:t>
      </w:r>
    </w:p>
    <w:p>
      <w:pPr>
        <w:pStyle w:val="ListParagraph"/>
        <w:numPr>
          <w:ilvl w:val="0"/>
          <w:numId w:val="8"/>
        </w:numPr>
        <w:spacing w:before="0" w:after="120"/>
        <w:rPr/>
      </w:pPr>
      <w:r>
        <w:rPr>
          <w:rFonts w:eastAsia="Times New Roman" w:cs="Arial" w:ascii="Arial" w:hAnsi="Arial"/>
          <w:lang w:eastAsia="en-GB"/>
        </w:rPr>
        <w:t>Assist in the planning, monitoring, and reporting of project activities, milestones, risks, issues, and dependencies.</w:t>
      </w:r>
    </w:p>
    <w:p>
      <w:pPr>
        <w:pStyle w:val="ListParagraph"/>
        <w:numPr>
          <w:ilvl w:val="0"/>
          <w:numId w:val="8"/>
        </w:numPr>
        <w:spacing w:before="0" w:after="120"/>
        <w:jc w:val="both"/>
        <w:rPr/>
      </w:pPr>
      <w:r>
        <w:rPr>
          <w:rFonts w:eastAsia="MS Mincho" w:cs="Arial" w:ascii="Arial" w:hAnsi="Arial"/>
          <w:bCs/>
          <w:lang w:eastAsia="en-GB"/>
        </w:rPr>
        <w:t>Preparing agendas, requesting agenda items, and chasing follow up actions where appropriate.</w:t>
      </w:r>
    </w:p>
    <w:p>
      <w:pPr>
        <w:pStyle w:val="Normal"/>
        <w:numPr>
          <w:ilvl w:val="0"/>
          <w:numId w:val="8"/>
        </w:numPr>
        <w:spacing w:before="0" w:after="120"/>
        <w:ind w:hanging="357" w:left="714" w:right="0"/>
        <w:jc w:val="both"/>
        <w:rPr/>
      </w:pPr>
      <w:r>
        <w:rPr>
          <w:rFonts w:cs="Arial" w:ascii="Arial" w:hAnsi="Arial"/>
          <w:bCs/>
          <w:sz w:val="22"/>
          <w:szCs w:val="22"/>
          <w:lang w:eastAsia="en-GB"/>
        </w:rPr>
        <w:t>Assisting with investigatory work, research and information gathering to contribute to support project development and decision-making.</w:t>
      </w:r>
    </w:p>
    <w:p>
      <w:pPr>
        <w:pStyle w:val="ListParagraph"/>
        <w:numPr>
          <w:ilvl w:val="0"/>
          <w:numId w:val="8"/>
        </w:numPr>
        <w:spacing w:before="0" w:after="120"/>
        <w:rPr/>
      </w:pPr>
      <w:r>
        <w:rPr>
          <w:rFonts w:eastAsia="Times New Roman" w:cs="Arial" w:ascii="Arial" w:hAnsi="Arial"/>
          <w:lang w:eastAsia="en-GB"/>
        </w:rPr>
        <w:t>Contribute to the preparation of project documentation, presentations, reports, and communications for a range of stakeholders.</w:t>
      </w:r>
    </w:p>
    <w:p>
      <w:pPr>
        <w:pStyle w:val="ListParagraph"/>
        <w:numPr>
          <w:ilvl w:val="0"/>
          <w:numId w:val="8"/>
        </w:numPr>
        <w:spacing w:before="0" w:after="120"/>
        <w:rPr/>
      </w:pPr>
      <w:r>
        <w:rPr>
          <w:rFonts w:eastAsia="Times New Roman" w:cs="Arial" w:ascii="Arial" w:hAnsi="Arial"/>
          <w:lang w:eastAsia="en-GB"/>
        </w:rPr>
        <w:t>Attend project, programme, and stakeholder meetings, recording actions and monitoring progress against agreed timescales.</w:t>
      </w:r>
    </w:p>
    <w:p>
      <w:pPr>
        <w:pStyle w:val="ListParagraph"/>
        <w:numPr>
          <w:ilvl w:val="0"/>
          <w:numId w:val="8"/>
        </w:numPr>
        <w:spacing w:before="0" w:after="120"/>
        <w:rPr/>
      </w:pPr>
      <w:r>
        <w:rPr>
          <w:rFonts w:eastAsia="Times New Roman" w:cs="Arial" w:ascii="Arial" w:hAnsi="Arial"/>
          <w:lang w:eastAsia="en-GB"/>
        </w:rPr>
        <w:t xml:space="preserve">Maintain accurate project records and ensure documentation is up to date and accessible. </w:t>
      </w:r>
    </w:p>
    <w:p>
      <w:pPr>
        <w:pStyle w:val="ListParagraph"/>
        <w:numPr>
          <w:ilvl w:val="0"/>
          <w:numId w:val="4"/>
        </w:numPr>
        <w:spacing w:before="0" w:after="120"/>
        <w:rPr/>
      </w:pPr>
      <w:r>
        <w:rPr>
          <w:rFonts w:eastAsia="Times New Roman" w:cs="Arial" w:ascii="Arial" w:hAnsi="Arial"/>
          <w:lang w:eastAsia="en-GB"/>
        </w:rPr>
        <w:t xml:space="preserve">Apply project management tools, techniques, and best practice principles learned through the apprenticeship programme to support successful project delivery. </w:t>
      </w:r>
    </w:p>
    <w:p>
      <w:pPr>
        <w:pStyle w:val="ListParagraph"/>
        <w:numPr>
          <w:ilvl w:val="0"/>
          <w:numId w:val="4"/>
        </w:numPr>
        <w:spacing w:before="0" w:after="120"/>
        <w:rPr/>
      </w:pPr>
      <w:r>
        <w:rPr>
          <w:rFonts w:eastAsia="Times New Roman" w:cs="Arial" w:ascii="Arial" w:hAnsi="Arial"/>
          <w:lang w:eastAsia="en-GB"/>
        </w:rPr>
        <w:t>Demonstrate a commitment to continuous learning and professional development, ensuring work undertaken contributes towards the achievement of the apprenticeship qualification.</w:t>
      </w:r>
    </w:p>
    <w:p>
      <w:pPr>
        <w:pStyle w:val="NoSpacing"/>
        <w:ind w:left="720" w:right="0"/>
        <w:jc w:val="both"/>
        <w:rPr>
          <w:rFonts w:ascii="Arial" w:hAnsi="Arial" w:cs="Arial"/>
          <w:bCs/>
          <w:sz w:val="22"/>
          <w:szCs w:val="22"/>
          <w:lang w:eastAsia="en-GB"/>
        </w:rPr>
      </w:pPr>
      <w:r>
        <w:rPr>
          <w:rFonts w:cs="Arial" w:ascii="Arial" w:hAnsi="Arial"/>
          <w:bCs/>
          <w:sz w:val="22"/>
          <w:szCs w:val="22"/>
          <w:lang w:eastAsia="en-GB"/>
        </w:rPr>
      </w:r>
    </w:p>
    <w:p>
      <w:pPr>
        <w:pStyle w:val="NoSpacing"/>
        <w:jc w:val="both"/>
        <w:rPr>
          <w:rFonts w:ascii="Arial" w:hAnsi="Arial" w:cs="Arial"/>
          <w:b/>
          <w:bCs/>
          <w:color w:val="008080"/>
          <w:sz w:val="22"/>
          <w:szCs w:val="22"/>
          <w:lang w:eastAsia="en-GB"/>
        </w:rPr>
      </w:pPr>
      <w:r>
        <w:rPr>
          <w:rFonts w:cs="Arial" w:ascii="Arial" w:hAnsi="Arial"/>
          <w:b/>
          <w:bCs/>
          <w:color w:val="008080"/>
          <w:sz w:val="22"/>
          <w:szCs w:val="22"/>
          <w:lang w:eastAsia="en-GB"/>
        </w:rPr>
        <w:t>To work in accordance with:</w:t>
      </w:r>
    </w:p>
    <w:p>
      <w:pPr>
        <w:pStyle w:val="NoSpacing"/>
        <w:numPr>
          <w:ilvl w:val="0"/>
          <w:numId w:val="2"/>
        </w:numPr>
        <w:spacing w:before="0" w:after="120"/>
        <w:ind w:hanging="357" w:left="714" w:right="0"/>
        <w:jc w:val="both"/>
        <w:rPr/>
      </w:pPr>
      <w:r>
        <w:rPr>
          <w:rFonts w:cs="Arial" w:ascii="Arial" w:hAnsi="Arial"/>
          <w:bCs/>
          <w:sz w:val="22"/>
          <w:szCs w:val="22"/>
          <w:lang w:eastAsia="en-GB"/>
        </w:rPr>
        <w:t>Relevant Quality Standards</w:t>
      </w:r>
    </w:p>
    <w:p>
      <w:pPr>
        <w:pStyle w:val="NoSpacing"/>
        <w:numPr>
          <w:ilvl w:val="0"/>
          <w:numId w:val="2"/>
        </w:numPr>
        <w:spacing w:before="0" w:after="120"/>
        <w:ind w:hanging="357" w:left="714" w:right="0"/>
        <w:jc w:val="both"/>
        <w:rPr/>
      </w:pPr>
      <w:r>
        <w:rPr>
          <w:rFonts w:cs="Arial" w:ascii="Arial" w:hAnsi="Arial"/>
          <w:bCs/>
          <w:sz w:val="22"/>
          <w:szCs w:val="22"/>
          <w:lang w:eastAsia="en-GB"/>
        </w:rPr>
        <w:t>Council’s policies and codes of practice, including equalities and diversity, customer care, code of conduct, health and safety and data protection</w:t>
      </w:r>
    </w:p>
    <w:p>
      <w:pPr>
        <w:pStyle w:val="NoSpacing"/>
        <w:jc w:val="both"/>
        <w:rPr>
          <w:rFonts w:ascii="Arial" w:hAnsi="Arial" w:cs="Arial"/>
          <w:bCs/>
          <w:color w:val="008080"/>
          <w:sz w:val="22"/>
          <w:szCs w:val="22"/>
          <w:lang w:eastAsia="en-GB"/>
        </w:rPr>
      </w:pPr>
      <w:r>
        <w:rPr>
          <w:rFonts w:cs="Arial" w:ascii="Arial" w:hAnsi="Arial"/>
          <w:bCs/>
          <w:color w:val="008080"/>
          <w:sz w:val="22"/>
          <w:szCs w:val="22"/>
          <w:lang w:eastAsia="en-GB"/>
        </w:rPr>
      </w:r>
    </w:p>
    <w:p>
      <w:pPr>
        <w:pStyle w:val="NoSpacing"/>
        <w:jc w:val="both"/>
        <w:rPr>
          <w:rFonts w:ascii="Arial" w:hAnsi="Arial" w:cs="Arial"/>
          <w:b/>
          <w:bCs/>
          <w:color w:val="008080"/>
          <w:sz w:val="22"/>
          <w:szCs w:val="22"/>
          <w:lang w:eastAsia="en-GB"/>
        </w:rPr>
      </w:pPr>
      <w:r>
        <w:rPr>
          <w:rFonts w:cs="Arial" w:ascii="Arial" w:hAnsi="Arial"/>
          <w:b/>
          <w:bCs/>
          <w:color w:val="008080"/>
          <w:sz w:val="22"/>
          <w:szCs w:val="22"/>
          <w:lang w:eastAsia="en-GB"/>
        </w:rPr>
        <w:t>Learning Objectives:</w:t>
      </w:r>
    </w:p>
    <w:p>
      <w:pPr>
        <w:pStyle w:val="NoSpacing"/>
        <w:numPr>
          <w:ilvl w:val="0"/>
          <w:numId w:val="7"/>
        </w:numPr>
        <w:spacing w:before="0" w:after="120"/>
        <w:ind w:hanging="357" w:left="714" w:right="0"/>
        <w:jc w:val="both"/>
        <w:rPr/>
      </w:pPr>
      <w:r>
        <w:rPr>
          <w:rFonts w:eastAsia="Calibri" w:cs="Arial" w:ascii="Arial" w:hAnsi="Arial"/>
          <w:sz w:val="22"/>
          <w:szCs w:val="22"/>
          <w:lang w:eastAsia="en-US"/>
        </w:rPr>
        <w:t>Undertake continuous professional development as guided by the Project Manager and Housing Service Leads</w:t>
      </w:r>
    </w:p>
    <w:p>
      <w:pPr>
        <w:pStyle w:val="NoSpacing"/>
        <w:numPr>
          <w:ilvl w:val="0"/>
          <w:numId w:val="7"/>
        </w:numPr>
        <w:spacing w:before="0" w:after="120"/>
        <w:ind w:hanging="357" w:left="714" w:right="0"/>
        <w:jc w:val="both"/>
        <w:rPr/>
      </w:pPr>
      <w:r>
        <w:rPr>
          <w:rFonts w:eastAsia="Calibri" w:cs="Arial" w:ascii="Arial" w:hAnsi="Arial"/>
          <w:sz w:val="22"/>
          <w:szCs w:val="22"/>
          <w:lang w:eastAsia="en-US"/>
        </w:rPr>
        <w:t>Willingness to learn and keep up to date with business intelligence practice and actively support the sharing of information</w:t>
      </w:r>
    </w:p>
    <w:p>
      <w:pPr>
        <w:pStyle w:val="NoSpacing"/>
        <w:numPr>
          <w:ilvl w:val="0"/>
          <w:numId w:val="7"/>
        </w:numPr>
        <w:spacing w:before="0" w:after="120"/>
        <w:ind w:hanging="357" w:left="714" w:right="0"/>
        <w:jc w:val="both"/>
        <w:rPr/>
      </w:pPr>
      <w:r>
        <w:rPr>
          <w:rFonts w:eastAsia="Calibri" w:cs="Arial" w:ascii="Arial" w:hAnsi="Arial"/>
          <w:sz w:val="22"/>
          <w:szCs w:val="22"/>
          <w:lang w:eastAsia="en-US"/>
        </w:rPr>
        <w:t xml:space="preserve">Willing to complete a relevant NVQ Level 4 in Project Management. </w:t>
      </w:r>
    </w:p>
    <w:p>
      <w:pPr>
        <w:pStyle w:val="NoSpacing"/>
        <w:jc w:val="both"/>
        <w:rPr>
          <w:rFonts w:ascii="Arial" w:hAnsi="Arial" w:eastAsia="Calibri" w:cs="Arial"/>
          <w:sz w:val="22"/>
          <w:szCs w:val="22"/>
          <w:lang w:eastAsia="en-US"/>
        </w:rPr>
      </w:pPr>
      <w:r>
        <w:rPr>
          <w:rFonts w:eastAsia="Calibri" w:cs="Arial" w:ascii="Arial" w:hAnsi="Arial"/>
          <w:sz w:val="22"/>
          <w:szCs w:val="22"/>
          <w:lang w:eastAsia="en-US"/>
        </w:rPr>
      </w:r>
    </w:p>
    <w:p>
      <w:pPr>
        <w:pStyle w:val="NoSpacing"/>
        <w:jc w:val="both"/>
        <w:rPr>
          <w:rFonts w:ascii="Arial" w:hAnsi="Arial" w:eastAsia="Calibri" w:cs="Arial"/>
          <w:sz w:val="22"/>
          <w:szCs w:val="22"/>
          <w:lang w:eastAsia="en-US"/>
        </w:rPr>
      </w:pPr>
      <w:r>
        <w:rPr>
          <w:rFonts w:eastAsia="Calibri" w:cs="Arial" w:ascii="Arial" w:hAnsi="Arial"/>
          <w:sz w:val="22"/>
          <w:szCs w:val="22"/>
          <w:lang w:eastAsia="en-US"/>
        </w:rPr>
      </w:r>
    </w:p>
    <w:p>
      <w:pPr>
        <w:pStyle w:val="NoSpacing"/>
        <w:jc w:val="both"/>
        <w:rPr>
          <w:rFonts w:ascii="Arial" w:hAnsi="Arial" w:cs="Arial"/>
          <w:b/>
          <w:bCs/>
          <w:color w:val="008080"/>
          <w:sz w:val="22"/>
          <w:szCs w:val="22"/>
          <w:lang w:eastAsia="en-GB"/>
        </w:rPr>
      </w:pPr>
      <w:r>
        <w:rPr>
          <w:rFonts w:cs="Arial" w:ascii="Arial" w:hAnsi="Arial"/>
          <w:b/>
          <w:bCs/>
          <w:color w:val="008080"/>
          <w:sz w:val="22"/>
          <w:szCs w:val="22"/>
          <w:lang w:eastAsia="en-GB"/>
        </w:rPr>
        <w:t xml:space="preserve">Requirements for the Apprenticeship: </w:t>
      </w:r>
    </w:p>
    <w:p>
      <w:pPr>
        <w:pStyle w:val="NoSpacing"/>
        <w:jc w:val="both"/>
        <w:rPr>
          <w:rFonts w:ascii="Arial" w:hAnsi="Arial" w:cs="Arial"/>
          <w:b/>
          <w:bCs/>
          <w:color w:val="000000"/>
          <w:sz w:val="22"/>
          <w:szCs w:val="22"/>
          <w:lang w:eastAsia="en-GB"/>
        </w:rPr>
      </w:pPr>
      <w:r>
        <w:rPr>
          <w:rFonts w:cs="Arial" w:ascii="Arial" w:hAnsi="Arial"/>
          <w:b/>
          <w:bCs/>
          <w:color w:val="000000"/>
          <w:sz w:val="22"/>
          <w:szCs w:val="22"/>
          <w:lang w:eastAsia="en-GB"/>
        </w:rPr>
      </w:r>
    </w:p>
    <w:p>
      <w:pPr>
        <w:pStyle w:val="NoSpacing"/>
        <w:jc w:val="both"/>
        <w:rPr>
          <w:rFonts w:ascii="Arial" w:hAnsi="Arial" w:cs="Arial"/>
          <w:b/>
          <w:bCs/>
          <w:sz w:val="22"/>
          <w:szCs w:val="22"/>
          <w:lang w:eastAsia="en-GB"/>
        </w:rPr>
      </w:pPr>
      <w:r>
        <w:rPr>
          <w:rFonts w:cs="Arial" w:ascii="Arial" w:hAnsi="Arial"/>
          <w:b/>
          <w:bCs/>
          <w:sz w:val="22"/>
          <w:szCs w:val="22"/>
          <w:lang w:eastAsia="en-GB"/>
        </w:rPr>
        <w:t xml:space="preserve">Qualifications / knowledge: </w:t>
      </w:r>
    </w:p>
    <w:p>
      <w:pPr>
        <w:pStyle w:val="NoSpacing"/>
        <w:numPr>
          <w:ilvl w:val="0"/>
          <w:numId w:val="5"/>
        </w:numPr>
        <w:jc w:val="both"/>
        <w:rPr/>
      </w:pPr>
      <w:r>
        <w:rPr>
          <w:rFonts w:cs="Arial" w:ascii="Arial" w:hAnsi="Arial"/>
          <w:sz w:val="22"/>
          <w:szCs w:val="22"/>
          <w:lang w:eastAsia="en-GB"/>
        </w:rPr>
        <w:t>Sufficient literacy and numeracy to undertake the tasks and duties of the role</w:t>
      </w:r>
    </w:p>
    <w:p>
      <w:pPr>
        <w:pStyle w:val="NoSpacing"/>
        <w:jc w:val="both"/>
        <w:rPr>
          <w:rFonts w:ascii="Arial" w:hAnsi="Arial" w:cs="Arial"/>
          <w:bCs/>
          <w:sz w:val="22"/>
          <w:szCs w:val="22"/>
          <w:lang w:eastAsia="en-GB"/>
        </w:rPr>
      </w:pPr>
      <w:r>
        <w:rPr>
          <w:rFonts w:cs="Arial" w:ascii="Arial" w:hAnsi="Arial"/>
          <w:bCs/>
          <w:sz w:val="22"/>
          <w:szCs w:val="22"/>
          <w:lang w:eastAsia="en-GB"/>
        </w:rPr>
      </w:r>
    </w:p>
    <w:p>
      <w:pPr>
        <w:pStyle w:val="NoSpacing"/>
        <w:jc w:val="both"/>
        <w:rPr>
          <w:rFonts w:ascii="Arial" w:hAnsi="Arial" w:cs="Arial"/>
          <w:b/>
          <w:bCs/>
          <w:sz w:val="22"/>
          <w:szCs w:val="22"/>
          <w:lang w:eastAsia="en-GB"/>
        </w:rPr>
      </w:pPr>
      <w:r>
        <w:rPr>
          <w:rFonts w:cs="Arial" w:ascii="Arial" w:hAnsi="Arial"/>
          <w:b/>
          <w:bCs/>
          <w:sz w:val="22"/>
          <w:szCs w:val="22"/>
          <w:lang w:eastAsia="en-GB"/>
        </w:rPr>
        <w:t>Experience:</w:t>
      </w:r>
    </w:p>
    <w:p>
      <w:pPr>
        <w:pStyle w:val="NoSpacing"/>
        <w:numPr>
          <w:ilvl w:val="0"/>
          <w:numId w:val="5"/>
        </w:numPr>
        <w:spacing w:before="0" w:after="120"/>
        <w:ind w:hanging="357" w:left="714" w:right="0"/>
        <w:jc w:val="both"/>
        <w:rPr/>
      </w:pPr>
      <w:r>
        <w:rPr>
          <w:rFonts w:cs="Arial" w:ascii="Arial" w:hAnsi="Arial"/>
          <w:bCs/>
          <w:sz w:val="22"/>
          <w:szCs w:val="22"/>
          <w:lang w:eastAsia="en-GB"/>
        </w:rPr>
        <w:t>Experience of using Microsoft Office software; including Word, Excel, PowerPoint and Outlook</w:t>
      </w:r>
    </w:p>
    <w:p>
      <w:pPr>
        <w:pStyle w:val="NoSpacing"/>
        <w:numPr>
          <w:ilvl w:val="0"/>
          <w:numId w:val="5"/>
        </w:numPr>
        <w:spacing w:before="0" w:after="120"/>
        <w:ind w:hanging="357" w:left="714" w:right="0"/>
        <w:jc w:val="both"/>
        <w:rPr/>
      </w:pPr>
      <w:r>
        <w:rPr>
          <w:rFonts w:cs="Arial" w:ascii="Arial" w:hAnsi="Arial"/>
          <w:bCs/>
          <w:sz w:val="22"/>
          <w:szCs w:val="22"/>
          <w:lang w:eastAsia="en-GB"/>
        </w:rPr>
        <w:t>Experience of completing tasks to deadlines</w:t>
      </w:r>
    </w:p>
    <w:p>
      <w:pPr>
        <w:pStyle w:val="NoSpacing"/>
        <w:numPr>
          <w:ilvl w:val="0"/>
          <w:numId w:val="5"/>
        </w:numPr>
        <w:spacing w:before="0" w:after="120"/>
        <w:ind w:hanging="357" w:left="714" w:right="0"/>
        <w:jc w:val="both"/>
        <w:rPr/>
      </w:pPr>
      <w:r>
        <w:rPr>
          <w:rFonts w:cs="Arial" w:ascii="Arial" w:hAnsi="Arial"/>
          <w:bCs/>
          <w:sz w:val="22"/>
          <w:szCs w:val="22"/>
          <w:lang w:eastAsia="en-GB"/>
        </w:rPr>
        <w:t xml:space="preserve">Experience of researching and collating information </w:t>
      </w:r>
    </w:p>
    <w:p>
      <w:pPr>
        <w:pStyle w:val="NoSpacing"/>
        <w:jc w:val="both"/>
        <w:rPr>
          <w:rFonts w:ascii="Arial" w:hAnsi="Arial" w:cs="Arial"/>
          <w:bCs/>
          <w:sz w:val="22"/>
          <w:szCs w:val="22"/>
          <w:lang w:eastAsia="en-GB"/>
        </w:rPr>
      </w:pPr>
      <w:r>
        <w:rPr>
          <w:rFonts w:cs="Arial" w:ascii="Arial" w:hAnsi="Arial"/>
          <w:bCs/>
          <w:sz w:val="22"/>
          <w:szCs w:val="22"/>
          <w:lang w:eastAsia="en-GB"/>
        </w:rPr>
      </w:r>
    </w:p>
    <w:p>
      <w:pPr>
        <w:pStyle w:val="NoSpacing"/>
        <w:jc w:val="both"/>
        <w:rPr>
          <w:rFonts w:ascii="Arial" w:hAnsi="Arial" w:cs="Arial"/>
          <w:b/>
          <w:bCs/>
          <w:sz w:val="22"/>
          <w:szCs w:val="22"/>
          <w:lang w:eastAsia="en-GB"/>
        </w:rPr>
      </w:pPr>
      <w:r>
        <w:rPr>
          <w:rFonts w:cs="Arial" w:ascii="Arial" w:hAnsi="Arial"/>
          <w:b/>
          <w:bCs/>
          <w:sz w:val="22"/>
          <w:szCs w:val="22"/>
          <w:lang w:eastAsia="en-GB"/>
        </w:rPr>
        <w:t>Skills &amp; Abilities:</w:t>
      </w:r>
    </w:p>
    <w:p>
      <w:pPr>
        <w:pStyle w:val="NoSpacing"/>
        <w:numPr>
          <w:ilvl w:val="0"/>
          <w:numId w:val="6"/>
        </w:numPr>
        <w:jc w:val="both"/>
        <w:rPr/>
      </w:pPr>
      <w:r>
        <w:rPr>
          <w:rFonts w:cs="Arial" w:ascii="Arial" w:hAnsi="Arial"/>
          <w:bCs/>
          <w:sz w:val="22"/>
          <w:szCs w:val="22"/>
          <w:lang w:eastAsia="en-GB"/>
        </w:rPr>
        <w:t>Ability to communicate effectively with a range of audiences by email, face to face, and over the telephone</w:t>
      </w:r>
    </w:p>
    <w:p>
      <w:pPr>
        <w:pStyle w:val="NoSpacing"/>
        <w:numPr>
          <w:ilvl w:val="0"/>
          <w:numId w:val="6"/>
        </w:numPr>
        <w:jc w:val="both"/>
        <w:rPr/>
      </w:pPr>
      <w:r>
        <w:rPr>
          <w:rFonts w:cs="Arial" w:ascii="Arial" w:hAnsi="Arial"/>
          <w:bCs/>
          <w:sz w:val="22"/>
          <w:szCs w:val="22"/>
          <w:lang w:eastAsia="en-GB"/>
        </w:rPr>
        <w:t>Ability to develop and maintain effective working relationships with a wide range of people at different levels</w:t>
      </w:r>
    </w:p>
    <w:p>
      <w:pPr>
        <w:pStyle w:val="NoSpacing"/>
        <w:numPr>
          <w:ilvl w:val="0"/>
          <w:numId w:val="6"/>
        </w:numPr>
        <w:jc w:val="both"/>
        <w:rPr/>
      </w:pPr>
      <w:r>
        <w:rPr>
          <w:rFonts w:cs="Arial" w:ascii="Arial" w:hAnsi="Arial"/>
          <w:bCs/>
          <w:sz w:val="22"/>
          <w:szCs w:val="22"/>
          <w:lang w:eastAsia="en-GB"/>
        </w:rPr>
        <w:t>Ability to work effectively as part of a team</w:t>
      </w:r>
    </w:p>
    <w:p>
      <w:pPr>
        <w:pStyle w:val="NoSpacing"/>
        <w:numPr>
          <w:ilvl w:val="0"/>
          <w:numId w:val="6"/>
        </w:numPr>
        <w:jc w:val="both"/>
        <w:rPr/>
      </w:pPr>
      <w:r>
        <w:rPr>
          <w:rFonts w:cs="Arial" w:ascii="Arial" w:hAnsi="Arial"/>
          <w:bCs/>
          <w:sz w:val="22"/>
          <w:szCs w:val="22"/>
          <w:lang w:eastAsia="en-GB"/>
        </w:rPr>
        <w:t>Ability to plan own work and prioritise to meet deadlines</w:t>
      </w:r>
    </w:p>
    <w:p>
      <w:pPr>
        <w:pStyle w:val="NoSpacing"/>
        <w:numPr>
          <w:ilvl w:val="0"/>
          <w:numId w:val="6"/>
        </w:numPr>
        <w:jc w:val="both"/>
        <w:rPr/>
      </w:pPr>
      <w:r>
        <w:rPr>
          <w:rFonts w:cs="Arial" w:ascii="Arial" w:hAnsi="Arial"/>
          <w:bCs/>
          <w:sz w:val="22"/>
          <w:szCs w:val="22"/>
          <w:lang w:eastAsia="en-GB"/>
        </w:rPr>
        <w:t>Ability to use own initiative to solve problems</w:t>
      </w:r>
    </w:p>
    <w:p>
      <w:pPr>
        <w:pStyle w:val="NoSpacing"/>
        <w:numPr>
          <w:ilvl w:val="0"/>
          <w:numId w:val="6"/>
        </w:numPr>
        <w:jc w:val="both"/>
        <w:rPr/>
      </w:pPr>
      <w:r>
        <w:rPr>
          <w:rFonts w:cs="Arial" w:ascii="Arial" w:hAnsi="Arial"/>
          <w:bCs/>
          <w:sz w:val="22"/>
          <w:szCs w:val="22"/>
          <w:lang w:eastAsia="en-GB"/>
        </w:rPr>
        <w:t>Ability to undertake administrative tasks</w:t>
      </w:r>
    </w:p>
    <w:p>
      <w:pPr>
        <w:pStyle w:val="NoSpacing"/>
        <w:numPr>
          <w:ilvl w:val="0"/>
          <w:numId w:val="6"/>
        </w:numPr>
        <w:jc w:val="both"/>
        <w:rPr/>
      </w:pPr>
      <w:r>
        <w:rPr>
          <w:rFonts w:cs="Arial" w:ascii="Arial" w:hAnsi="Arial"/>
          <w:bCs/>
          <w:sz w:val="22"/>
          <w:szCs w:val="22"/>
          <w:lang w:eastAsia="en-GB"/>
        </w:rPr>
        <w:t>Ability to deliver a polite, courteous and efficient service to colleagues, partners and service users</w:t>
      </w:r>
    </w:p>
    <w:p>
      <w:pPr>
        <w:pStyle w:val="NoSpacing"/>
        <w:numPr>
          <w:ilvl w:val="0"/>
          <w:numId w:val="6"/>
        </w:numPr>
        <w:jc w:val="both"/>
        <w:rPr/>
      </w:pPr>
      <w:r>
        <w:rPr>
          <w:rFonts w:cs="Arial" w:ascii="Arial" w:hAnsi="Arial"/>
          <w:bCs/>
          <w:sz w:val="22"/>
          <w:szCs w:val="22"/>
          <w:lang w:eastAsia="en-GB"/>
        </w:rPr>
        <w:t>Ability to interpret information/situations to make recommendations</w:t>
      </w:r>
    </w:p>
    <w:p>
      <w:pPr>
        <w:pStyle w:val="NoSpacing"/>
        <w:jc w:val="both"/>
        <w:rPr>
          <w:rFonts w:ascii="Arial" w:hAnsi="Arial" w:cs="Arial"/>
          <w:bCs/>
          <w:sz w:val="22"/>
          <w:szCs w:val="22"/>
          <w:lang w:eastAsia="en-GB"/>
        </w:rPr>
      </w:pPr>
      <w:r>
        <w:rPr>
          <w:rFonts w:cs="Arial" w:ascii="Arial" w:hAnsi="Arial"/>
          <w:bCs/>
          <w:sz w:val="22"/>
          <w:szCs w:val="22"/>
          <w:lang w:eastAsia="en-GB"/>
        </w:rPr>
      </w:r>
    </w:p>
    <w:p>
      <w:pPr>
        <w:pStyle w:val="NoSpacing"/>
        <w:jc w:val="both"/>
        <w:rPr>
          <w:rFonts w:ascii="Arial" w:hAnsi="Arial" w:cs="Arial"/>
          <w:b/>
          <w:bCs/>
          <w:color w:val="008080"/>
          <w:sz w:val="22"/>
          <w:szCs w:val="22"/>
          <w:lang w:eastAsia="en-GB"/>
        </w:rPr>
      </w:pPr>
      <w:r>
        <w:rPr>
          <w:rFonts w:cs="Arial" w:ascii="Arial" w:hAnsi="Arial"/>
          <w:b/>
          <w:bCs/>
          <w:color w:val="008080"/>
          <w:sz w:val="22"/>
          <w:szCs w:val="22"/>
          <w:lang w:eastAsia="en-GB"/>
        </w:rPr>
        <w:t xml:space="preserve">Who will I be working with? </w:t>
      </w:r>
    </w:p>
    <w:p>
      <w:pPr>
        <w:pStyle w:val="NoSpacing"/>
        <w:spacing w:before="0" w:after="120"/>
        <w:jc w:val="both"/>
        <w:rPr>
          <w:rFonts w:ascii="Arial" w:hAnsi="Arial" w:cs="Arial"/>
          <w:sz w:val="22"/>
          <w:szCs w:val="22"/>
          <w:lang w:eastAsia="en-GB"/>
        </w:rPr>
      </w:pPr>
      <w:r>
        <w:rPr>
          <w:rFonts w:cs="Arial" w:ascii="Arial" w:hAnsi="Arial"/>
          <w:sz w:val="22"/>
          <w:szCs w:val="22"/>
          <w:lang w:eastAsia="en-GB"/>
        </w:rPr>
        <w:t>The Apprenticeship may involve contact with:</w:t>
      </w:r>
    </w:p>
    <w:p>
      <w:pPr>
        <w:pStyle w:val="NoSpacing"/>
        <w:numPr>
          <w:ilvl w:val="0"/>
          <w:numId w:val="9"/>
        </w:numPr>
        <w:spacing w:before="0" w:after="120"/>
        <w:jc w:val="both"/>
        <w:rPr/>
      </w:pPr>
      <w:r>
        <w:rPr>
          <w:rFonts w:cs="Arial" w:ascii="Arial" w:hAnsi="Arial"/>
          <w:bCs/>
          <w:sz w:val="22"/>
          <w:szCs w:val="22"/>
          <w:lang w:eastAsia="en-GB"/>
        </w:rPr>
        <w:t>Colleagues within the Council</w:t>
      </w:r>
    </w:p>
    <w:p>
      <w:pPr>
        <w:pStyle w:val="NoSpacing"/>
        <w:numPr>
          <w:ilvl w:val="0"/>
          <w:numId w:val="9"/>
        </w:numPr>
        <w:spacing w:before="0" w:after="120"/>
        <w:jc w:val="both"/>
        <w:rPr/>
      </w:pPr>
      <w:r>
        <w:rPr>
          <w:rFonts w:cs="Arial" w:ascii="Arial" w:hAnsi="Arial"/>
          <w:bCs/>
          <w:sz w:val="22"/>
          <w:szCs w:val="22"/>
          <w:lang w:eastAsia="en-GB"/>
        </w:rPr>
        <w:t>Internal or external stakeholders</w:t>
      </w:r>
    </w:p>
    <w:p>
      <w:pPr>
        <w:pStyle w:val="NoSpacing"/>
        <w:jc w:val="both"/>
        <w:rPr>
          <w:rFonts w:ascii="Arial" w:hAnsi="Arial" w:cs="Arial"/>
          <w:bCs/>
          <w:sz w:val="22"/>
          <w:szCs w:val="22"/>
          <w:lang w:eastAsia="en-GB"/>
        </w:rPr>
      </w:pPr>
      <w:r>
        <w:rPr>
          <w:rFonts w:cs="Arial" w:ascii="Arial" w:hAnsi="Arial"/>
          <w:bCs/>
          <w:sz w:val="22"/>
          <w:szCs w:val="22"/>
          <w:lang w:eastAsia="en-GB"/>
        </w:rPr>
      </w:r>
    </w:p>
    <w:p>
      <w:pPr>
        <w:pStyle w:val="NoSpacing"/>
        <w:jc w:val="both"/>
        <w:rPr>
          <w:rFonts w:ascii="Arial" w:hAnsi="Arial" w:cs="Arial"/>
          <w:bCs/>
          <w:sz w:val="22"/>
          <w:szCs w:val="22"/>
          <w:lang w:eastAsia="en-GB"/>
        </w:rPr>
      </w:pPr>
      <w:r>
        <w:rPr>
          <w:rFonts w:cs="Arial" w:ascii="Arial" w:hAnsi="Arial"/>
          <w:bCs/>
          <w:sz w:val="22"/>
          <w:szCs w:val="22"/>
          <w:lang w:eastAsia="en-GB"/>
        </w:rPr>
      </w:r>
    </w:p>
    <w:p>
      <w:pPr>
        <w:pStyle w:val="NoSpacing"/>
        <w:jc w:val="both"/>
        <w:rPr>
          <w:rFonts w:ascii="Arial" w:hAnsi="Arial" w:cs="Arial"/>
          <w:bCs/>
          <w:sz w:val="22"/>
          <w:szCs w:val="22"/>
          <w:lang w:eastAsia="en-GB"/>
        </w:rPr>
      </w:pPr>
      <w:r>
        <w:rPr>
          <w:rFonts w:cs="Arial" w:ascii="Arial" w:hAnsi="Arial"/>
          <w:bCs/>
          <w:sz w:val="22"/>
          <w:szCs w:val="22"/>
          <w:lang w:eastAsia="en-GB"/>
        </w:rPr>
      </w:r>
    </w:p>
    <w:p>
      <w:pPr>
        <w:pStyle w:val="NoSpacing"/>
        <w:spacing w:before="0" w:after="120"/>
        <w:jc w:val="both"/>
        <w:rPr>
          <w:rFonts w:ascii="Arial" w:hAnsi="Arial" w:cs="Arial"/>
          <w:b/>
          <w:bCs/>
          <w:color w:val="008080"/>
          <w:sz w:val="22"/>
          <w:szCs w:val="22"/>
          <w:lang w:eastAsia="en-GB"/>
        </w:rPr>
      </w:pPr>
      <w:r>
        <w:rPr>
          <w:rFonts w:cs="Arial" w:ascii="Arial" w:hAnsi="Arial"/>
          <w:b/>
          <w:bCs/>
          <w:color w:val="008080"/>
          <w:sz w:val="22"/>
          <w:szCs w:val="22"/>
          <w:lang w:eastAsia="en-GB"/>
        </w:rPr>
        <w:t>Work Circumstances:</w:t>
      </w:r>
    </w:p>
    <w:p>
      <w:pPr>
        <w:pStyle w:val="NoSpacing"/>
        <w:numPr>
          <w:ilvl w:val="0"/>
          <w:numId w:val="3"/>
        </w:numPr>
        <w:spacing w:before="0" w:after="120"/>
        <w:jc w:val="both"/>
        <w:rPr/>
      </w:pPr>
      <w:r>
        <w:rPr>
          <w:rFonts w:cs="Arial" w:ascii="Arial" w:hAnsi="Arial"/>
          <w:bCs/>
          <w:sz w:val="22"/>
          <w:szCs w:val="22"/>
          <w:lang w:eastAsia="en-GB"/>
        </w:rPr>
        <w:t>Willingness to work flexibly to meet the needs of the Service</w:t>
      </w:r>
    </w:p>
    <w:p>
      <w:pPr>
        <w:pStyle w:val="NoSpacing"/>
        <w:numPr>
          <w:ilvl w:val="0"/>
          <w:numId w:val="3"/>
        </w:numPr>
        <w:spacing w:before="0" w:after="120"/>
        <w:jc w:val="both"/>
        <w:rPr/>
      </w:pPr>
      <w:r>
        <w:rPr>
          <w:rFonts w:cs="Arial" w:ascii="Arial" w:hAnsi="Arial"/>
          <w:bCs/>
          <w:sz w:val="22"/>
          <w:szCs w:val="22"/>
          <w:lang w:eastAsia="en-GB"/>
        </w:rPr>
        <w:t>Ability to be punctual and have regular and reliable attendance at work.</w:t>
      </w:r>
    </w:p>
    <w:p>
      <w:pPr>
        <w:pStyle w:val="NoSpacing"/>
        <w:jc w:val="both"/>
        <w:rPr>
          <w:rFonts w:ascii="Arial" w:hAnsi="Arial" w:cs="Arial"/>
          <w:bCs/>
          <w:sz w:val="22"/>
          <w:szCs w:val="22"/>
          <w:lang w:eastAsia="en-GB"/>
        </w:rPr>
      </w:pPr>
      <w:r>
        <w:rPr>
          <w:rFonts w:cs="Arial" w:ascii="Arial" w:hAnsi="Arial"/>
          <w:bCs/>
          <w:sz w:val="22"/>
          <w:szCs w:val="22"/>
          <w:lang w:eastAsia="en-GB"/>
        </w:rPr>
      </w:r>
    </w:p>
    <w:p>
      <w:pPr>
        <w:pStyle w:val="NoSpacing"/>
        <w:jc w:val="both"/>
        <w:rPr>
          <w:rFonts w:ascii="Arial" w:hAnsi="Arial" w:cs="Arial"/>
          <w:bCs/>
          <w:sz w:val="22"/>
          <w:szCs w:val="22"/>
          <w:lang w:eastAsia="en-GB"/>
        </w:rPr>
      </w:pPr>
      <w:r>
        <w:rPr>
          <w:rFonts w:cs="Arial" w:ascii="Arial" w:hAnsi="Arial"/>
          <w:bCs/>
          <w:sz w:val="22"/>
          <w:szCs w:val="22"/>
          <w:lang w:eastAsia="en-GB"/>
        </w:rPr>
        <w:t>As part of the recruitment process, candidates will have to show certificates of examination, demonstrate their match to the requirements through application form, answer questions at an interview and undertake a test as part of the selection process</w:t>
      </w:r>
    </w:p>
    <w:p>
      <w:pPr>
        <w:pStyle w:val="NoSpacing"/>
        <w:rPr>
          <w:rFonts w:ascii="Arial" w:hAnsi="Arial" w:cs="Arial"/>
          <w:bCs/>
          <w:sz w:val="22"/>
          <w:szCs w:val="22"/>
        </w:rPr>
      </w:pPr>
      <w:r>
        <w:rPr>
          <w:rFonts w:cs="Arial" w:ascii="Arial" w:hAnsi="Arial"/>
          <w:bCs/>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Spacing"/>
              <w:rPr/>
            </w:pPr>
            <w:r>
              <w:rPr>
                <w:rFonts w:eastAsia="Arial" w:cs="Arial" w:ascii="Arial" w:hAnsi="Arial"/>
                <w:sz w:val="22"/>
                <w:szCs w:val="22"/>
              </w:rPr>
              <w:t xml:space="preserve"> </w:t>
            </w:r>
            <w:r>
              <w:rPr>
                <w:rFonts w:eastAsia="Times New Roman" w:cs="Arial" w:ascii="Arial" w:hAnsi="Arial"/>
                <w:sz w:val="22"/>
                <w:szCs w:val="22"/>
                <w:lang w:eastAsia="en-US"/>
              </w:rPr>
              <w:t>Relationship To Other Posts In The Directorate:</w:t>
            </w:r>
          </w:p>
          <w:p>
            <w:pPr>
              <w:pStyle w:val="NoSpacing"/>
              <w:rPr>
                <w:rFonts w:ascii="Arial" w:hAnsi="Arial" w:eastAsia="Times New Roman" w:cs="Arial"/>
                <w:sz w:val="22"/>
                <w:szCs w:val="22"/>
                <w:lang w:eastAsia="en-US"/>
              </w:rPr>
            </w:pPr>
            <w:r>
              <w:rPr>
                <w:rFonts w:eastAsia="Times New Roman" w:cs="Arial" w:ascii="Arial" w:hAnsi="Arial"/>
                <w:sz w:val="22"/>
                <w:szCs w:val="22"/>
                <w:lang w:eastAsia="en-US"/>
              </w:rPr>
            </w:r>
          </w:p>
          <w:p>
            <w:pPr>
              <w:pStyle w:val="NoSpacing"/>
              <w:rPr>
                <w:rFonts w:ascii="Arial" w:hAnsi="Arial" w:eastAsia="Times New Roman" w:cs="Arial"/>
                <w:sz w:val="22"/>
                <w:szCs w:val="22"/>
                <w:lang w:eastAsia="en-US"/>
              </w:rPr>
            </w:pPr>
            <w:r>
              <w:rPr>
                <w:rFonts w:eastAsia="Times New Roman" w:cs="Arial" w:ascii="Arial" w:hAnsi="Arial"/>
                <w:sz w:val="22"/>
                <w:szCs w:val="22"/>
                <w:lang w:eastAsia="en-US"/>
              </w:rPr>
              <w:t>Responsible to: Line Manager</w:t>
            </w:r>
          </w:p>
          <w:p>
            <w:pPr>
              <w:pStyle w:val="NoSpacing"/>
              <w:rPr>
                <w:rFonts w:ascii="Arial" w:hAnsi="Arial" w:eastAsia="Times New Roman" w:cs="Arial"/>
                <w:sz w:val="22"/>
                <w:szCs w:val="22"/>
                <w:lang w:eastAsia="en-US"/>
              </w:rPr>
            </w:pPr>
            <w:r>
              <w:rPr>
                <w:rFonts w:eastAsia="Times New Roman" w:cs="Arial" w:ascii="Arial" w:hAnsi="Arial"/>
                <w:sz w:val="22"/>
                <w:szCs w:val="22"/>
                <w:lang w:eastAsia="en-US"/>
              </w:rPr>
            </w:r>
            <w:bookmarkStart w:id="0" w:name="Text17"/>
            <w:bookmarkStart w:id="1" w:name="Text17"/>
            <w:bookmarkEnd w:id="1"/>
          </w:p>
          <w:p>
            <w:pPr>
              <w:pStyle w:val="NoSpacing"/>
              <w:rPr/>
            </w:pPr>
            <w:r>
              <w:rPr>
                <w:rFonts w:eastAsia="Times New Roman" w:cs="Arial" w:ascii="Arial" w:hAnsi="Arial"/>
                <w:sz w:val="22"/>
                <w:szCs w:val="22"/>
                <w:lang w:eastAsia="en-US"/>
              </w:rPr>
              <w:t xml:space="preserve">Responsible for: </w:t>
            </w:r>
            <w:r>
              <w:rPr>
                <w:rFonts w:eastAsia="Times New Roman" w:cs="Arial" w:ascii="Arial" w:hAnsi="Arial"/>
                <w:bCs/>
                <w:sz w:val="22"/>
                <w:szCs w:val="22"/>
                <w:lang w:eastAsia="en-US"/>
              </w:rPr>
              <w:t>None</w:t>
            </w:r>
          </w:p>
        </w:tc>
      </w:tr>
    </w:tbl>
    <w:p>
      <w:pPr>
        <w:pStyle w:val="NoSpacing"/>
        <w:rPr>
          <w:rFonts w:ascii="Arial" w:hAnsi="Arial" w:eastAsia="Times New Roman" w:cs="Arial"/>
          <w:sz w:val="22"/>
          <w:szCs w:val="22"/>
          <w:lang w:eastAsia="en-US"/>
        </w:rPr>
      </w:pPr>
      <w:r>
        <w:rPr>
          <w:rFonts w:eastAsia="Times New Roman" w:cs="Arial" w:ascii="Arial" w:hAnsi="Arial"/>
          <w:sz w:val="22"/>
          <w:szCs w:val="22"/>
          <w:lang w:eastAsia="en-US"/>
        </w:rPr>
      </w:r>
    </w:p>
    <w:tbl>
      <w:tblPr>
        <w:tblW w:w="10480" w:type="dxa"/>
        <w:jc w:val="left"/>
        <w:tblInd w:w="-504" w:type="dxa"/>
        <w:tblLayout w:type="fixed"/>
        <w:tblCellMar>
          <w:top w:w="0" w:type="dxa"/>
          <w:left w:w="108" w:type="dxa"/>
          <w:bottom w:w="0" w:type="dxa"/>
          <w:right w:w="108" w:type="dxa"/>
        </w:tblCellMar>
      </w:tblPr>
      <w:tblGrid>
        <w:gridCol w:w="1710"/>
        <w:gridCol w:w="1319"/>
        <w:gridCol w:w="1998"/>
        <w:gridCol w:w="5453"/>
      </w:tblGrid>
      <w:tr>
        <w:trPr>
          <w:trHeight w:val="258" w:hRule="atLeast"/>
        </w:trPr>
        <w:tc>
          <w:tcPr>
            <w:tcW w:w="1710" w:type="dxa"/>
            <w:tcBorders>
              <w:top w:val="single" w:sz="4" w:space="0" w:color="000000"/>
              <w:left w:val="single" w:sz="4" w:space="0" w:color="000000"/>
              <w:bottom w:val="single" w:sz="4" w:space="0" w:color="000000"/>
              <w:right w:val="single" w:sz="4" w:space="0" w:color="000000"/>
            </w:tcBorders>
          </w:tcPr>
          <w:p>
            <w:pPr>
              <w:pStyle w:val="NoSpacing"/>
              <w:snapToGrid w:val="false"/>
              <w:rPr>
                <w:rFonts w:ascii="Arial" w:hAnsi="Arial" w:eastAsia="Times New Roman" w:cs="Arial"/>
                <w:sz w:val="22"/>
                <w:szCs w:val="22"/>
                <w:lang w:eastAsia="en-US"/>
              </w:rPr>
            </w:pPr>
            <w:r>
              <w:rPr>
                <w:rFonts w:eastAsia="Times New Roman" w:cs="Arial" w:ascii="Arial" w:hAnsi="Arial"/>
                <w:sz w:val="22"/>
                <w:szCs w:val="22"/>
                <w:lang w:eastAsia="en-US"/>
              </w:rPr>
            </w:r>
          </w:p>
        </w:tc>
        <w:tc>
          <w:tcPr>
            <w:tcW w:w="1319" w:type="dxa"/>
            <w:tcBorders>
              <w:top w:val="single" w:sz="4" w:space="0" w:color="000000"/>
              <w:left w:val="single" w:sz="4" w:space="0" w:color="000000"/>
              <w:bottom w:val="single" w:sz="4" w:space="0" w:color="000000"/>
              <w:right w:val="single" w:sz="4" w:space="0" w:color="000000"/>
            </w:tcBorders>
          </w:tcPr>
          <w:p>
            <w:pPr>
              <w:pStyle w:val="NoSpacing"/>
              <w:rPr>
                <w:rFonts w:ascii="Arial" w:hAnsi="Arial" w:eastAsia="Times New Roman" w:cs="Arial"/>
                <w:sz w:val="22"/>
                <w:szCs w:val="22"/>
                <w:lang w:eastAsia="en-US"/>
              </w:rPr>
            </w:pPr>
            <w:r>
              <w:rPr>
                <w:rFonts w:eastAsia="Times New Roman" w:cs="Arial" w:ascii="Arial" w:hAnsi="Arial"/>
                <w:sz w:val="22"/>
                <w:szCs w:val="22"/>
                <w:lang w:eastAsia="en-US"/>
              </w:rPr>
              <w:t>DATE</w:t>
            </w:r>
          </w:p>
        </w:tc>
        <w:tc>
          <w:tcPr>
            <w:tcW w:w="1998" w:type="dxa"/>
            <w:tcBorders>
              <w:top w:val="single" w:sz="4" w:space="0" w:color="000000"/>
              <w:left w:val="single" w:sz="4" w:space="0" w:color="000000"/>
              <w:bottom w:val="single" w:sz="4" w:space="0" w:color="000000"/>
              <w:right w:val="single" w:sz="4" w:space="0" w:color="000000"/>
            </w:tcBorders>
          </w:tcPr>
          <w:p>
            <w:pPr>
              <w:pStyle w:val="NoSpacing"/>
              <w:rPr>
                <w:rFonts w:ascii="Arial" w:hAnsi="Arial" w:eastAsia="Times New Roman" w:cs="Arial"/>
                <w:sz w:val="22"/>
                <w:szCs w:val="22"/>
                <w:lang w:eastAsia="en-US"/>
              </w:rPr>
            </w:pPr>
            <w:r>
              <w:rPr>
                <w:rFonts w:eastAsia="Times New Roman" w:cs="Arial" w:ascii="Arial" w:hAnsi="Arial"/>
                <w:sz w:val="22"/>
                <w:szCs w:val="22"/>
                <w:lang w:eastAsia="en-US"/>
              </w:rPr>
              <w:t>NAME</w:t>
            </w:r>
          </w:p>
        </w:tc>
        <w:tc>
          <w:tcPr>
            <w:tcW w:w="5453" w:type="dxa"/>
            <w:tcBorders>
              <w:top w:val="single" w:sz="4" w:space="0" w:color="000000"/>
              <w:left w:val="single" w:sz="4" w:space="0" w:color="000000"/>
              <w:bottom w:val="single" w:sz="4" w:space="0" w:color="000000"/>
              <w:right w:val="single" w:sz="4" w:space="0" w:color="000000"/>
            </w:tcBorders>
          </w:tcPr>
          <w:p>
            <w:pPr>
              <w:pStyle w:val="NoSpacing"/>
              <w:rPr>
                <w:rFonts w:ascii="Arial" w:hAnsi="Arial" w:eastAsia="Times New Roman" w:cs="Arial"/>
                <w:sz w:val="22"/>
                <w:szCs w:val="22"/>
                <w:lang w:eastAsia="en-US"/>
              </w:rPr>
            </w:pPr>
            <w:r>
              <w:rPr>
                <w:rFonts w:eastAsia="Times New Roman" w:cs="Arial" w:ascii="Arial" w:hAnsi="Arial"/>
                <w:sz w:val="22"/>
                <w:szCs w:val="22"/>
                <w:lang w:eastAsia="en-US"/>
              </w:rPr>
              <w:t>POST TITLE</w:t>
            </w:r>
          </w:p>
        </w:tc>
      </w:tr>
      <w:tr>
        <w:trPr>
          <w:trHeight w:val="501" w:hRule="atLeast"/>
        </w:trPr>
        <w:tc>
          <w:tcPr>
            <w:tcW w:w="1710" w:type="dxa"/>
            <w:tcBorders>
              <w:top w:val="single" w:sz="4" w:space="0" w:color="000000"/>
              <w:left w:val="single" w:sz="4" w:space="0" w:color="000000"/>
              <w:bottom w:val="single" w:sz="4" w:space="0" w:color="000000"/>
              <w:right w:val="single" w:sz="4" w:space="0" w:color="000000"/>
            </w:tcBorders>
          </w:tcPr>
          <w:p>
            <w:pPr>
              <w:pStyle w:val="NoSpacing"/>
              <w:rPr>
                <w:rFonts w:ascii="Arial" w:hAnsi="Arial" w:eastAsia="Times New Roman" w:cs="Arial"/>
                <w:sz w:val="22"/>
                <w:szCs w:val="22"/>
                <w:lang w:eastAsia="en-US"/>
              </w:rPr>
            </w:pPr>
            <w:r>
              <w:rPr>
                <w:rFonts w:eastAsia="Times New Roman" w:cs="Arial" w:ascii="Arial" w:hAnsi="Arial"/>
                <w:sz w:val="22"/>
                <w:szCs w:val="22"/>
                <w:lang w:eastAsia="en-US"/>
              </w:rPr>
              <w:t>Prepared</w:t>
            </w:r>
          </w:p>
        </w:tc>
        <w:tc>
          <w:tcPr>
            <w:tcW w:w="1319" w:type="dxa"/>
            <w:tcBorders>
              <w:top w:val="single" w:sz="4" w:space="0" w:color="000000"/>
              <w:left w:val="single" w:sz="4" w:space="0" w:color="000000"/>
              <w:bottom w:val="single" w:sz="4" w:space="0" w:color="000000"/>
              <w:right w:val="single" w:sz="4" w:space="0" w:color="000000"/>
            </w:tcBorders>
          </w:tcPr>
          <w:p>
            <w:pPr>
              <w:pStyle w:val="NoSpacing"/>
              <w:rPr>
                <w:rFonts w:ascii="Arial" w:hAnsi="Arial" w:eastAsia="Times New Roman" w:cs="Arial"/>
                <w:sz w:val="22"/>
                <w:szCs w:val="22"/>
                <w:lang w:eastAsia="en-US"/>
              </w:rPr>
            </w:pPr>
            <w:r>
              <w:rPr>
                <w:rFonts w:eastAsia="Times New Roman" w:cs="Arial" w:ascii="Arial" w:hAnsi="Arial"/>
                <w:sz w:val="22"/>
                <w:szCs w:val="22"/>
                <w:lang w:eastAsia="en-US"/>
              </w:rPr>
              <w:t>22/09/2026</w:t>
            </w:r>
          </w:p>
        </w:tc>
        <w:tc>
          <w:tcPr>
            <w:tcW w:w="1998" w:type="dxa"/>
            <w:tcBorders>
              <w:top w:val="single" w:sz="4" w:space="0" w:color="000000"/>
              <w:left w:val="single" w:sz="4" w:space="0" w:color="000000"/>
              <w:bottom w:val="single" w:sz="4" w:space="0" w:color="000000"/>
              <w:right w:val="single" w:sz="4" w:space="0" w:color="000000"/>
            </w:tcBorders>
          </w:tcPr>
          <w:p>
            <w:pPr>
              <w:pStyle w:val="NoSpacing"/>
              <w:rPr>
                <w:rFonts w:ascii="Arial" w:hAnsi="Arial" w:eastAsia="Times New Roman" w:cs="Arial"/>
                <w:sz w:val="22"/>
                <w:szCs w:val="22"/>
                <w:lang w:eastAsia="en-US"/>
              </w:rPr>
            </w:pPr>
            <w:r>
              <w:rPr>
                <w:rFonts w:eastAsia="Times New Roman" w:cs="Arial" w:ascii="Arial" w:hAnsi="Arial"/>
                <w:sz w:val="22"/>
                <w:szCs w:val="22"/>
                <w:lang w:eastAsia="en-US"/>
              </w:rPr>
              <w:t xml:space="preserve">Vicky Wood </w:t>
            </w:r>
          </w:p>
        </w:tc>
        <w:tc>
          <w:tcPr>
            <w:tcW w:w="5453" w:type="dxa"/>
            <w:tcBorders>
              <w:top w:val="single" w:sz="4" w:space="0" w:color="000000"/>
              <w:left w:val="single" w:sz="4" w:space="0" w:color="000000"/>
              <w:bottom w:val="single" w:sz="4" w:space="0" w:color="000000"/>
              <w:right w:val="single" w:sz="4" w:space="0" w:color="000000"/>
            </w:tcBorders>
          </w:tcPr>
          <w:p>
            <w:pPr>
              <w:pStyle w:val="NoSpacing"/>
              <w:rPr>
                <w:rFonts w:ascii="Arial" w:hAnsi="Arial" w:eastAsia="Times New Roman" w:cs="Arial"/>
                <w:sz w:val="22"/>
                <w:szCs w:val="22"/>
                <w:lang w:eastAsia="en-US"/>
              </w:rPr>
            </w:pPr>
            <w:r>
              <w:rPr>
                <w:rFonts w:eastAsia="Times New Roman" w:cs="Arial" w:ascii="Arial" w:hAnsi="Arial"/>
                <w:sz w:val="22"/>
                <w:szCs w:val="22"/>
                <w:lang w:eastAsia="en-US"/>
              </w:rPr>
              <w:t>Assistant Director - Housing</w:t>
            </w:r>
          </w:p>
        </w:tc>
      </w:tr>
      <w:tr>
        <w:trPr>
          <w:trHeight w:val="516" w:hRule="atLeast"/>
        </w:trPr>
        <w:tc>
          <w:tcPr>
            <w:tcW w:w="1710" w:type="dxa"/>
            <w:tcBorders>
              <w:top w:val="single" w:sz="4" w:space="0" w:color="000000"/>
              <w:left w:val="single" w:sz="4" w:space="0" w:color="000000"/>
              <w:bottom w:val="single" w:sz="4" w:space="0" w:color="000000"/>
              <w:right w:val="single" w:sz="4" w:space="0" w:color="000000"/>
            </w:tcBorders>
          </w:tcPr>
          <w:p>
            <w:pPr>
              <w:pStyle w:val="NoSpacing"/>
              <w:snapToGrid w:val="false"/>
              <w:rPr>
                <w:rFonts w:ascii="Arial" w:hAnsi="Arial" w:eastAsia="Times New Roman" w:cs="Arial"/>
                <w:sz w:val="22"/>
                <w:szCs w:val="22"/>
                <w:lang w:eastAsia="en-US"/>
              </w:rPr>
            </w:pPr>
            <w:r>
              <w:rPr>
                <w:rFonts w:eastAsia="Times New Roman" w:cs="Arial" w:ascii="Arial" w:hAnsi="Arial"/>
                <w:sz w:val="22"/>
                <w:szCs w:val="22"/>
                <w:lang w:eastAsia="en-US"/>
              </w:rPr>
            </w:r>
          </w:p>
        </w:tc>
        <w:tc>
          <w:tcPr>
            <w:tcW w:w="1319" w:type="dxa"/>
            <w:tcBorders>
              <w:top w:val="single" w:sz="4" w:space="0" w:color="000000"/>
              <w:left w:val="single" w:sz="4" w:space="0" w:color="000000"/>
              <w:bottom w:val="single" w:sz="4" w:space="0" w:color="000000"/>
              <w:right w:val="single" w:sz="4" w:space="0" w:color="000000"/>
            </w:tcBorders>
          </w:tcPr>
          <w:p>
            <w:pPr>
              <w:pStyle w:val="NoSpacing"/>
              <w:snapToGrid w:val="false"/>
              <w:rPr>
                <w:rFonts w:ascii="Arial" w:hAnsi="Arial" w:eastAsia="Times New Roman" w:cs="Arial"/>
                <w:sz w:val="22"/>
                <w:szCs w:val="22"/>
                <w:lang w:eastAsia="en-US"/>
              </w:rPr>
            </w:pPr>
            <w:r>
              <w:rPr>
                <w:rFonts w:eastAsia="Times New Roman" w:cs="Arial" w:ascii="Arial" w:hAnsi="Arial"/>
                <w:sz w:val="22"/>
                <w:szCs w:val="22"/>
                <w:lang w:eastAsia="en-US"/>
              </w:rPr>
            </w:r>
          </w:p>
        </w:tc>
        <w:tc>
          <w:tcPr>
            <w:tcW w:w="1998" w:type="dxa"/>
            <w:tcBorders>
              <w:top w:val="single" w:sz="4" w:space="0" w:color="000000"/>
              <w:left w:val="single" w:sz="4" w:space="0" w:color="000000"/>
              <w:bottom w:val="single" w:sz="4" w:space="0" w:color="000000"/>
              <w:right w:val="single" w:sz="4" w:space="0" w:color="000000"/>
            </w:tcBorders>
          </w:tcPr>
          <w:p>
            <w:pPr>
              <w:pStyle w:val="NoSpacing"/>
              <w:snapToGrid w:val="false"/>
              <w:rPr>
                <w:rFonts w:ascii="Arial" w:hAnsi="Arial" w:eastAsia="Times New Roman" w:cs="Arial"/>
                <w:sz w:val="22"/>
                <w:szCs w:val="22"/>
                <w:lang w:eastAsia="en-US"/>
              </w:rPr>
            </w:pPr>
            <w:r>
              <w:rPr>
                <w:rFonts w:eastAsia="Times New Roman" w:cs="Arial" w:ascii="Arial" w:hAnsi="Arial"/>
                <w:sz w:val="22"/>
                <w:szCs w:val="22"/>
                <w:lang w:eastAsia="en-US"/>
              </w:rPr>
            </w:r>
          </w:p>
        </w:tc>
        <w:tc>
          <w:tcPr>
            <w:tcW w:w="5453" w:type="dxa"/>
            <w:tcBorders>
              <w:top w:val="single" w:sz="4" w:space="0" w:color="000000"/>
              <w:left w:val="single" w:sz="4" w:space="0" w:color="000000"/>
              <w:bottom w:val="single" w:sz="4" w:space="0" w:color="000000"/>
              <w:right w:val="single" w:sz="4" w:space="0" w:color="000000"/>
            </w:tcBorders>
          </w:tcPr>
          <w:p>
            <w:pPr>
              <w:pStyle w:val="NoSpacing"/>
              <w:snapToGrid w:val="false"/>
              <w:rPr>
                <w:rFonts w:ascii="Arial" w:hAnsi="Arial" w:eastAsia="Times New Roman" w:cs="Arial"/>
                <w:sz w:val="22"/>
                <w:szCs w:val="22"/>
                <w:lang w:eastAsia="en-US"/>
              </w:rPr>
            </w:pPr>
            <w:r>
              <w:rPr>
                <w:rFonts w:eastAsia="Times New Roman" w:cs="Arial" w:ascii="Arial" w:hAnsi="Arial"/>
                <w:sz w:val="22"/>
                <w:szCs w:val="22"/>
                <w:lang w:eastAsia="en-US"/>
              </w:rPr>
            </w:r>
          </w:p>
        </w:tc>
      </w:tr>
    </w:tbl>
    <w:p>
      <w:pPr>
        <w:pStyle w:val="NoSpacing"/>
        <w:rPr/>
      </w:pPr>
      <w:r>
        <w:rPr/>
      </w:r>
    </w:p>
    <w:sectPr>
      <w:headerReference w:type="default" r:id="rId2"/>
      <w:type w:val="nextPage"/>
      <w:pgSz w:w="11906" w:h="16838"/>
      <w:pgMar w:left="1440" w:right="1440" w:gutter="0" w:header="708" w:top="1440"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Helvetica">
    <w:altName w:val="Arial"/>
    <w:charset w:val="00"/>
    <w:family w:val="swiss"/>
    <w:pitch w:val="variable"/>
  </w:font>
  <w:font w:name="Calibri">
    <w:charset w:val="00"/>
    <w:family w:val="roman"/>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1" allowOverlap="1" relativeHeight="4">
          <wp:simplePos x="0" y="0"/>
          <wp:positionH relativeFrom="column">
            <wp:posOffset>5524500</wp:posOffset>
          </wp:positionH>
          <wp:positionV relativeFrom="paragraph">
            <wp:posOffset>-100965</wp:posOffset>
          </wp:positionV>
          <wp:extent cx="641350" cy="65405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6" t="-55" r="-56" b="-55"/>
                  <a:stretch>
                    <a:fillRect/>
                  </a:stretch>
                </pic:blipFill>
                <pic:spPr bwMode="auto">
                  <a:xfrm>
                    <a:off x="0" y="0"/>
                    <a:ext cx="641350" cy="65405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0" w:after="0"/>
      <w:jc w:val="left"/>
    </w:pPr>
    <w:rPr>
      <w:rFonts w:ascii="Times New Roman" w:hAnsi="Times New Roman" w:eastAsia="MS Mincho" w:cs="Times New Roman"/>
      <w:color w:val="auto"/>
      <w:kern w:val="0"/>
      <w:sz w:val="24"/>
      <w:szCs w:val="24"/>
      <w:lang w:val="en-GB" w:eastAsia="ja-JP" w:bidi="ar-SA"/>
    </w:rPr>
  </w:style>
  <w:style w:type="paragraph" w:styleId="Heading3">
    <w:name w:val="Heading 3"/>
    <w:basedOn w:val="Normal"/>
    <w:next w:val="Normal"/>
    <w:qFormat/>
    <w:pPr>
      <w:keepNext w:val="true"/>
      <w:numPr>
        <w:ilvl w:val="2"/>
        <w:numId w:val="1"/>
      </w:numPr>
      <w:spacing w:before="240" w:after="60"/>
      <w:outlineLvl w:val="2"/>
    </w:pPr>
    <w:rPr>
      <w:rFonts w:ascii="Arial" w:hAnsi="Arial" w:eastAsia="Times New Roman" w:cs="Arial"/>
      <w:b/>
      <w:bCs/>
      <w:sz w:val="26"/>
      <w:szCs w:val="26"/>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DefaultParagraphFont">
    <w:name w:val="Default Paragraph Font"/>
    <w:qFormat/>
    <w:rPr/>
  </w:style>
  <w:style w:type="character" w:styleId="Heading3Char">
    <w:name w:val="Heading 3 Char"/>
    <w:basedOn w:val="DefaultParagraphFont"/>
    <w:qFormat/>
    <w:rPr>
      <w:rFonts w:ascii="Arial" w:hAnsi="Arial" w:eastAsia="Times New Roman" w:cs="Arial"/>
      <w:b/>
      <w:bCs/>
      <w:sz w:val="26"/>
      <w:szCs w:val="26"/>
      <w:lang w:eastAsia="ja-JP"/>
    </w:rPr>
  </w:style>
  <w:style w:type="character" w:styleId="HeaderChar">
    <w:name w:val="Header Char"/>
    <w:basedOn w:val="DefaultParagraphFont"/>
    <w:qFormat/>
    <w:rPr>
      <w:rFonts w:ascii="Times New Roman" w:hAnsi="Times New Roman" w:eastAsia="MS Mincho" w:cs="Times New Roman"/>
      <w:sz w:val="24"/>
      <w:szCs w:val="24"/>
      <w:lang w:eastAsia="ja-JP"/>
    </w:rPr>
  </w:style>
  <w:style w:type="character" w:styleId="FooterChar">
    <w:name w:val="Footer Char"/>
    <w:basedOn w:val="DefaultParagraphFont"/>
    <w:qFormat/>
    <w:rPr>
      <w:rFonts w:ascii="Times New Roman" w:hAnsi="Times New Roman" w:eastAsia="MS Mincho" w:cs="Times New Roman"/>
      <w:sz w:val="24"/>
      <w:szCs w:val="24"/>
      <w:lang w:eastAsia="ja-JP"/>
    </w:rPr>
  </w:style>
  <w:style w:type="character" w:styleId="BalloonTextChar">
    <w:name w:val="Balloon Text Char"/>
    <w:basedOn w:val="DefaultParagraphFont"/>
    <w:qFormat/>
    <w:rPr>
      <w:rFonts w:ascii="Tahoma" w:hAnsi="Tahoma" w:eastAsia="MS Mincho" w:cs="Tahoma"/>
      <w:sz w:val="16"/>
      <w:szCs w:val="16"/>
      <w:lang w:eastAsia="ja-JP"/>
    </w:rPr>
  </w:style>
  <w:style w:type="character" w:styleId="BodyText3Char">
    <w:name w:val="Body Text 3 Char"/>
    <w:basedOn w:val="DefaultParagraphFont"/>
    <w:qFormat/>
    <w:rPr>
      <w:rFonts w:ascii="Arial" w:hAnsi="Arial" w:eastAsia="Times New Roman" w:cs="Arial"/>
      <w:szCs w:val="24"/>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Times New Roman" w:hAnsi="Times New Roman" w:eastAsia="MS Mincho" w:cs="Times New Roman"/>
      <w:sz w:val="20"/>
      <w:szCs w:val="20"/>
      <w:lang w:eastAsia="ja-JP"/>
    </w:rPr>
  </w:style>
  <w:style w:type="character" w:styleId="CommentSubjectChar">
    <w:name w:val="Comment Subject Char"/>
    <w:basedOn w:val="CommentTextChar"/>
    <w:qFormat/>
    <w:rPr>
      <w:rFonts w:ascii="Times New Roman" w:hAnsi="Times New Roman" w:eastAsia="MS Mincho" w:cs="Times New Roman"/>
      <w:b/>
      <w:bCs/>
      <w:sz w:val="20"/>
      <w:szCs w:val="20"/>
      <w:lang w:eastAsia="ja-JP"/>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Default">
    <w:name w:val="Default"/>
    <w:qFormat/>
    <w:pPr>
      <w:widowControl w:val="false"/>
      <w:suppressAutoHyphens w:val="true"/>
      <w:bidi w:val="0"/>
      <w:spacing w:lineRule="auto" w:line="240" w:before="0" w:after="0"/>
      <w:jc w:val="left"/>
    </w:pPr>
    <w:rPr>
      <w:rFonts w:ascii="Helvetica;Arial" w:hAnsi="Helvetica;Arial" w:eastAsia="Times New Roman" w:cs="Helvetica;Arial"/>
      <w:color w:val="000000"/>
      <w:kern w:val="0"/>
      <w:sz w:val="24"/>
      <w:szCs w:val="24"/>
      <w:lang w:val="en-GB" w:eastAsia="en-GB" w:bidi="ar-SA"/>
    </w:rPr>
  </w:style>
  <w:style w:type="paragraph" w:styleId="ListParagraph">
    <w:name w:val="List Paragraph"/>
    <w:basedOn w:val="Normal"/>
    <w:qFormat/>
    <w:pPr>
      <w:ind w:hanging="0" w:left="720" w:right="0"/>
    </w:pPr>
    <w:rPr>
      <w:rFonts w:ascii="Calibri" w:hAnsi="Calibri" w:eastAsia="Calibri" w:cs="Calibri"/>
      <w:sz w:val="22"/>
      <w:szCs w:val="22"/>
      <w:lang w:eastAsia="en-US"/>
    </w:rPr>
  </w:style>
  <w:style w:type="paragraph" w:styleId="NormalWeb">
    <w:name w:val="Normal (Web)"/>
    <w:basedOn w:val="Normal"/>
    <w:qFormat/>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BalloonText">
    <w:name w:val="Balloon Text"/>
    <w:basedOn w:val="Normal"/>
    <w:qFormat/>
    <w:pPr/>
    <w:rPr>
      <w:rFonts w:ascii="Tahoma" w:hAnsi="Tahoma" w:cs="Tahoma"/>
      <w:sz w:val="16"/>
      <w:szCs w:val="16"/>
    </w:rPr>
  </w:style>
  <w:style w:type="paragraph" w:styleId="BodyText3">
    <w:name w:val="Body Text 3"/>
    <w:basedOn w:val="Normal"/>
    <w:qFormat/>
    <w:pPr>
      <w:jc w:val="both"/>
    </w:pPr>
    <w:rPr>
      <w:rFonts w:ascii="Arial" w:hAnsi="Arial" w:eastAsia="Times New Roman" w:cs="Arial"/>
      <w:sz w:val="22"/>
      <w:lang w:eastAsia="en-US"/>
    </w:rPr>
  </w:style>
  <w:style w:type="paragraph" w:styleId="NoSpacing">
    <w:name w:val="No Spacing"/>
    <w:qFormat/>
    <w:pPr>
      <w:widowControl/>
      <w:suppressAutoHyphens w:val="true"/>
      <w:bidi w:val="0"/>
      <w:spacing w:lineRule="auto" w:line="240" w:before="0" w:after="0"/>
      <w:jc w:val="left"/>
    </w:pPr>
    <w:rPr>
      <w:rFonts w:ascii="Times New Roman" w:hAnsi="Times New Roman" w:eastAsia="MS Mincho" w:cs="Times New Roman"/>
      <w:color w:val="auto"/>
      <w:kern w:val="0"/>
      <w:sz w:val="24"/>
      <w:szCs w:val="24"/>
      <w:lang w:val="en-GB" w:eastAsia="ja-JP" w:bidi="ar-SA"/>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