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 xml:space="preserve">Job Title: </w:t>
            </w:r>
          </w:p>
          <w:p>
            <w:pPr>
              <w:pStyle w:val="Normal"/>
              <w:rPr>
                <w:rFonts w:cs="Arial"/>
                <w:color w:val="FFFFFF"/>
                <w:sz w:val="22"/>
                <w:szCs w:val="22"/>
              </w:rPr>
            </w:pPr>
            <w:r>
              <w:rPr>
                <w:rFonts w:cs="Arial"/>
                <w:color w:val="FFFFFF"/>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HR Advisor</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color w:val="FFFFFF"/>
                <w:sz w:val="22"/>
                <w:szCs w:val="22"/>
              </w:rPr>
              <w:t>Directorate:</w:t>
            </w:r>
            <w:r>
              <w:rPr>
                <w:rFonts w:cs="Arial"/>
                <w:color w:val="FFFFFF"/>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Resources</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color w:val="FFFFFF"/>
                <w:sz w:val="22"/>
                <w:szCs w:val="22"/>
              </w:rPr>
              <w:t>Division/Section:</w:t>
            </w:r>
            <w:r>
              <w:rPr>
                <w:rFonts w:cs="Arial"/>
                <w:color w:val="FFFFFF"/>
                <w:sz w:val="22"/>
                <w:szCs w:val="22"/>
              </w:rPr>
              <w:t xml:space="preserve"> </w:t>
            </w:r>
          </w:p>
          <w:p>
            <w:pPr>
              <w:pStyle w:val="Normal"/>
              <w:rPr>
                <w:rFonts w:cs="Arial"/>
                <w:color w:val="FFFFFF"/>
                <w:sz w:val="22"/>
                <w:szCs w:val="22"/>
              </w:rPr>
            </w:pPr>
            <w:r>
              <w:rPr>
                <w:rFonts w:cs="Arial"/>
                <w:color w:val="FFFFFF"/>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 xml:space="preserve">HR &amp; OD </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 xml:space="preserve">Grade:  </w:t>
            </w:r>
          </w:p>
          <w:p>
            <w:pPr>
              <w:pStyle w:val="Normal"/>
              <w:rPr>
                <w:rFonts w:cs="Arial"/>
                <w:color w:val="FFFFFF"/>
                <w:sz w:val="22"/>
                <w:szCs w:val="22"/>
              </w:rPr>
            </w:pPr>
            <w:r>
              <w:rPr>
                <w:rFonts w:cs="Arial"/>
                <w:color w:val="FFFFFF"/>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6</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color w:val="FFFFFF"/>
                <w:szCs w:val="22"/>
              </w:rPr>
            </w:pPr>
            <w:r>
              <w:rPr>
                <w:rFonts w:cs="Arial"/>
                <w:b/>
                <w:color w:val="FFFFFF"/>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1922</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color w:val="FFFFFF"/>
                <w:sz w:val="22"/>
                <w:szCs w:val="22"/>
              </w:rPr>
            </w:pPr>
            <w:r>
              <w:rPr>
                <w:rFonts w:cs="Arial"/>
                <w:b/>
                <w:bCs/>
                <w:color w:val="FFFFFF"/>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Arial"/>
                <w:color w:val="000000"/>
                <w:sz w:val="22"/>
                <w:szCs w:val="22"/>
                <w:lang w:eastAsia="en-GB"/>
              </w:rPr>
              <w:t xml:space="preserve">Ensure that </w:t>
            </w:r>
            <w:r>
              <w:rPr>
                <w:rFonts w:cs="Arial"/>
                <w:sz w:val="22"/>
                <w:szCs w:val="22"/>
                <w:lang w:eastAsia="en-GB"/>
              </w:rPr>
              <w:t xml:space="preserve">managers and employees across the organisation have access to information, advice and guidance on all Employee Relations matters through policies, toolkits, advice, training and support. </w:t>
            </w:r>
          </w:p>
          <w:p>
            <w:pPr>
              <w:pStyle w:val="Normal"/>
              <w:jc w:val="both"/>
              <w:rPr>
                <w:rFonts w:cs="Arial"/>
                <w:bCs/>
                <w:sz w:val="22"/>
                <w:szCs w:val="22"/>
              </w:rPr>
            </w:pPr>
            <w:r>
              <w:rPr>
                <w:rFonts w:cs="Arial"/>
                <w:bCs/>
                <w:sz w:val="22"/>
                <w:szCs w:val="22"/>
              </w:rPr>
            </w:r>
          </w:p>
          <w:p>
            <w:pPr>
              <w:pStyle w:val="Normal"/>
              <w:jc w:val="both"/>
              <w:rPr>
                <w:rFonts w:cs="Arial"/>
                <w:bCs/>
                <w:sz w:val="22"/>
                <w:szCs w:val="22"/>
              </w:rPr>
            </w:pPr>
            <w:r>
              <w:rPr>
                <w:rFonts w:cs="Arial"/>
                <w:bCs/>
                <w:sz w:val="22"/>
                <w:szCs w:val="22"/>
              </w:rPr>
              <w:t>Contribute to improved employee relations outcomes, including timely case resolution, reduction in formal interventions, and enhanced manager capability.</w:t>
            </w:r>
          </w:p>
          <w:p>
            <w:pPr>
              <w:pStyle w:val="Normal"/>
              <w:rPr>
                <w:rFonts w:cs="Arial"/>
                <w:bCs/>
                <w:sz w:val="22"/>
                <w:szCs w:val="22"/>
              </w:rPr>
            </w:pPr>
            <w:r>
              <w:rPr>
                <w:rFonts w:cs="Arial"/>
                <w:bCs/>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color w:val="FFFFFF"/>
                <w:sz w:val="22"/>
                <w:szCs w:val="22"/>
              </w:rPr>
            </w:pPr>
            <w:r>
              <w:rPr>
                <w:rFonts w:cs="Arial"/>
                <w:b/>
                <w:bCs/>
                <w:color w:val="FFFFFF"/>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spacing w:lineRule="auto" w:line="276" w:before="120" w:after="120"/>
              <w:jc w:val="both"/>
              <w:rPr/>
            </w:pPr>
            <w:r>
              <w:rPr>
                <w:rFonts w:cs="Arial"/>
                <w:sz w:val="22"/>
                <w:szCs w:val="22"/>
                <w:lang w:eastAsia="en-GB"/>
              </w:rPr>
              <w:t xml:space="preserve">Act as the first point of contact and provide first line advice and support to managers across the organisation on a range of HR enquiries, in accordance with relevant </w:t>
            </w:r>
            <w:r>
              <w:rPr>
                <w:rFonts w:cs="Arial"/>
                <w:color w:val="000000"/>
                <w:sz w:val="22"/>
                <w:szCs w:val="22"/>
                <w:lang w:eastAsia="en-GB"/>
              </w:rPr>
              <w:t>legislation</w:t>
            </w:r>
            <w:r>
              <w:rPr>
                <w:rFonts w:cs="Arial"/>
                <w:sz w:val="22"/>
                <w:szCs w:val="22"/>
                <w:lang w:eastAsia="en-GB"/>
              </w:rPr>
              <w:t>, policy and practice.</w:t>
            </w:r>
          </w:p>
          <w:p>
            <w:pPr>
              <w:pStyle w:val="Normal"/>
              <w:spacing w:lineRule="auto" w:line="276" w:before="120" w:after="120"/>
              <w:jc w:val="both"/>
              <w:rPr>
                <w:rFonts w:cs="Arial"/>
                <w:b/>
                <w:bCs/>
                <w:sz w:val="22"/>
                <w:szCs w:val="22"/>
                <w:lang w:eastAsia="en-GB"/>
              </w:rPr>
            </w:pPr>
            <w:r>
              <w:rPr>
                <w:rFonts w:cs="Arial"/>
                <w:b/>
                <w:bCs/>
                <w:sz w:val="22"/>
                <w:szCs w:val="22"/>
                <w:lang w:eastAsia="en-GB"/>
              </w:rPr>
              <w:t>Employee Relations Casework</w:t>
            </w:r>
          </w:p>
          <w:p>
            <w:pPr>
              <w:pStyle w:val="Normal"/>
              <w:spacing w:lineRule="auto" w:line="276" w:before="120" w:after="120"/>
              <w:jc w:val="both"/>
              <w:rPr>
                <w:rFonts w:cs="Arial"/>
                <w:sz w:val="22"/>
                <w:szCs w:val="22"/>
                <w:lang w:eastAsia="en-GB"/>
              </w:rPr>
            </w:pPr>
            <w:r>
              <w:rPr>
                <w:rFonts w:cs="Arial"/>
                <w:sz w:val="22"/>
                <w:szCs w:val="22"/>
                <w:lang w:eastAsia="en-GB"/>
              </w:rPr>
              <w:t>Manage efficiently and effectively an employee relations caseload ensuring work is organised, prioritised and delivered in line with policy and legislative requirements and best practice.</w:t>
            </w:r>
          </w:p>
          <w:p>
            <w:pPr>
              <w:pStyle w:val="Normal"/>
              <w:spacing w:before="120" w:after="0"/>
              <w:rPr>
                <w:rFonts w:eastAsia="Arial" w:cs="Arial"/>
                <w:color w:val="000000"/>
                <w:sz w:val="22"/>
                <w:szCs w:val="20"/>
              </w:rPr>
            </w:pPr>
            <w:r>
              <w:rPr>
                <w:rFonts w:eastAsia="Arial" w:cs="Arial"/>
                <w:color w:val="000000"/>
                <w:sz w:val="22"/>
                <w:szCs w:val="20"/>
              </w:rPr>
              <w:t>Advise and guide managers on the effective resolution of a range of employee relations issues including:</w:t>
            </w:r>
          </w:p>
          <w:p>
            <w:pPr>
              <w:pStyle w:val="Normal"/>
              <w:numPr>
                <w:ilvl w:val="1"/>
                <w:numId w:val="2"/>
              </w:numPr>
              <w:spacing w:lineRule="auto" w:line="276" w:before="240" w:after="240"/>
              <w:contextualSpacing/>
              <w:rPr/>
            </w:pPr>
            <w:r>
              <w:rPr>
                <w:rFonts w:eastAsia="Arial" w:cs="Arial"/>
                <w:color w:val="000000"/>
                <w:sz w:val="22"/>
                <w:szCs w:val="22"/>
              </w:rPr>
              <w:t>Management of probation</w:t>
            </w:r>
          </w:p>
          <w:p>
            <w:pPr>
              <w:pStyle w:val="Normal"/>
              <w:numPr>
                <w:ilvl w:val="1"/>
                <w:numId w:val="2"/>
              </w:numPr>
              <w:spacing w:lineRule="auto" w:line="276" w:before="240" w:after="240"/>
              <w:contextualSpacing/>
              <w:rPr/>
            </w:pPr>
            <w:r>
              <w:rPr>
                <w:rFonts w:eastAsia="Arial" w:cs="Arial"/>
                <w:color w:val="000000"/>
                <w:sz w:val="22"/>
                <w:szCs w:val="22"/>
              </w:rPr>
              <w:t xml:space="preserve">Improving attendance at work and reasonable adjustments </w:t>
            </w:r>
          </w:p>
          <w:p>
            <w:pPr>
              <w:pStyle w:val="Normal"/>
              <w:numPr>
                <w:ilvl w:val="1"/>
                <w:numId w:val="2"/>
              </w:numPr>
              <w:spacing w:lineRule="auto" w:line="276" w:before="240" w:after="240"/>
              <w:contextualSpacing/>
              <w:rPr/>
            </w:pPr>
            <w:r>
              <w:rPr>
                <w:rFonts w:eastAsia="Arial" w:cs="Arial"/>
                <w:color w:val="000000"/>
                <w:sz w:val="22"/>
                <w:szCs w:val="22"/>
              </w:rPr>
              <w:t>Ill health retirement</w:t>
            </w:r>
          </w:p>
          <w:p>
            <w:pPr>
              <w:pStyle w:val="Normal"/>
              <w:numPr>
                <w:ilvl w:val="1"/>
                <w:numId w:val="2"/>
              </w:numPr>
              <w:spacing w:lineRule="auto" w:line="276" w:before="240" w:after="240"/>
              <w:contextualSpacing/>
              <w:rPr/>
            </w:pPr>
            <w:r>
              <w:rPr>
                <w:rFonts w:eastAsia="Arial" w:cs="Arial"/>
                <w:color w:val="000000"/>
                <w:sz w:val="22"/>
                <w:szCs w:val="22"/>
              </w:rPr>
              <w:t>Flexible Retirement</w:t>
            </w:r>
          </w:p>
          <w:p>
            <w:pPr>
              <w:pStyle w:val="Normal"/>
              <w:numPr>
                <w:ilvl w:val="1"/>
                <w:numId w:val="2"/>
              </w:numPr>
              <w:spacing w:lineRule="auto" w:line="276" w:before="240" w:after="240"/>
              <w:contextualSpacing/>
              <w:rPr/>
            </w:pPr>
            <w:r>
              <w:rPr>
                <w:rFonts w:eastAsia="Arial" w:cs="Arial"/>
                <w:color w:val="000000"/>
                <w:sz w:val="22"/>
                <w:szCs w:val="22"/>
              </w:rPr>
              <w:t xml:space="preserve">Redeployment </w:t>
            </w:r>
          </w:p>
          <w:p>
            <w:pPr>
              <w:pStyle w:val="Normal"/>
              <w:spacing w:lineRule="auto" w:line="276" w:before="120" w:after="120"/>
              <w:jc w:val="both"/>
              <w:rPr>
                <w:rFonts w:cs="Arial"/>
                <w:sz w:val="22"/>
                <w:szCs w:val="22"/>
                <w:lang w:eastAsia="en-GB"/>
              </w:rPr>
            </w:pPr>
            <w:r>
              <w:rPr>
                <w:rFonts w:cs="Arial"/>
                <w:sz w:val="22"/>
                <w:szCs w:val="22"/>
                <w:lang w:eastAsia="en-GB"/>
              </w:rPr>
              <w:t>Maintain accurate and comprehensive case notes and files in order to ensure legal and procedural compliance and allow for monitoring and evaluation of the ER activity. Ensure appropriate trackers are maintained at all times, including casework and Section 188 tracker.</w:t>
            </w:r>
          </w:p>
          <w:p>
            <w:pPr>
              <w:pStyle w:val="Normal"/>
              <w:spacing w:lineRule="auto" w:line="276" w:before="120" w:after="120"/>
              <w:jc w:val="both"/>
              <w:rPr>
                <w:rFonts w:cs="Arial"/>
                <w:sz w:val="22"/>
                <w:szCs w:val="22"/>
                <w:lang w:eastAsia="en-GB"/>
              </w:rPr>
            </w:pPr>
            <w:r>
              <w:rPr>
                <w:rFonts w:cs="Arial"/>
                <w:sz w:val="22"/>
                <w:szCs w:val="22"/>
                <w:lang w:eastAsia="en-GB"/>
              </w:rPr>
              <w:t xml:space="preserve">Escalate cases to the Senior HR Advisor in line with the team escalation framework. </w:t>
            </w:r>
          </w:p>
          <w:p>
            <w:pPr>
              <w:pStyle w:val="Normal"/>
              <w:spacing w:lineRule="auto" w:line="276" w:before="120" w:after="120"/>
              <w:jc w:val="both"/>
              <w:rPr>
                <w:rFonts w:cs="Arial"/>
                <w:sz w:val="22"/>
                <w:szCs w:val="22"/>
                <w:lang w:eastAsia="en-GB"/>
              </w:rPr>
            </w:pPr>
            <w:r>
              <w:rPr>
                <w:rFonts w:cs="Arial"/>
                <w:sz w:val="22"/>
                <w:szCs w:val="22"/>
                <w:lang w:eastAsia="en-GB"/>
              </w:rPr>
              <w:t>Provide advice and guidance across multiple sets of terms and conditions of employment and pay scales across the organisation.</w:t>
            </w:r>
          </w:p>
          <w:p>
            <w:pPr>
              <w:pStyle w:val="Normal"/>
              <w:spacing w:lineRule="auto" w:line="276" w:before="120" w:after="120"/>
              <w:jc w:val="both"/>
              <w:rPr>
                <w:rFonts w:cs="Arial"/>
                <w:b/>
                <w:bCs/>
                <w:sz w:val="22"/>
                <w:szCs w:val="22"/>
                <w:lang w:eastAsia="en-GB"/>
              </w:rPr>
            </w:pPr>
            <w:r>
              <w:rPr>
                <w:rFonts w:cs="Arial"/>
                <w:b/>
                <w:bCs/>
                <w:sz w:val="22"/>
                <w:szCs w:val="22"/>
                <w:lang w:eastAsia="en-GB"/>
              </w:rPr>
              <w:t>Manager Support &amp; Coaching</w:t>
            </w:r>
          </w:p>
          <w:p>
            <w:pPr>
              <w:pStyle w:val="Normal"/>
              <w:spacing w:lineRule="auto" w:line="276" w:before="120" w:after="120"/>
              <w:jc w:val="both"/>
              <w:rPr>
                <w:rFonts w:cs="Arial"/>
                <w:sz w:val="22"/>
                <w:szCs w:val="22"/>
                <w:lang w:eastAsia="en-GB"/>
              </w:rPr>
            </w:pPr>
            <w:r>
              <w:rPr>
                <w:rFonts w:cs="Arial"/>
                <w:sz w:val="22"/>
                <w:szCs w:val="22"/>
                <w:lang w:eastAsia="en-GB"/>
              </w:rPr>
              <w:t>Build effective relationships with managers to enable timely and effective resolution of people issues.</w:t>
            </w:r>
          </w:p>
          <w:p>
            <w:pPr>
              <w:pStyle w:val="Normal"/>
              <w:spacing w:lineRule="auto" w:line="276" w:before="120" w:after="120"/>
              <w:jc w:val="both"/>
              <w:rPr>
                <w:rFonts w:cs="Arial"/>
                <w:sz w:val="22"/>
                <w:szCs w:val="22"/>
                <w:lang w:eastAsia="en-GB"/>
              </w:rPr>
            </w:pPr>
            <w:r>
              <w:rPr>
                <w:rFonts w:cs="Arial"/>
                <w:sz w:val="22"/>
                <w:szCs w:val="22"/>
                <w:lang w:eastAsia="en-GB"/>
              </w:rPr>
              <w:t>Provide guidance to managers in the preparation of various ER documentation including letters and management reports across the range of ER case types.</w:t>
            </w:r>
          </w:p>
          <w:p>
            <w:pPr>
              <w:pStyle w:val="Normal"/>
              <w:spacing w:lineRule="auto" w:line="276" w:before="120" w:after="120"/>
              <w:jc w:val="both"/>
              <w:rPr>
                <w:rFonts w:cs="Arial"/>
                <w:sz w:val="22"/>
                <w:szCs w:val="22"/>
                <w:lang w:eastAsia="en-GB"/>
              </w:rPr>
            </w:pPr>
            <w:r>
              <w:rPr>
                <w:rFonts w:cs="Arial"/>
                <w:sz w:val="22"/>
                <w:szCs w:val="22"/>
                <w:lang w:eastAsia="en-GB"/>
              </w:rPr>
              <w:t>Attend hearings to advise and support the manager in their presentation.</w:t>
            </w:r>
          </w:p>
          <w:p>
            <w:pPr>
              <w:pStyle w:val="Normal"/>
              <w:spacing w:lineRule="auto" w:line="276" w:before="120" w:after="120"/>
              <w:jc w:val="both"/>
              <w:rPr>
                <w:rFonts w:cs="Arial"/>
                <w:sz w:val="22"/>
                <w:szCs w:val="22"/>
                <w:lang w:eastAsia="en-GB"/>
              </w:rPr>
            </w:pPr>
            <w:r>
              <w:rPr>
                <w:rFonts w:cs="Arial"/>
                <w:sz w:val="22"/>
                <w:szCs w:val="22"/>
                <w:lang w:eastAsia="en-GB"/>
              </w:rPr>
              <w:t>Deliver training on all ER matters to managers across the organisation.</w:t>
            </w:r>
          </w:p>
          <w:p>
            <w:pPr>
              <w:pStyle w:val="Normal"/>
              <w:spacing w:lineRule="auto" w:line="276" w:before="120" w:after="120"/>
              <w:jc w:val="both"/>
              <w:rPr>
                <w:rFonts w:cs="Arial"/>
                <w:b/>
                <w:bCs/>
                <w:sz w:val="22"/>
                <w:szCs w:val="22"/>
                <w:lang w:eastAsia="en-GB"/>
              </w:rPr>
            </w:pPr>
            <w:r>
              <w:rPr>
                <w:rFonts w:cs="Arial"/>
                <w:b/>
                <w:bCs/>
                <w:sz w:val="22"/>
                <w:szCs w:val="22"/>
                <w:lang w:eastAsia="en-GB"/>
              </w:rPr>
              <w:t>Resolution Culture</w:t>
            </w:r>
          </w:p>
          <w:p>
            <w:pPr>
              <w:pStyle w:val="Normal"/>
              <w:spacing w:lineRule="auto" w:line="276" w:before="120" w:after="120"/>
              <w:jc w:val="both"/>
              <w:rPr>
                <w:rFonts w:cs="Arial"/>
                <w:sz w:val="22"/>
                <w:szCs w:val="22"/>
                <w:lang w:eastAsia="en-GB"/>
              </w:rPr>
            </w:pPr>
            <w:r>
              <w:rPr>
                <w:rFonts w:cs="Arial"/>
                <w:sz w:val="22"/>
                <w:szCs w:val="22"/>
                <w:lang w:eastAsia="en-GB"/>
              </w:rPr>
              <w:t>Promote early and informal resolution approaches to minimise formal escalation and support positive employment relationships. Promote a resolution approach in all ER activities through policies, toolkits, templates, advice and interactions.</w:t>
            </w:r>
          </w:p>
          <w:p>
            <w:pPr>
              <w:pStyle w:val="Normal"/>
              <w:spacing w:lineRule="auto" w:line="276" w:before="120" w:after="120"/>
              <w:jc w:val="both"/>
              <w:rPr>
                <w:rFonts w:cs="Arial"/>
                <w:sz w:val="22"/>
                <w:szCs w:val="22"/>
                <w:lang w:eastAsia="en-GB"/>
              </w:rPr>
            </w:pPr>
            <w:r>
              <w:rPr>
                <w:rFonts w:cs="Arial"/>
                <w:sz w:val="22"/>
                <w:szCs w:val="22"/>
                <w:lang w:eastAsia="en-GB"/>
              </w:rPr>
              <w:t xml:space="preserve">Recommend, arrange and deliver formal mediation, facilitated conversations and shuttle communications to resolve conflict and promote a resolution culture.   </w:t>
            </w:r>
          </w:p>
          <w:p>
            <w:pPr>
              <w:pStyle w:val="Normal"/>
              <w:spacing w:lineRule="auto" w:line="276" w:before="120" w:after="120"/>
              <w:jc w:val="both"/>
              <w:rPr>
                <w:rFonts w:cs="Arial"/>
                <w:b/>
                <w:bCs/>
                <w:sz w:val="22"/>
                <w:szCs w:val="22"/>
                <w:lang w:eastAsia="en-GB"/>
              </w:rPr>
            </w:pPr>
            <w:r>
              <w:rPr>
                <w:rFonts w:cs="Arial"/>
                <w:b/>
                <w:bCs/>
                <w:sz w:val="22"/>
                <w:szCs w:val="22"/>
                <w:lang w:eastAsia="en-GB"/>
              </w:rPr>
              <w:t>Service Improvement &amp; Innovation</w:t>
            </w:r>
          </w:p>
          <w:p>
            <w:pPr>
              <w:pStyle w:val="Normal"/>
              <w:spacing w:lineRule="auto" w:line="276" w:before="120" w:after="120"/>
              <w:jc w:val="both"/>
              <w:rPr>
                <w:rFonts w:cs="Arial"/>
                <w:sz w:val="22"/>
                <w:szCs w:val="22"/>
                <w:lang w:eastAsia="en-GB"/>
              </w:rPr>
            </w:pPr>
            <w:r>
              <w:rPr>
                <w:rFonts w:cs="Arial"/>
                <w:sz w:val="22"/>
                <w:szCs w:val="22"/>
                <w:lang w:eastAsia="en-GB"/>
              </w:rPr>
              <w:t>Contribute to a culture of continuous improvement in HR by identifying and acting on opportunities to improve consistency, compliance and to make the service user friendly for all.</w:t>
            </w:r>
          </w:p>
          <w:p>
            <w:pPr>
              <w:pStyle w:val="Normal"/>
              <w:spacing w:lineRule="auto" w:line="276" w:before="120" w:after="120"/>
              <w:jc w:val="both"/>
              <w:rPr>
                <w:rFonts w:cs="Arial"/>
                <w:sz w:val="22"/>
                <w:szCs w:val="22"/>
                <w:lang w:eastAsia="en-GB"/>
              </w:rPr>
            </w:pPr>
            <w:r>
              <w:rPr>
                <w:rFonts w:cs="Arial"/>
                <w:sz w:val="22"/>
                <w:szCs w:val="22"/>
                <w:lang w:eastAsia="en-GB"/>
              </w:rPr>
              <w:t>Contribute to effective team working through colleague interaction and support, sharing learning, knowledge, skills and best practice.</w:t>
            </w:r>
          </w:p>
          <w:p>
            <w:pPr>
              <w:pStyle w:val="Normal"/>
              <w:spacing w:lineRule="auto" w:line="276" w:before="120" w:after="120"/>
              <w:jc w:val="both"/>
              <w:rPr>
                <w:rFonts w:cs="Arial"/>
                <w:sz w:val="22"/>
                <w:szCs w:val="22"/>
                <w:lang w:eastAsia="en-GB"/>
              </w:rPr>
            </w:pPr>
            <w:r>
              <w:rPr>
                <w:rFonts w:cs="Arial"/>
                <w:sz w:val="22"/>
                <w:szCs w:val="22"/>
                <w:lang w:eastAsia="en-GB"/>
              </w:rPr>
              <w:t>Identify opportunities for AI and automation in the service in order to improve compliance, efficiency and customer experience.</w:t>
            </w:r>
          </w:p>
          <w:p>
            <w:pPr>
              <w:pStyle w:val="Normal"/>
              <w:spacing w:lineRule="auto" w:line="276" w:before="120" w:after="120"/>
              <w:jc w:val="both"/>
              <w:rPr>
                <w:rFonts w:cs="Arial"/>
                <w:sz w:val="22"/>
                <w:szCs w:val="22"/>
                <w:lang w:eastAsia="en-GB"/>
              </w:rPr>
            </w:pPr>
            <w:r>
              <w:rPr>
                <w:rFonts w:cs="Arial"/>
                <w:sz w:val="22"/>
                <w:szCs w:val="22"/>
                <w:lang w:eastAsia="en-GB"/>
              </w:rPr>
              <w:t xml:space="preserve">Monitor and analyse ER KPIs and other data to make recommendations for improvement. </w:t>
            </w:r>
          </w:p>
          <w:p>
            <w:pPr>
              <w:pStyle w:val="Normal"/>
              <w:spacing w:lineRule="auto" w:line="276" w:before="120" w:after="120"/>
              <w:jc w:val="both"/>
              <w:rPr>
                <w:rFonts w:cs="Arial"/>
                <w:sz w:val="22"/>
                <w:szCs w:val="22"/>
                <w:lang w:eastAsia="en-GB"/>
              </w:rPr>
            </w:pPr>
            <w:r>
              <w:rPr>
                <w:rFonts w:cs="Arial"/>
                <w:sz w:val="22"/>
                <w:szCs w:val="22"/>
                <w:lang w:eastAsia="en-GB"/>
              </w:rPr>
              <w:t>Contribute to the delivery of the Oldham People &amp; Culture Strategy and HR and OD annual objectives.</w:t>
            </w:r>
          </w:p>
          <w:p>
            <w:pPr>
              <w:pStyle w:val="Normal"/>
              <w:spacing w:lineRule="auto" w:line="276" w:before="120" w:after="120"/>
              <w:jc w:val="both"/>
              <w:rPr>
                <w:rFonts w:cs="Arial"/>
                <w:sz w:val="22"/>
                <w:szCs w:val="22"/>
                <w:lang w:eastAsia="en-GB"/>
              </w:rPr>
            </w:pPr>
            <w:r>
              <w:rPr>
                <w:rFonts w:cs="Arial"/>
                <w:sz w:val="22"/>
                <w:szCs w:val="22"/>
                <w:lang w:eastAsia="en-GB"/>
              </w:rPr>
              <w:t xml:space="preserve">Develop and review policies, toolkits, templates and guidance documents on all employee relations subject matters and ensure the Intranet pages are user friendly and up to date. </w:t>
            </w:r>
          </w:p>
          <w:p>
            <w:pPr>
              <w:pStyle w:val="Normal"/>
              <w:spacing w:lineRule="auto" w:line="276" w:before="120" w:after="120"/>
              <w:jc w:val="both"/>
              <w:rPr>
                <w:rFonts w:cs="Arial"/>
                <w:b/>
                <w:bCs/>
                <w:sz w:val="22"/>
                <w:szCs w:val="22"/>
                <w:lang w:eastAsia="en-GB"/>
              </w:rPr>
            </w:pPr>
            <w:r>
              <w:rPr>
                <w:rFonts w:cs="Arial"/>
                <w:b/>
                <w:bCs/>
                <w:sz w:val="22"/>
                <w:szCs w:val="22"/>
                <w:lang w:eastAsia="en-GB"/>
              </w:rPr>
              <w:t>Other Activities</w:t>
            </w:r>
          </w:p>
          <w:p>
            <w:pPr>
              <w:pStyle w:val="Normal"/>
              <w:spacing w:lineRule="auto" w:line="276" w:before="120" w:after="120"/>
              <w:jc w:val="both"/>
              <w:rPr>
                <w:rFonts w:cs="Arial"/>
                <w:sz w:val="22"/>
                <w:szCs w:val="22"/>
                <w:lang w:eastAsia="en-GB"/>
              </w:rPr>
            </w:pPr>
            <w:r>
              <w:rPr>
                <w:rFonts w:cs="Arial"/>
                <w:sz w:val="22"/>
                <w:szCs w:val="22"/>
                <w:lang w:eastAsia="en-GB"/>
              </w:rPr>
              <w:t>Participate in job evaluation exercises (Hay and JNC) in relation to new and amended posts and grading appeals.</w:t>
            </w:r>
          </w:p>
          <w:p>
            <w:pPr>
              <w:pStyle w:val="Normal"/>
              <w:spacing w:lineRule="auto" w:line="276" w:before="120" w:after="120"/>
              <w:jc w:val="both"/>
              <w:rPr>
                <w:rFonts w:cs="Arial"/>
                <w:sz w:val="22"/>
                <w:szCs w:val="22"/>
                <w:lang w:eastAsia="en-GB"/>
              </w:rPr>
            </w:pPr>
            <w:r>
              <w:rPr>
                <w:rFonts w:cs="Arial"/>
                <w:sz w:val="22"/>
                <w:szCs w:val="22"/>
                <w:lang w:eastAsia="en-GB"/>
              </w:rPr>
              <w:t xml:space="preserve">Act as the main point of contact for redeployment activity for the allocated service areas by ensuring completion of skills audit forms, monitoring vacancies and arranging redeployment interviews. </w:t>
            </w:r>
          </w:p>
          <w:p>
            <w:pPr>
              <w:pStyle w:val="Normal"/>
              <w:spacing w:lineRule="auto" w:line="276" w:before="0" w:after="200"/>
              <w:jc w:val="both"/>
              <w:rPr>
                <w:rFonts w:cs="Arial"/>
                <w:color w:val="000000"/>
                <w:sz w:val="22"/>
                <w:szCs w:val="22"/>
                <w:lang w:eastAsia="en-GB"/>
              </w:rPr>
            </w:pPr>
            <w:r>
              <w:rPr>
                <w:rFonts w:cs="Arial"/>
                <w:color w:val="000000"/>
                <w:sz w:val="22"/>
                <w:szCs w:val="22"/>
                <w:lang w:eastAsia="en-GB"/>
              </w:rPr>
              <w:t>Attend strategy meetings with multi agency attendees to progress safeguarding concerns.</w:t>
            </w:r>
          </w:p>
          <w:p>
            <w:pPr>
              <w:pStyle w:val="Normal"/>
              <w:spacing w:lineRule="auto" w:line="276" w:before="0" w:after="200"/>
              <w:jc w:val="both"/>
              <w:rPr>
                <w:rFonts w:cs="Arial"/>
                <w:color w:val="000000"/>
                <w:sz w:val="22"/>
                <w:szCs w:val="22"/>
                <w:lang w:eastAsia="en-GB"/>
              </w:rPr>
            </w:pPr>
            <w:r>
              <w:rPr>
                <w:rFonts w:cs="Arial"/>
                <w:color w:val="000000"/>
                <w:sz w:val="22"/>
                <w:szCs w:val="22"/>
                <w:lang w:eastAsia="en-GB"/>
              </w:rPr>
              <w:t xml:space="preserve">Coordinate responses to DSAR, FOI and other requests for information. </w:t>
            </w:r>
          </w:p>
          <w:p>
            <w:pPr>
              <w:pStyle w:val="Normal"/>
              <w:spacing w:lineRule="auto" w:line="276" w:before="120" w:after="120"/>
              <w:jc w:val="both"/>
              <w:rPr>
                <w:rFonts w:cs="Arial"/>
                <w:sz w:val="22"/>
                <w:szCs w:val="22"/>
                <w:lang w:eastAsia="en-GB"/>
              </w:rPr>
            </w:pPr>
            <w:r>
              <w:rPr>
                <w:rFonts w:cs="Arial"/>
                <w:sz w:val="22"/>
                <w:szCs w:val="22"/>
                <w:lang w:eastAsia="en-GB"/>
              </w:rPr>
              <w:t>Liaise effectively with all stakeholders (Service Managers, Head Teachers, School Business Managers, Strategic Business Partners, Trade Unions, Governors, Council Employees, Payroll and HR Administration, Unity Partnership, MioCare, Oldham Cares).</w:t>
            </w:r>
          </w:p>
          <w:p>
            <w:pPr>
              <w:pStyle w:val="paragraph"/>
              <w:spacing w:before="0" w:after="0"/>
              <w:jc w:val="both"/>
              <w:textAlignment w:val="baseline"/>
              <w:rPr>
                <w:rFonts w:ascii="Arial" w:hAnsi="Arial" w:cs="Arial"/>
                <w:sz w:val="22"/>
                <w:szCs w:val="22"/>
              </w:rPr>
            </w:pPr>
            <w:r>
              <w:rPr>
                <w:rFonts w:cs="Arial" w:ascii="Arial" w:hAnsi="Arial"/>
                <w:sz w:val="22"/>
                <w:szCs w:val="22"/>
              </w:rPr>
              <w:t xml:space="preserve">Promote HR and OD services, proactively identifying opportunities to improve service delivery and customer experience. </w:t>
            </w:r>
          </w:p>
        </w:tc>
      </w:tr>
    </w:tbl>
    <w:p>
      <w:pPr>
        <w:pStyle w:val="Normal"/>
        <w:jc w:val="both"/>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color w:val="FFFFFF"/>
                <w:sz w:val="22"/>
                <w:szCs w:val="22"/>
              </w:rPr>
            </w:pPr>
            <w:r>
              <w:rPr>
                <w:rFonts w:cs="Arial"/>
                <w:b/>
                <w:color w:val="FFFFFF"/>
                <w:sz w:val="22"/>
                <w:szCs w:val="22"/>
              </w:rPr>
              <w:t>Standard Duties:</w:t>
            </w:r>
          </w:p>
          <w:p>
            <w:pPr>
              <w:pStyle w:val="Normal"/>
              <w:jc w:val="both"/>
              <w:rPr>
                <w:rFonts w:cs="Arial"/>
                <w:color w:val="FFFFFF"/>
                <w:sz w:val="22"/>
                <w:szCs w:val="22"/>
              </w:rPr>
            </w:pPr>
            <w:r>
              <w:rPr>
                <w:rFonts w:cs="Arial"/>
                <w:color w:val="FFFFFF"/>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color w:val="FFFFFF"/>
                <w:sz w:val="22"/>
                <w:szCs w:val="22"/>
              </w:rPr>
            </w:pPr>
            <w:r>
              <w:rPr>
                <w:rFonts w:cs="Arial"/>
                <w:color w:val="FFFFFF"/>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r>
          </w:p>
          <w:p>
            <w:pPr>
              <w:pStyle w:val="Normal"/>
              <w:jc w:val="both"/>
              <w:rPr>
                <w:rFonts w:cs="Arial"/>
                <w:sz w:val="22"/>
                <w:szCs w:val="22"/>
                <w:lang w:eastAsia="en-GB"/>
              </w:rPr>
            </w:pPr>
            <w:r>
              <w:rPr>
                <w:rFonts w:cs="Arial"/>
                <w:sz w:val="22"/>
                <w:szCs w:val="22"/>
                <w:lang w:eastAsia="en-GB"/>
              </w:rPr>
              <w:t>Employees and workers of #TeamOldham e.g. Council employees, Unity Partnership, MioCare, Oldham Cares, Oldham Schools and Academies, CCG, colleagues in other local government and other public sector bodies, employee benefits providers, Greater Manchester Pension Fund.</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bookmarkStart w:id="0" w:name="_Hlk95121094"/>
      <w:bookmarkStart w:id="1" w:name="_Hlk95121094"/>
      <w:bookmarkEnd w:id="1"/>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color w:val="FFFFFF"/>
                <w:szCs w:val="22"/>
              </w:rPr>
            </w:pPr>
            <w:r>
              <w:rPr>
                <w:rFonts w:cs="Arial"/>
                <w:color w:val="FFFFFF"/>
                <w:szCs w:val="22"/>
              </w:rPr>
              <w:t>Relationship To Other Posts In The Department:</w:t>
            </w:r>
          </w:p>
          <w:p>
            <w:pPr>
              <w:pStyle w:val="Normal"/>
              <w:rPr>
                <w:rFonts w:cs="Arial"/>
                <w:color w:val="FFFFFF"/>
                <w:sz w:val="22"/>
                <w:szCs w:val="22"/>
              </w:rPr>
            </w:pPr>
            <w:r>
              <w:rPr>
                <w:rFonts w:cs="Arial"/>
                <w:color w:val="FFFFFF"/>
                <w:sz w:val="22"/>
                <w:szCs w:val="22"/>
              </w:rPr>
            </w:r>
          </w:p>
        </w:tc>
      </w:tr>
      <w:tr>
        <w:trPr>
          <w:trHeight w:val="518" w:hRule="atLeast"/>
        </w:trPr>
        <w:tc>
          <w:tcPr>
            <w:tcW w:w="2106" w:type="dxa"/>
            <w:tcBorders>
              <w:top w:val="single" w:sz="4" w:space="0" w:color="000000"/>
              <w:lef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right w:val="single" w:sz="4" w:space="0" w:color="000000"/>
            </w:tcBorders>
          </w:tcPr>
          <w:p>
            <w:pPr>
              <w:pStyle w:val="BodyText"/>
              <w:rPr>
                <w:rFonts w:cs="Arial"/>
                <w:b w:val="false"/>
                <w:bCs/>
                <w:szCs w:val="22"/>
              </w:rPr>
            </w:pPr>
            <w:r>
              <w:rPr>
                <w:rFonts w:cs="Arial"/>
                <w:b w:val="false"/>
                <w:bCs/>
                <w:szCs w:val="22"/>
              </w:rPr>
              <w:t>Senior HR Advisor</w:t>
            </w:r>
          </w:p>
        </w:tc>
      </w:tr>
      <w:tr>
        <w:trPr>
          <w:trHeight w:val="517" w:hRule="atLeast"/>
        </w:trPr>
        <w:tc>
          <w:tcPr>
            <w:tcW w:w="2106" w:type="dxa"/>
            <w:tcBorders>
              <w:left w:val="single" w:sz="4" w:space="0" w:color="000000"/>
              <w:bottom w:val="single" w:sz="4" w:space="0" w:color="000000"/>
            </w:tcBorders>
          </w:tcPr>
          <w:p>
            <w:pPr>
              <w:pStyle w:val="Normal"/>
              <w:rPr>
                <w:rFonts w:cs="Arial"/>
                <w:b/>
                <w:sz w:val="22"/>
                <w:szCs w:val="22"/>
              </w:rPr>
            </w:pPr>
            <w:r>
              <w:rPr>
                <w:rFonts w:cs="Arial"/>
                <w:b/>
                <w:sz w:val="22"/>
                <w:szCs w:val="22"/>
              </w:rPr>
              <w:t>Responsible for:</w:t>
            </w:r>
          </w:p>
        </w:tc>
        <w:tc>
          <w:tcPr>
            <w:tcW w:w="8333" w:type="dxa"/>
            <w:tcBorders>
              <w:bottom w:val="single" w:sz="4" w:space="0" w:color="000000"/>
              <w:right w:val="single" w:sz="4" w:space="0" w:color="000000"/>
            </w:tcBorders>
          </w:tcPr>
          <w:p>
            <w:pPr>
              <w:pStyle w:val="Normal"/>
              <w:rPr>
                <w:rFonts w:cs="Arial"/>
                <w:sz w:val="22"/>
                <w:szCs w:val="22"/>
              </w:rPr>
            </w:pPr>
            <w:r>
              <w:rPr>
                <w:rFonts w:cs="Arial"/>
                <w:sz w:val="22"/>
                <w:szCs w:val="22"/>
              </w:rPr>
              <w:t>Assigned employees e.g. apprentices and placements as required</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sz w:val="22"/>
                <w:szCs w:val="22"/>
              </w:rPr>
            </w:pPr>
            <w:r>
              <w:rPr>
                <w:rFonts w:cs="Arial"/>
                <w:b/>
                <w:sz w:val="22"/>
                <w:szCs w:val="22"/>
              </w:rPr>
            </w:r>
          </w:p>
          <w:p>
            <w:pPr>
              <w:pStyle w:val="Normal"/>
              <w:rPr/>
            </w:pPr>
            <w:r>
              <w:rPr>
                <w:rFonts w:cs="Arial"/>
                <w:b/>
                <w:sz w:val="22"/>
                <w:szCs w:val="22"/>
              </w:rPr>
              <w:t xml:space="preserve">Special Conditions:  </w:t>
            </w:r>
            <w:r>
              <w:rPr>
                <w:rFonts w:cs="Arial"/>
                <w:bCs/>
                <w:sz w:val="22"/>
                <w:szCs w:val="22"/>
              </w:rPr>
              <w:t>None</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Values and Behaviours:</w:t>
            </w:r>
          </w:p>
          <w:p>
            <w:pPr>
              <w:pStyle w:val="Normal"/>
              <w:rPr>
                <w:rFonts w:cs="Arial"/>
                <w:b/>
                <w:color w:val="FFFFFF"/>
                <w:sz w:val="22"/>
                <w:szCs w:val="22"/>
              </w:rPr>
            </w:pPr>
            <w:r>
              <w:rPr>
                <w:rFonts w:cs="Arial"/>
                <w:b/>
                <w:color w:val="FFFFFF"/>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pacing w:before="0" w:after="280"/>
              <w:jc w:val="both"/>
              <w:rPr>
                <w:rFonts w:cs="Arial"/>
                <w:sz w:val="22"/>
                <w:szCs w:val="22"/>
                <w:lang w:val="en" w:eastAsia="en-GB"/>
              </w:rPr>
            </w:pPr>
            <w:r>
              <w:rPr>
                <w:rFonts w:cs="Arial"/>
                <w:sz w:val="22"/>
                <w:szCs w:val="22"/>
                <w:lang w:val="en" w:eastAsia="en-GB"/>
              </w:rPr>
              <w:t>By living our Values and Behaviours we will deliver the change we need to meet our Corporate ambitions for Oldham.</w:t>
            </w:r>
          </w:p>
          <w:p>
            <w:pPr>
              <w:pStyle w:val="Normal"/>
              <w:spacing w:before="280" w:after="280"/>
              <w:jc w:val="both"/>
              <w:rPr>
                <w:rFonts w:cs="Arial"/>
                <w:sz w:val="22"/>
                <w:szCs w:val="22"/>
                <w:lang w:val="en" w:eastAsia="en-GB"/>
              </w:rPr>
            </w:pPr>
            <w:r>
              <w:rPr>
                <w:rFonts w:cs="Arial"/>
                <w:sz w:val="22"/>
                <w:szCs w:val="22"/>
                <w:lang w:val="en" w:eastAsia="en-GB"/>
              </w:rPr>
              <w:t>Our Values:</w:t>
            </w:r>
          </w:p>
          <w:p>
            <w:pPr>
              <w:pStyle w:val="Normal"/>
              <w:spacing w:before="280" w:after="280"/>
              <w:jc w:val="both"/>
              <w:rPr>
                <w:rFonts w:cs="Arial"/>
                <w:b/>
                <w:bCs/>
                <w:sz w:val="22"/>
                <w:szCs w:val="22"/>
                <w:lang w:val="en" w:eastAsia="en-GB"/>
              </w:rPr>
            </w:pPr>
            <w:r>
              <w:rPr>
                <w:rFonts w:cs="Arial"/>
                <w:b/>
                <w:bCs/>
                <w:sz w:val="22"/>
                <w:szCs w:val="22"/>
                <w:lang w:val="en" w:eastAsia="en-GB"/>
              </w:rPr>
              <w:t>Proud</w:t>
            </w:r>
          </w:p>
          <w:p>
            <w:pPr>
              <w:pStyle w:val="Normal"/>
              <w:spacing w:before="280" w:after="280"/>
              <w:jc w:val="both"/>
              <w:rPr>
                <w:rFonts w:cs="Arial"/>
                <w:sz w:val="22"/>
                <w:szCs w:val="22"/>
                <w:lang w:val="en" w:eastAsia="en-GB"/>
              </w:rPr>
            </w:pPr>
            <w:r>
              <w:rPr>
                <w:rFonts w:cs="Arial"/>
                <w:sz w:val="22"/>
                <w:szCs w:val="22"/>
                <w:lang w:val="en" w:eastAsia="en-GB"/>
              </w:rPr>
              <w:t>We take pride not only in what we deliver for the residents of Oldham but also in how we deliver it.</w:t>
            </w:r>
          </w:p>
          <w:p>
            <w:pPr>
              <w:pStyle w:val="Normal"/>
              <w:spacing w:before="280" w:after="280"/>
              <w:jc w:val="both"/>
              <w:rPr>
                <w:rFonts w:cs="Arial"/>
                <w:b/>
                <w:bCs/>
                <w:sz w:val="22"/>
                <w:szCs w:val="22"/>
                <w:lang w:val="en" w:eastAsia="en-GB"/>
              </w:rPr>
            </w:pPr>
            <w:r>
              <w:rPr>
                <w:rFonts w:cs="Arial"/>
                <w:b/>
                <w:bCs/>
                <w:sz w:val="22"/>
                <w:szCs w:val="22"/>
                <w:lang w:val="en" w:eastAsia="en-GB"/>
              </w:rPr>
              <w:t>Ambitious</w:t>
            </w:r>
          </w:p>
          <w:p>
            <w:pPr>
              <w:pStyle w:val="Normal"/>
              <w:spacing w:before="280" w:after="280"/>
              <w:jc w:val="both"/>
              <w:rPr>
                <w:rFonts w:cs="Arial"/>
                <w:sz w:val="22"/>
                <w:szCs w:val="22"/>
                <w:lang w:val="en" w:eastAsia="en-GB"/>
              </w:rPr>
            </w:pPr>
            <w:r>
              <w:rPr>
                <w:rFonts w:cs="Arial"/>
                <w:sz w:val="22"/>
                <w:szCs w:val="22"/>
                <w:lang w:val="en" w:eastAsia="en-GB"/>
              </w:rPr>
              <w:t>We recognise the challenges we face and are committed to setting high aspirations to overcome them, with determination and focus.</w:t>
            </w:r>
          </w:p>
          <w:p>
            <w:pPr>
              <w:pStyle w:val="Normal"/>
              <w:spacing w:before="280" w:after="280"/>
              <w:jc w:val="both"/>
              <w:rPr>
                <w:rFonts w:cs="Arial"/>
                <w:b/>
                <w:bCs/>
                <w:sz w:val="22"/>
                <w:szCs w:val="22"/>
                <w:lang w:val="en" w:eastAsia="en-GB"/>
              </w:rPr>
            </w:pPr>
            <w:r>
              <w:rPr>
                <w:rFonts w:cs="Arial"/>
                <w:b/>
                <w:bCs/>
                <w:sz w:val="22"/>
                <w:szCs w:val="22"/>
                <w:lang w:val="en" w:eastAsia="en-GB"/>
              </w:rPr>
              <w:t>Together</w:t>
            </w:r>
          </w:p>
          <w:p>
            <w:pPr>
              <w:pStyle w:val="Normal"/>
              <w:spacing w:before="280" w:after="0"/>
              <w:jc w:val="both"/>
              <w:rPr>
                <w:rFonts w:cs="Arial"/>
                <w:sz w:val="22"/>
                <w:szCs w:val="22"/>
                <w:lang w:val="en" w:eastAsia="en-GB"/>
              </w:rPr>
            </w:pPr>
            <w:r>
              <w:rPr>
                <w:rFonts w:cs="Arial"/>
                <w:sz w:val="22"/>
                <w:szCs w:val="22"/>
                <w:lang w:val="en" w:eastAsia="en-GB"/>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val="en"/>
              </w:rPr>
            </w:pPr>
            <w:r>
              <w:rPr>
                <w:rFonts w:cs="Arial"/>
                <w:sz w:val="22"/>
                <w:szCs w:val="22"/>
                <w:lang w:val="en"/>
              </w:rPr>
              <w:t>Internally we’ve translated these values into five Co-operative behaviours which outline the priority areas of focus for staff at all levels.</w:t>
            </w:r>
          </w:p>
          <w:p>
            <w:pPr>
              <w:pStyle w:val="Normal"/>
              <w:rPr>
                <w:rFonts w:cs="Arial"/>
                <w:sz w:val="22"/>
                <w:szCs w:val="22"/>
              </w:rPr>
            </w:pPr>
            <w:r>
              <w:rPr>
                <w:rFonts w:cs="Arial"/>
                <w:sz w:val="22"/>
                <w:szCs w:val="22"/>
              </w:rPr>
            </w:r>
          </w:p>
          <w:p>
            <w:pPr>
              <w:pStyle w:val="Normal"/>
              <w:numPr>
                <w:ilvl w:val="0"/>
                <w:numId w:val="3"/>
              </w:numPr>
              <w:rPr/>
            </w:pPr>
            <w:r>
              <w:rPr>
                <w:rFonts w:cs="Arial"/>
                <w:sz w:val="22"/>
                <w:szCs w:val="22"/>
              </w:rPr>
              <w:t>Work with a Resident Focus</w:t>
            </w:r>
          </w:p>
          <w:p>
            <w:pPr>
              <w:pStyle w:val="Normal"/>
              <w:numPr>
                <w:ilvl w:val="0"/>
                <w:numId w:val="3"/>
              </w:numPr>
              <w:rPr/>
            </w:pPr>
            <w:r>
              <w:rPr>
                <w:rFonts w:cs="Arial"/>
                <w:sz w:val="22"/>
                <w:szCs w:val="22"/>
              </w:rPr>
              <w:t>Support Local Leaders</w:t>
            </w:r>
          </w:p>
          <w:p>
            <w:pPr>
              <w:pStyle w:val="Normal"/>
              <w:numPr>
                <w:ilvl w:val="0"/>
                <w:numId w:val="3"/>
              </w:numPr>
              <w:rPr/>
            </w:pPr>
            <w:r>
              <w:rPr>
                <w:rFonts w:cs="Arial"/>
                <w:sz w:val="22"/>
                <w:szCs w:val="22"/>
              </w:rPr>
              <w:t>Committed to the Borough</w:t>
            </w:r>
          </w:p>
          <w:p>
            <w:pPr>
              <w:pStyle w:val="Normal"/>
              <w:numPr>
                <w:ilvl w:val="0"/>
                <w:numId w:val="3"/>
              </w:numPr>
              <w:rPr/>
            </w:pPr>
            <w:r>
              <w:rPr>
                <w:rFonts w:cs="Arial"/>
                <w:sz w:val="22"/>
                <w:szCs w:val="22"/>
              </w:rPr>
              <w:t>Take Ownership and Drive Change</w:t>
            </w:r>
          </w:p>
          <w:p>
            <w:pPr>
              <w:pStyle w:val="Normal"/>
              <w:numPr>
                <w:ilvl w:val="0"/>
                <w:numId w:val="3"/>
              </w:numPr>
              <w:rPr/>
            </w:pPr>
            <w:r>
              <w:rPr>
                <w:rFonts w:cs="Arial"/>
                <w:sz w:val="22"/>
                <w:szCs w:val="22"/>
              </w:rPr>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Greater.Jobs pages.</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HR Advisor</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 xml:space="preserve">Selection criteria </w:t>
            </w:r>
          </w:p>
          <w:p>
            <w:pPr>
              <w:pStyle w:val="Normal"/>
              <w:jc w:val="center"/>
              <w:rPr>
                <w:rFonts w:cs="Arial"/>
                <w:b/>
                <w:bCs/>
                <w:color w:val="FFFFFF"/>
                <w:sz w:val="22"/>
                <w:szCs w:val="22"/>
              </w:rPr>
            </w:pPr>
            <w:r>
              <w:rPr>
                <w:rFonts w:cs="Arial"/>
                <w:b/>
                <w:bCs/>
                <w:color w:val="FFFFFF"/>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 xml:space="preserve">Selection criteria </w:t>
            </w:r>
          </w:p>
          <w:p>
            <w:pPr>
              <w:pStyle w:val="Normal"/>
              <w:jc w:val="center"/>
              <w:rPr>
                <w:rFonts w:cs="Arial"/>
                <w:b/>
                <w:bCs/>
                <w:color w:val="FFFFFF"/>
                <w:sz w:val="22"/>
                <w:szCs w:val="22"/>
              </w:rPr>
            </w:pPr>
            <w:r>
              <w:rPr>
                <w:rFonts w:cs="Arial"/>
                <w:b/>
                <w:bCs/>
                <w:color w:val="FFFFFF"/>
                <w:sz w:val="22"/>
                <w:szCs w:val="22"/>
              </w:rPr>
              <w:t>(Desirable)</w:t>
            </w:r>
          </w:p>
          <w:p>
            <w:pPr>
              <w:pStyle w:val="Normal"/>
              <w:jc w:val="center"/>
              <w:rPr>
                <w:rFonts w:cs="Arial"/>
                <w:b/>
                <w:bCs/>
                <w:color w:val="FFFFFF"/>
                <w:sz w:val="22"/>
                <w:szCs w:val="22"/>
              </w:rPr>
            </w:pPr>
            <w:r>
              <w:rPr>
                <w:rFonts w:cs="Arial"/>
                <w:b/>
                <w:bCs/>
                <w:color w:val="FFFFFF"/>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BodyText"/>
              <w:rPr>
                <w:rFonts w:cs="Arial"/>
                <w:bCs/>
                <w:color w:val="FFFFFF"/>
                <w:szCs w:val="22"/>
              </w:rPr>
            </w:pPr>
            <w:r>
              <w:rPr>
                <w:rFonts w:cs="Arial"/>
                <w:bCs/>
                <w:color w:val="FFFFFF"/>
                <w:szCs w:val="22"/>
              </w:rPr>
              <w:t>Education &amp; Qualifications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cs="Arial"/>
                <w:sz w:val="22"/>
                <w:szCs w:val="22"/>
              </w:rPr>
            </w:pPr>
            <w:r>
              <w:rPr>
                <w:rFonts w:cs="Arial"/>
                <w:sz w:val="22"/>
                <w:szCs w:val="22"/>
              </w:rPr>
              <w:t xml:space="preserve">Level 5 CIPD qualified or equivalent experience </w:t>
            </w:r>
            <w:bookmarkStart w:id="2" w:name="_Hlk150776579"/>
            <w:bookmarkEnd w:id="2"/>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 xml:space="preserve">Level 7 CIPD </w:t>
            </w:r>
          </w:p>
          <w:p>
            <w:pPr>
              <w:pStyle w:val="Header"/>
              <w:tabs>
                <w:tab w:val="clear" w:pos="4153"/>
                <w:tab w:val="clear" w:pos="8306"/>
              </w:tabs>
              <w:rPr>
                <w:rFonts w:cs="Arial"/>
                <w:szCs w:val="22"/>
              </w:rPr>
            </w:pPr>
            <w:r>
              <w:rPr>
                <w:rFonts w:cs="Arial"/>
                <w:szCs w:val="22"/>
              </w:rPr>
            </w:r>
          </w:p>
          <w:p>
            <w:pPr>
              <w:pStyle w:val="Header"/>
              <w:tabs>
                <w:tab w:val="clear" w:pos="4153"/>
                <w:tab w:val="clear" w:pos="8306"/>
              </w:tabs>
              <w:rPr>
                <w:rFonts w:cs="Arial"/>
                <w:szCs w:val="22"/>
              </w:rPr>
            </w:pPr>
            <w:r>
              <w:rPr>
                <w:rFonts w:cs="Arial"/>
                <w:szCs w:val="22"/>
              </w:rPr>
              <w:t>Trained mediator</w:t>
            </w:r>
          </w:p>
          <w:p>
            <w:pPr>
              <w:pStyle w:val="Header"/>
              <w:tabs>
                <w:tab w:val="clear" w:pos="4153"/>
                <w:tab w:val="clear" w:pos="8306"/>
              </w:tabs>
              <w:rPr>
                <w:rFonts w:cs="Arial"/>
                <w:szCs w:val="22"/>
              </w:rPr>
            </w:pPr>
            <w:r>
              <w:rPr>
                <w:rFonts w:cs="Arial"/>
                <w:szCs w:val="22"/>
              </w:rPr>
            </w:r>
          </w:p>
          <w:p>
            <w:pPr>
              <w:pStyle w:val="Header"/>
              <w:tabs>
                <w:tab w:val="clear" w:pos="4153"/>
                <w:tab w:val="clear" w:pos="8306"/>
              </w:tabs>
              <w:rPr>
                <w:rFonts w:cs="Arial"/>
                <w:szCs w:val="22"/>
              </w:rPr>
            </w:pPr>
            <w:r>
              <w:rPr>
                <w:rFonts w:cs="Arial"/>
                <w:szCs w:val="22"/>
              </w:rPr>
              <w:t xml:space="preserve">Hay job evaluation training </w:t>
            </w:r>
          </w:p>
          <w:p>
            <w:pPr>
              <w:pStyle w:val="Header"/>
              <w:tabs>
                <w:tab w:val="clear" w:pos="4153"/>
                <w:tab w:val="clear" w:pos="8306"/>
              </w:tabs>
              <w:rPr>
                <w:rFonts w:cs="Arial"/>
                <w:szCs w:val="22"/>
              </w:rPr>
            </w:pPr>
            <w:r>
              <w:rPr>
                <w:rFonts w:cs="Arial"/>
                <w:szCs w:val="22"/>
              </w:rPr>
            </w:r>
          </w:p>
          <w:p>
            <w:pPr>
              <w:pStyle w:val="Header"/>
              <w:tabs>
                <w:tab w:val="clear" w:pos="4153"/>
                <w:tab w:val="clear" w:pos="8306"/>
              </w:tabs>
              <w:rPr>
                <w:rFonts w:cs="Arial"/>
                <w:szCs w:val="22"/>
              </w:rPr>
            </w:pPr>
            <w:r>
              <w:rPr>
                <w:rFonts w:cs="Arial"/>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Experience</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rPr>
                <w:rFonts w:cs="Arial"/>
                <w:sz w:val="22"/>
                <w:szCs w:val="22"/>
                <w:lang w:eastAsia="en-GB"/>
              </w:rPr>
            </w:pPr>
            <w:r>
              <w:rPr>
                <w:rFonts w:cs="Arial"/>
                <w:sz w:val="22"/>
                <w:szCs w:val="22"/>
                <w:lang w:eastAsia="en-GB"/>
              </w:rPr>
              <w:t xml:space="preserve">Demonstrable experience of working in an HR advisory role. </w:t>
            </w:r>
          </w:p>
          <w:p>
            <w:pPr>
              <w:pStyle w:val="Normal"/>
              <w:snapToGrid w:val="false"/>
              <w:spacing w:lineRule="auto" w:line="276" w:before="0" w:after="200"/>
              <w:rPr>
                <w:rFonts w:cs="Arial"/>
                <w:sz w:val="22"/>
                <w:szCs w:val="22"/>
                <w:lang w:eastAsia="en-GB"/>
              </w:rPr>
            </w:pPr>
            <w:r>
              <w:rPr>
                <w:rFonts w:cs="Arial"/>
                <w:sz w:val="22"/>
                <w:szCs w:val="22"/>
                <w:lang w:eastAsia="en-GB"/>
              </w:rPr>
              <w:t>Experience of working with trade unions on employee relations issues.</w:t>
            </w:r>
          </w:p>
          <w:p>
            <w:pPr>
              <w:pStyle w:val="Normal"/>
              <w:snapToGrid w:val="false"/>
              <w:spacing w:lineRule="auto" w:line="276" w:before="0" w:after="200"/>
              <w:rPr>
                <w:rFonts w:cs="Arial"/>
                <w:sz w:val="22"/>
                <w:szCs w:val="22"/>
                <w:lang w:eastAsia="en-GB"/>
              </w:rPr>
            </w:pPr>
            <w:r>
              <w:rPr>
                <w:rFonts w:cs="Arial"/>
                <w:sz w:val="22"/>
                <w:szCs w:val="22"/>
                <w:lang w:eastAsia="en-GB"/>
              </w:rPr>
              <w:t xml:space="preserve">Experience in analysing HR data and trends. </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rPr>
                <w:rFonts w:cs="Arial"/>
                <w:sz w:val="22"/>
                <w:szCs w:val="22"/>
                <w:lang w:eastAsia="en-GB"/>
              </w:rPr>
            </w:pPr>
            <w:r>
              <w:rPr>
                <w:rFonts w:cs="Arial"/>
                <w:sz w:val="22"/>
                <w:szCs w:val="22"/>
                <w:lang w:eastAsia="en-GB"/>
              </w:rPr>
              <w:t>Experience in the public and private sector in an HR generalist role.</w:t>
            </w:r>
          </w:p>
          <w:p>
            <w:pPr>
              <w:pStyle w:val="Normal"/>
              <w:snapToGrid w:val="false"/>
              <w:spacing w:lineRule="auto" w:line="276" w:before="0" w:after="200"/>
              <w:rPr>
                <w:rFonts w:cs="Arial"/>
                <w:sz w:val="22"/>
                <w:szCs w:val="22"/>
                <w:lang w:eastAsia="en-GB"/>
              </w:rPr>
            </w:pPr>
            <w:r>
              <w:rPr>
                <w:rFonts w:cs="Arial"/>
                <w:sz w:val="22"/>
                <w:szCs w:val="22"/>
                <w:lang w:eastAsia="en-GB"/>
              </w:rPr>
              <w:t>Experience of guiding managers through organisational change and / or TUPE transfer process.</w:t>
            </w:r>
          </w:p>
          <w:p>
            <w:pPr>
              <w:pStyle w:val="Normal"/>
              <w:snapToGrid w:val="false"/>
              <w:spacing w:lineRule="auto" w:line="276" w:before="0" w:after="200"/>
              <w:rPr>
                <w:rFonts w:cs="Arial"/>
                <w:sz w:val="22"/>
                <w:szCs w:val="22"/>
                <w:lang w:eastAsia="en-GB"/>
              </w:rPr>
            </w:pPr>
            <w:r>
              <w:rPr>
                <w:rFonts w:cs="Arial"/>
                <w:sz w:val="22"/>
                <w:szCs w:val="22"/>
                <w:lang w:eastAsia="en-GB"/>
              </w:rPr>
              <w:t xml:space="preserve">Experience with JNC job evaluation. </w:t>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ind w:left="360" w:right="0"/>
              <w:jc w:val="center"/>
              <w:rPr>
                <w:rFonts w:cs="Arial"/>
                <w:sz w:val="22"/>
                <w:szCs w:val="22"/>
              </w:rPr>
            </w:pPr>
            <w:r>
              <w:rPr>
                <w:rFonts w:cs="Arial"/>
                <w:sz w:val="22"/>
                <w:szCs w:val="22"/>
              </w:rPr>
              <w:t>AF / 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Skills &amp; Abilities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sz w:val="22"/>
                <w:szCs w:val="22"/>
              </w:rPr>
            </w:pPr>
            <w:r>
              <w:rPr>
                <w:rFonts w:cs="Arial"/>
                <w:color w:val="000000"/>
                <w:sz w:val="22"/>
                <w:szCs w:val="22"/>
              </w:rPr>
              <w:t>Good communication skills, verbal and written (including report writing).</w:t>
            </w:r>
          </w:p>
          <w:p>
            <w:pPr>
              <w:pStyle w:val="Normal"/>
              <w:rPr>
                <w:rFonts w:cs="Arial"/>
                <w:color w:val="000000"/>
                <w:sz w:val="22"/>
                <w:szCs w:val="22"/>
              </w:rPr>
            </w:pPr>
            <w:r>
              <w:rPr>
                <w:rFonts w:cs="Arial"/>
                <w:color w:val="000000"/>
                <w:sz w:val="22"/>
                <w:szCs w:val="22"/>
              </w:rPr>
            </w:r>
          </w:p>
          <w:p>
            <w:pPr>
              <w:pStyle w:val="Normal"/>
              <w:rPr>
                <w:rFonts w:cs="Arial"/>
                <w:color w:val="000000"/>
                <w:sz w:val="22"/>
                <w:szCs w:val="22"/>
              </w:rPr>
            </w:pPr>
            <w:r>
              <w:rPr>
                <w:rFonts w:cs="Arial"/>
                <w:color w:val="000000"/>
                <w:sz w:val="22"/>
                <w:szCs w:val="22"/>
              </w:rPr>
              <w:t>Ability to effectively prioritise and manage workloads.</w:t>
            </w:r>
          </w:p>
          <w:p>
            <w:pPr>
              <w:pStyle w:val="Normal"/>
              <w:rPr>
                <w:rFonts w:cs="Arial"/>
                <w:color w:val="000000"/>
                <w:sz w:val="22"/>
                <w:szCs w:val="22"/>
              </w:rPr>
            </w:pPr>
            <w:r>
              <w:rPr>
                <w:rFonts w:cs="Arial"/>
                <w:color w:val="000000"/>
                <w:sz w:val="22"/>
                <w:szCs w:val="22"/>
              </w:rPr>
            </w:r>
          </w:p>
          <w:p>
            <w:pPr>
              <w:pStyle w:val="Normal"/>
              <w:rPr>
                <w:rFonts w:cs="Arial"/>
                <w:color w:val="000000"/>
                <w:sz w:val="22"/>
                <w:szCs w:val="22"/>
              </w:rPr>
            </w:pPr>
            <w:r>
              <w:rPr>
                <w:rFonts w:cs="Arial"/>
                <w:color w:val="000000"/>
                <w:sz w:val="22"/>
                <w:szCs w:val="22"/>
              </w:rPr>
              <w:t>Ability to work independently.</w:t>
            </w:r>
          </w:p>
          <w:p>
            <w:pPr>
              <w:pStyle w:val="Normal"/>
              <w:rPr>
                <w:rFonts w:cs="Arial"/>
                <w:color w:val="000000"/>
                <w:sz w:val="22"/>
                <w:szCs w:val="22"/>
              </w:rPr>
            </w:pPr>
            <w:r>
              <w:rPr>
                <w:rFonts w:cs="Arial"/>
                <w:color w:val="000000"/>
                <w:sz w:val="22"/>
                <w:szCs w:val="22"/>
              </w:rPr>
            </w:r>
          </w:p>
          <w:p>
            <w:pPr>
              <w:pStyle w:val="Normal"/>
              <w:rPr>
                <w:rFonts w:cs="Arial"/>
                <w:color w:val="000000"/>
                <w:sz w:val="22"/>
                <w:szCs w:val="22"/>
              </w:rPr>
            </w:pPr>
            <w:r>
              <w:rPr>
                <w:rFonts w:cs="Arial"/>
                <w:color w:val="000000"/>
                <w:sz w:val="22"/>
                <w:szCs w:val="22"/>
              </w:rPr>
              <w:t xml:space="preserve">Understanding of the use of data in employee relations. </w:t>
            </w:r>
          </w:p>
          <w:p>
            <w:pPr>
              <w:pStyle w:val="Normal"/>
              <w:rPr>
                <w:rFonts w:cs="Arial"/>
                <w:color w:val="000000"/>
                <w:sz w:val="22"/>
                <w:szCs w:val="22"/>
              </w:rPr>
            </w:pPr>
            <w:r>
              <w:rPr>
                <w:rFonts w:cs="Arial"/>
                <w:color w:val="000000"/>
                <w:sz w:val="22"/>
                <w:szCs w:val="22"/>
              </w:rPr>
            </w:r>
          </w:p>
          <w:p>
            <w:pPr>
              <w:pStyle w:val="Normal"/>
              <w:rPr>
                <w:rFonts w:cs="Arial"/>
                <w:color w:val="000000"/>
                <w:sz w:val="22"/>
                <w:szCs w:val="22"/>
              </w:rPr>
            </w:pPr>
            <w:r>
              <w:rPr>
                <w:rFonts w:cs="Arial"/>
                <w:color w:val="000000"/>
                <w:sz w:val="22"/>
                <w:szCs w:val="22"/>
              </w:rPr>
              <w:t>Ability to identify and contribute to improving ways of working, innovation and continuous improvement.</w:t>
            </w:r>
          </w:p>
          <w:p>
            <w:pPr>
              <w:pStyle w:val="Normal"/>
              <w:rPr>
                <w:rFonts w:cs="Arial"/>
                <w:color w:val="000000"/>
                <w:sz w:val="22"/>
                <w:szCs w:val="22"/>
              </w:rPr>
            </w:pPr>
            <w:r>
              <w:rPr>
                <w:rFonts w:cs="Arial"/>
                <w:color w:val="000000"/>
                <w:sz w:val="22"/>
                <w:szCs w:val="22"/>
              </w:rPr>
            </w:r>
          </w:p>
          <w:p>
            <w:pPr>
              <w:pStyle w:val="Normal"/>
              <w:rPr>
                <w:rFonts w:cs="Arial"/>
                <w:color w:val="000000"/>
                <w:sz w:val="22"/>
                <w:szCs w:val="22"/>
              </w:rPr>
            </w:pPr>
            <w:r>
              <w:rPr>
                <w:rFonts w:cs="Arial"/>
                <w:color w:val="000000"/>
                <w:sz w:val="22"/>
                <w:szCs w:val="22"/>
              </w:rPr>
              <w:t>Ability to learn and adapt to new ways of working, to coach and share.</w:t>
            </w:r>
          </w:p>
          <w:p>
            <w:pPr>
              <w:pStyle w:val="Normal"/>
              <w:rPr>
                <w:rFonts w:cs="Arial"/>
                <w:color w:val="000000"/>
                <w:sz w:val="22"/>
                <w:szCs w:val="22"/>
              </w:rPr>
            </w:pPr>
            <w:r>
              <w:rPr>
                <w:rFonts w:cs="Arial"/>
                <w:color w:val="000000"/>
                <w:sz w:val="22"/>
                <w:szCs w:val="22"/>
              </w:rPr>
            </w:r>
          </w:p>
          <w:p>
            <w:pPr>
              <w:pStyle w:val="Normal"/>
              <w:rPr>
                <w:rFonts w:cs="Arial"/>
                <w:color w:val="000000"/>
                <w:sz w:val="22"/>
                <w:szCs w:val="22"/>
              </w:rPr>
            </w:pPr>
            <w:r>
              <w:rPr>
                <w:rFonts w:cs="Arial"/>
                <w:color w:val="000000"/>
                <w:sz w:val="22"/>
                <w:szCs w:val="22"/>
              </w:rPr>
              <w:t>IT literate in email, Excel and Microsoft word (or equivalent).</w:t>
            </w:r>
          </w:p>
          <w:p>
            <w:pPr>
              <w:pStyle w:val="Normal"/>
              <w:rPr>
                <w:rFonts w:cs="Arial"/>
                <w:color w:val="000000"/>
                <w:sz w:val="22"/>
                <w:szCs w:val="22"/>
              </w:rPr>
            </w:pPr>
            <w:r>
              <w:rPr>
                <w:rFonts w:cs="Arial"/>
                <w:color w:val="000000"/>
                <w:sz w:val="22"/>
                <w:szCs w:val="22"/>
              </w:rPr>
            </w:r>
          </w:p>
          <w:p>
            <w:pPr>
              <w:pStyle w:val="Normal"/>
              <w:rPr>
                <w:rFonts w:cs="Arial"/>
                <w:color w:val="000000"/>
                <w:sz w:val="22"/>
                <w:szCs w:val="22"/>
              </w:rPr>
            </w:pPr>
            <w:r>
              <w:rPr>
                <w:rFonts w:cs="Arial"/>
                <w:color w:val="000000"/>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rPr>
                <w:rFonts w:cs="Arial"/>
                <w:color w:val="000000"/>
                <w:sz w:val="22"/>
                <w:szCs w:val="22"/>
                <w:lang w:eastAsia="en-GB"/>
              </w:rPr>
            </w:pPr>
            <w:r>
              <w:rPr>
                <w:rFonts w:cs="Arial"/>
                <w:color w:val="000000"/>
                <w:sz w:val="22"/>
                <w:szCs w:val="22"/>
                <w:lang w:eastAsia="en-GB"/>
              </w:rPr>
              <w:t>Presentation skills including use of PowerPoint.</w:t>
            </w:r>
          </w:p>
          <w:p>
            <w:pPr>
              <w:pStyle w:val="Normal"/>
              <w:spacing w:lineRule="auto" w:line="276" w:before="0" w:after="200"/>
              <w:rPr>
                <w:rFonts w:cs="Arial"/>
                <w:color w:val="000000"/>
                <w:sz w:val="22"/>
                <w:szCs w:val="22"/>
                <w:lang w:eastAsia="en-GB"/>
              </w:rPr>
            </w:pPr>
            <w:r>
              <w:rPr>
                <w:rFonts w:cs="Arial"/>
                <w:color w:val="000000"/>
                <w:sz w:val="22"/>
                <w:szCs w:val="22"/>
                <w:lang w:eastAsia="en-GB"/>
              </w:rPr>
              <w:t xml:space="preserve">Able to demonstrate negotiating and influencing skills. </w:t>
            </w:r>
          </w:p>
          <w:p>
            <w:pPr>
              <w:pStyle w:val="Normal"/>
              <w:rPr>
                <w:rFonts w:cs="Arial"/>
                <w:sz w:val="22"/>
                <w:szCs w:val="22"/>
              </w:rPr>
            </w:pPr>
            <w:r>
              <w:rPr>
                <w:rFonts w:cs="Arial"/>
                <w:sz w:val="22"/>
                <w:szCs w:val="22"/>
              </w:rPr>
              <w:t xml:space="preserve">Experience in the use of AI and automation to improve HR services. </w:t>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Knowledge</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0" w:after="200"/>
              <w:rPr>
                <w:rFonts w:cs="Arial"/>
                <w:sz w:val="22"/>
                <w:szCs w:val="22"/>
                <w:lang w:eastAsia="en-GB"/>
              </w:rPr>
            </w:pPr>
            <w:r>
              <w:rPr>
                <w:rFonts w:cs="Arial"/>
                <w:sz w:val="22"/>
                <w:szCs w:val="22"/>
                <w:lang w:eastAsia="en-GB"/>
              </w:rPr>
              <w:t xml:space="preserve">Knowledge of the issues facing the customer and the challenges within the public sector. </w:t>
            </w:r>
          </w:p>
          <w:p>
            <w:pPr>
              <w:pStyle w:val="Normal"/>
              <w:snapToGrid w:val="false"/>
              <w:spacing w:lineRule="auto" w:line="276" w:before="0" w:after="200"/>
              <w:rPr>
                <w:rFonts w:cs="Arial"/>
                <w:sz w:val="22"/>
                <w:szCs w:val="22"/>
                <w:lang w:eastAsia="en-GB"/>
              </w:rPr>
            </w:pPr>
            <w:r>
              <w:rPr>
                <w:rFonts w:cs="Arial"/>
                <w:sz w:val="22"/>
                <w:szCs w:val="22"/>
                <w:lang w:eastAsia="en-GB"/>
              </w:rPr>
              <w:t>Knowledge of NJC terms and conditions.</w:t>
            </w:r>
          </w:p>
          <w:p>
            <w:pPr>
              <w:pStyle w:val="Normal"/>
              <w:snapToGrid w:val="false"/>
              <w:spacing w:lineRule="auto" w:line="276" w:before="0" w:after="200"/>
              <w:rPr>
                <w:rFonts w:cs="Arial"/>
                <w:sz w:val="22"/>
                <w:szCs w:val="22"/>
                <w:lang w:eastAsia="en-GB"/>
              </w:rPr>
            </w:pPr>
            <w:r>
              <w:rPr>
                <w:rFonts w:cs="Arial"/>
                <w:sz w:val="22"/>
                <w:szCs w:val="22"/>
                <w:lang w:eastAsia="en-GB"/>
              </w:rPr>
              <w:t xml:space="preserve">Good working knowledge of employment legislation and HR best practice. </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BodyText"/>
              <w:rPr>
                <w:rFonts w:cs="Arial"/>
                <w:bCs/>
                <w:color w:val="FFFFFF"/>
                <w:szCs w:val="22"/>
              </w:rPr>
            </w:pPr>
            <w:r>
              <w:rPr>
                <w:rFonts w:cs="Arial"/>
                <w:bCs/>
                <w:color w:val="FFFFFF"/>
                <w:szCs w:val="22"/>
              </w:rPr>
              <w:t>Work Circumstances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sz w:val="22"/>
                <w:szCs w:val="22"/>
              </w:rPr>
            </w:pPr>
            <w:r>
              <w:rPr>
                <w:rFonts w:cs="Arial"/>
                <w:color w:val="000000"/>
                <w:sz w:val="22"/>
                <w:szCs w:val="22"/>
              </w:rPr>
              <w:t>Flexibility to work beyond core hours to suit the needs of the customers.</w:t>
            </w:r>
          </w:p>
          <w:p>
            <w:pPr>
              <w:pStyle w:val="Normal"/>
              <w:rPr>
                <w:rFonts w:cs="Arial"/>
                <w:color w:val="000000"/>
                <w:sz w:val="22"/>
                <w:szCs w:val="22"/>
              </w:rPr>
            </w:pPr>
            <w:r>
              <w:rPr>
                <w:rFonts w:cs="Arial"/>
                <w:color w:val="000000"/>
                <w:sz w:val="22"/>
                <w:szCs w:val="22"/>
              </w:rPr>
            </w:r>
          </w:p>
          <w:p>
            <w:pPr>
              <w:pStyle w:val="Normal"/>
              <w:rPr>
                <w:rFonts w:cs="Arial"/>
                <w:color w:val="000000"/>
                <w:sz w:val="22"/>
                <w:szCs w:val="22"/>
              </w:rPr>
            </w:pPr>
            <w:r>
              <w:rPr>
                <w:rFonts w:cs="Arial"/>
                <w:color w:val="000000"/>
                <w:sz w:val="22"/>
                <w:szCs w:val="22"/>
              </w:rPr>
              <w:t>Ability to travel, where required in Oldham borough.</w:t>
            </w:r>
          </w:p>
          <w:p>
            <w:pPr>
              <w:pStyle w:val="Normal"/>
              <w:ind w:left="360" w:right="0"/>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ind w:left="360" w:right="0"/>
              <w:jc w:val="center"/>
              <w:rPr>
                <w:rFonts w:cs="Arial"/>
                <w:sz w:val="22"/>
                <w:szCs w:val="22"/>
              </w:rPr>
            </w:pPr>
            <w:r>
              <w:rPr>
                <w:rFonts w:cs="Arial"/>
                <w:sz w:val="22"/>
                <w:szCs w:val="22"/>
              </w:rPr>
              <w:t>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those who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sz w:val="22"/>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sz w:val="22"/>
    </w:rPr>
  </w:style>
  <w:style w:type="character" w:styleId="WW8Num1z2">
    <w:name w:val="WW8Num1z2"/>
    <w:qFormat/>
    <w:rPr>
      <w:rFonts w:ascii="Wingdings" w:hAnsi="Wingdings" w:cs="Wingdings"/>
    </w:rPr>
  </w:style>
  <w:style w:type="character" w:styleId="WW8Num1z4">
    <w:name w:val="WW8Num1z4"/>
    <w:qFormat/>
    <w:rPr>
      <w:rFonts w:ascii="Courier New" w:hAnsi="Courier New" w:cs="Courier New"/>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CommentTextChar">
    <w:name w:val="Comment Text Char"/>
    <w:qFormat/>
    <w:rPr>
      <w:lang w:eastAsia="en-US"/>
    </w:rPr>
  </w:style>
  <w:style w:type="character" w:styleId="FooterChar">
    <w:name w:val="Footer Char"/>
    <w:qFormat/>
    <w:rPr>
      <w:rFonts w:ascii="Arial" w:hAnsi="Arial" w:cs="Arial"/>
      <w:sz w:val="24"/>
      <w:szCs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Footer">
    <w:name w:val="Footer"/>
    <w:basedOn w:val="Normal"/>
    <w:pPr>
      <w:tabs>
        <w:tab w:val="clear" w:pos="720"/>
        <w:tab w:val="center" w:pos="4513" w:leader="none"/>
        <w:tab w:val="right" w:pos="9026"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