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cs="Arial"/>
        </w:rPr>
      </w:pPr>
      <w:r>
        <w:rPr>
          <w:rFonts w:cs="Arial"/>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7445" cy="1188085"/>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396pt;margin-top:-9pt;width:90.25pt;height:93.45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1390" cy="10947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Heading1"/>
        <w:spacing w:lineRule="auto" w:line="240"/>
        <w:rPr>
          <w:rFonts w:cs="Arial"/>
          <w:sz w:val="24"/>
          <w:szCs w:val="24"/>
        </w:rPr>
      </w:pPr>
      <w:r>
        <w:rPr>
          <w:rFonts w:cs="Arial"/>
          <w:sz w:val="24"/>
          <w:szCs w:val="24"/>
        </w:rPr>
      </w:r>
    </w:p>
    <w:p>
      <w:pPr>
        <w:pStyle w:val="Normal"/>
        <w:jc w:val="center"/>
        <w:rPr>
          <w:rFonts w:cs="Arial"/>
          <w:b/>
          <w:b/>
          <w:bCs/>
          <w:u w:val="single"/>
        </w:rPr>
      </w:pPr>
      <w:r>
        <w:rPr>
          <w:rFonts w:cs="Arial"/>
          <w:b/>
          <w:bCs/>
          <w:u w:val="single"/>
        </w:rPr>
        <w:t>OLDHAM COUNCIL</w:t>
      </w:r>
    </w:p>
    <w:p>
      <w:pPr>
        <w:pStyle w:val="Normal"/>
        <w:jc w:val="center"/>
        <w:rPr>
          <w:rFonts w:cs="Arial"/>
          <w:b/>
          <w:b/>
          <w:bCs/>
          <w:u w:val="single"/>
        </w:rPr>
      </w:pPr>
      <w:r>
        <w:rPr>
          <w:rFonts w:cs="Arial"/>
          <w:b/>
          <w:bCs/>
          <w:u w:val="single"/>
        </w:rPr>
      </w:r>
    </w:p>
    <w:p>
      <w:pPr>
        <w:pStyle w:val="Normal"/>
        <w:jc w:val="center"/>
        <w:rPr>
          <w:rFonts w:cs="Arial"/>
          <w:b/>
          <w:b/>
          <w:bCs/>
          <w:u w:val="single"/>
        </w:rPr>
      </w:pPr>
      <w:r>
        <w:rPr>
          <w:rFonts w:cs="Arial"/>
          <w:b/>
          <w:bCs/>
          <w:u w:val="single"/>
        </w:rPr>
        <w:t>JOB DESCRIPTION</w:t>
      </w:r>
    </w:p>
    <w:p>
      <w:pPr>
        <w:pStyle w:val="Normal"/>
        <w:jc w:val="center"/>
        <w:rPr>
          <w:rFonts w:cs="Arial"/>
          <w:b/>
          <w:b/>
          <w:bCs/>
          <w:u w:val="single"/>
        </w:rPr>
      </w:pPr>
      <w:r>
        <w:rPr>
          <w:rFonts w:cs="Arial"/>
          <w:b/>
          <w:bCs/>
          <w:u w:val="single"/>
        </w:rPr>
      </w:r>
    </w:p>
    <w:p>
      <w:pPr>
        <w:pStyle w:val="Normal"/>
        <w:jc w:val="center"/>
        <w:rPr>
          <w:rFonts w:cs="Arial"/>
          <w:b/>
          <w:b/>
          <w:bCs/>
          <w:u w:val="single"/>
        </w:rPr>
      </w:pPr>
      <w:r>
        <w:rPr>
          <w:rFonts w:cs="Arial"/>
          <w:b/>
          <w:bCs/>
          <w:u w:val="single"/>
        </w:rPr>
      </w:r>
    </w:p>
    <w:tbl>
      <w:tblPr>
        <w:tblW w:w="10449" w:type="dxa"/>
        <w:jc w:val="left"/>
        <w:tblInd w:w="-617" w:type="dxa"/>
        <w:tblCellMar>
          <w:top w:w="0" w:type="dxa"/>
          <w:left w:w="108" w:type="dxa"/>
          <w:bottom w:w="0" w:type="dxa"/>
          <w:right w:w="108" w:type="dxa"/>
        </w:tblCellMar>
      </w:tblPr>
      <w:tblGrid>
        <w:gridCol w:w="1563"/>
        <w:gridCol w:w="2830"/>
        <w:gridCol w:w="2180"/>
        <w:gridCol w:w="3876"/>
      </w:tblGrid>
      <w:tr>
        <w:trPr>
          <w:cantSplit w:val="true"/>
        </w:trPr>
        <w:tc>
          <w:tcPr>
            <w:tcW w:w="1563" w:type="dxa"/>
            <w:tcBorders>
              <w:top w:val="single" w:sz="4" w:space="0" w:color="000000"/>
              <w:left w:val="single" w:sz="4" w:space="0" w:color="000000"/>
              <w:bottom w:val="single" w:sz="4" w:space="0" w:color="000000"/>
            </w:tcBorders>
            <w:shd w:fill="00B3BE" w:val="clear"/>
          </w:tcPr>
          <w:p>
            <w:pPr>
              <w:pStyle w:val="Normal"/>
              <w:rPr>
                <w:rFonts w:cs="Arial"/>
                <w:b/>
                <w:b/>
                <w:color w:val="FFFFFF"/>
              </w:rPr>
            </w:pPr>
            <w:r>
              <w:rPr>
                <w:rFonts w:cs="Arial"/>
                <w:b/>
                <w:color w:val="FFFFFF"/>
              </w:rPr>
              <w:t xml:space="preserve">Job Title: </w:t>
            </w:r>
          </w:p>
          <w:p>
            <w:pPr>
              <w:pStyle w:val="Normal"/>
              <w:rPr>
                <w:rFonts w:cs="Arial"/>
                <w:color w:val="FFFFFF"/>
              </w:rPr>
            </w:pPr>
            <w:r>
              <w:rPr>
                <w:rFonts w:cs="Arial"/>
                <w:color w:val="FFFFFF"/>
              </w:rPr>
            </w:r>
          </w:p>
        </w:tc>
        <w:tc>
          <w:tcPr>
            <w:tcW w:w="8886"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Cs w:val="24"/>
              </w:rPr>
            </w:pPr>
            <w:r>
              <w:rPr>
                <w:rFonts w:cs="Arial" w:ascii="Arial" w:hAnsi="Arial"/>
                <w:szCs w:val="24"/>
              </w:rPr>
              <w:t>Assistant Educational Psychologist</w:t>
            </w:r>
          </w:p>
        </w:tc>
      </w:tr>
      <w:tr>
        <w:trPr>
          <w:cantSplit w:val="true"/>
        </w:trPr>
        <w:tc>
          <w:tcPr>
            <w:tcW w:w="1563" w:type="dxa"/>
            <w:tcBorders>
              <w:top w:val="single" w:sz="4" w:space="0" w:color="000000"/>
              <w:left w:val="single" w:sz="4" w:space="0" w:color="000000"/>
              <w:bottom w:val="single" w:sz="4" w:space="0" w:color="000000"/>
            </w:tcBorders>
            <w:shd w:fill="00B3BE" w:val="clear"/>
          </w:tcPr>
          <w:p>
            <w:pPr>
              <w:pStyle w:val="Normal"/>
              <w:rPr/>
            </w:pPr>
            <w:r>
              <w:rPr>
                <w:rFonts w:cs="Arial"/>
                <w:b/>
                <w:color w:val="FFFFFF"/>
              </w:rPr>
              <w:t>Directorate:</w:t>
            </w:r>
            <w:r>
              <w:rPr>
                <w:rFonts w:cs="Arial"/>
                <w:color w:val="FFFFFF"/>
              </w:rPr>
              <w:t xml:space="preserve">  </w:t>
            </w:r>
          </w:p>
        </w:tc>
        <w:tc>
          <w:tcPr>
            <w:tcW w:w="2830" w:type="dxa"/>
            <w:tcBorders>
              <w:top w:val="single" w:sz="4" w:space="0" w:color="000000"/>
              <w:left w:val="single" w:sz="4" w:space="0" w:color="000000"/>
              <w:bottom w:val="single" w:sz="4" w:space="0" w:color="000000"/>
            </w:tcBorders>
            <w:shd w:fill="auto" w:val="clear"/>
          </w:tcPr>
          <w:p>
            <w:pPr>
              <w:pStyle w:val="Normal"/>
              <w:rPr>
                <w:rFonts w:cs="Arial"/>
              </w:rPr>
            </w:pPr>
            <w:r>
              <w:rPr>
                <w:rFonts w:cs="Arial"/>
              </w:rPr>
              <w:t>Education, Early Years and Skills</w:t>
            </w:r>
          </w:p>
        </w:tc>
        <w:tc>
          <w:tcPr>
            <w:tcW w:w="2180" w:type="dxa"/>
            <w:tcBorders>
              <w:top w:val="single" w:sz="4" w:space="0" w:color="000000"/>
              <w:left w:val="single" w:sz="4" w:space="0" w:color="000000"/>
              <w:bottom w:val="single" w:sz="4" w:space="0" w:color="000000"/>
            </w:tcBorders>
            <w:shd w:fill="00B3BE" w:val="clear"/>
          </w:tcPr>
          <w:p>
            <w:pPr>
              <w:pStyle w:val="Normal"/>
              <w:rPr/>
            </w:pPr>
            <w:r>
              <w:rPr>
                <w:rFonts w:cs="Arial"/>
                <w:b/>
                <w:color w:val="FFFFFF"/>
              </w:rPr>
              <w:t>Division/Section:</w:t>
            </w:r>
            <w:r>
              <w:rPr>
                <w:rFonts w:cs="Arial"/>
                <w:color w:val="FFFFFF"/>
              </w:rPr>
              <w:t xml:space="preserve"> </w:t>
            </w:r>
          </w:p>
          <w:p>
            <w:pPr>
              <w:pStyle w:val="Normal"/>
              <w:rPr>
                <w:rFonts w:cs="Arial"/>
                <w:color w:val="FFFFFF"/>
              </w:rPr>
            </w:pPr>
            <w:r>
              <w:rPr>
                <w:rFonts w:cs="Arial"/>
                <w:color w:val="FFFFFF"/>
              </w:rPr>
            </w:r>
          </w:p>
        </w:tc>
        <w:tc>
          <w:tcPr>
            <w:tcW w:w="3876"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rPr>
            </w:pPr>
            <w:r>
              <w:rPr>
                <w:rFonts w:cs="Arial"/>
              </w:rPr>
              <w:t xml:space="preserve">SEND &amp; Inclusion </w:t>
            </w:r>
          </w:p>
        </w:tc>
      </w:tr>
      <w:tr>
        <w:trPr>
          <w:cantSplit w:val="true"/>
        </w:trPr>
        <w:tc>
          <w:tcPr>
            <w:tcW w:w="1563" w:type="dxa"/>
            <w:tcBorders>
              <w:top w:val="single" w:sz="4" w:space="0" w:color="000000"/>
              <w:left w:val="single" w:sz="4" w:space="0" w:color="000000"/>
              <w:bottom w:val="single" w:sz="4" w:space="0" w:color="000000"/>
            </w:tcBorders>
            <w:shd w:fill="00B3BE" w:val="clear"/>
          </w:tcPr>
          <w:p>
            <w:pPr>
              <w:pStyle w:val="Normal"/>
              <w:rPr>
                <w:rFonts w:cs="Arial"/>
                <w:b/>
                <w:b/>
                <w:color w:val="FFFFFF"/>
              </w:rPr>
            </w:pPr>
            <w:r>
              <w:rPr>
                <w:rFonts w:cs="Arial"/>
                <w:b/>
                <w:color w:val="FFFFFF"/>
              </w:rPr>
              <w:t xml:space="preserve">Grade:  </w:t>
            </w:r>
          </w:p>
          <w:p>
            <w:pPr>
              <w:pStyle w:val="Normal"/>
              <w:rPr>
                <w:rFonts w:cs="Arial"/>
                <w:color w:val="FFFFFF"/>
              </w:rPr>
            </w:pPr>
            <w:r>
              <w:rPr>
                <w:rFonts w:cs="Arial"/>
                <w:color w:val="FFFFFF"/>
              </w:rPr>
            </w:r>
          </w:p>
        </w:tc>
        <w:tc>
          <w:tcPr>
            <w:tcW w:w="2830" w:type="dxa"/>
            <w:tcBorders>
              <w:top w:val="single" w:sz="4" w:space="0" w:color="000000"/>
              <w:left w:val="single" w:sz="4" w:space="0" w:color="000000"/>
              <w:bottom w:val="single" w:sz="4" w:space="0" w:color="000000"/>
            </w:tcBorders>
            <w:shd w:fill="auto" w:val="clear"/>
          </w:tcPr>
          <w:p>
            <w:pPr>
              <w:pStyle w:val="Normal"/>
              <w:rPr>
                <w:rFonts w:cs="Arial"/>
              </w:rPr>
            </w:pPr>
            <w:r>
              <w:rPr>
                <w:rFonts w:cs="Arial"/>
              </w:rPr>
              <w:t>Soulbury Assistant EP scale 2-4</w:t>
            </w:r>
          </w:p>
          <w:p>
            <w:pPr>
              <w:pStyle w:val="Header"/>
              <w:tabs>
                <w:tab w:val="clear" w:pos="4153"/>
                <w:tab w:val="clear" w:pos="8306"/>
              </w:tabs>
              <w:rPr>
                <w:rFonts w:cs="Arial"/>
                <w:sz w:val="24"/>
                <w:szCs w:val="24"/>
              </w:rPr>
            </w:pPr>
            <w:r>
              <w:rPr>
                <w:rFonts w:cs="Arial"/>
                <w:sz w:val="24"/>
                <w:szCs w:val="24"/>
              </w:rPr>
            </w:r>
          </w:p>
        </w:tc>
        <w:tc>
          <w:tcPr>
            <w:tcW w:w="218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color w:val="FFFFFF"/>
                <w:sz w:val="24"/>
                <w:szCs w:val="24"/>
              </w:rPr>
            </w:pPr>
            <w:r>
              <w:rPr>
                <w:rFonts w:cs="Arial"/>
                <w:b/>
                <w:color w:val="FFFFFF"/>
                <w:sz w:val="24"/>
                <w:szCs w:val="24"/>
              </w:rPr>
              <w:t>JE Reference:</w:t>
            </w:r>
          </w:p>
        </w:tc>
        <w:tc>
          <w:tcPr>
            <w:tcW w:w="3876"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 w:val="left" w:pos="1095" w:leader="none"/>
              </w:tabs>
              <w:snapToGrid w:val="false"/>
              <w:rPr>
                <w:rFonts w:cs="Arial"/>
                <w:sz w:val="24"/>
                <w:szCs w:val="24"/>
              </w:rPr>
            </w:pPr>
            <w:r>
              <w:rPr>
                <w:rFonts w:cs="Arial"/>
                <w:sz w:val="24"/>
                <w:szCs w:val="24"/>
              </w:rPr>
            </w:r>
          </w:p>
        </w:tc>
      </w:tr>
    </w:tbl>
    <w:p>
      <w:pPr>
        <w:pStyle w:val="Normal"/>
        <w:rPr>
          <w:rFonts w:cs="Arial"/>
        </w:rPr>
      </w:pPr>
      <w:r>
        <w:rPr>
          <w:rFonts w:cs="Arial"/>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b/>
                <w:b/>
                <w:bCs/>
              </w:rPr>
            </w:pPr>
            <w:r>
              <w:rPr>
                <w:rFonts w:cs="Arial"/>
                <w:b/>
                <w:bCs/>
              </w:rPr>
              <w:t>Job Purpose:</w:t>
            </w:r>
          </w:p>
          <w:p>
            <w:pPr>
              <w:pStyle w:val="Paragraph"/>
              <w:spacing w:before="0" w:after="0"/>
              <w:textAlignment w:val="baseline"/>
              <w:rPr>
                <w:rFonts w:cs="Arial"/>
                <w:b/>
                <w:b/>
                <w:bCs/>
              </w:rPr>
            </w:pPr>
            <w:r>
              <w:rPr>
                <w:rFonts w:cs="Arial"/>
                <w:b/>
                <w:bCs/>
              </w:rPr>
            </w:r>
          </w:p>
          <w:p>
            <w:pPr>
              <w:pStyle w:val="Paragraph"/>
              <w:spacing w:before="0" w:after="0"/>
              <w:textAlignment w:val="baseline"/>
              <w:rPr>
                <w:rFonts w:ascii="Arial" w:hAnsi="Arial" w:cs="Arial"/>
              </w:rPr>
            </w:pPr>
            <w:r>
              <w:rPr>
                <w:rFonts w:cs="Arial" w:ascii="Arial" w:hAnsi="Arial"/>
              </w:rPr>
              <w:t>The Assistant Educational Psychologist will support the Educational Psychology Service in delivering high quality psychological services to children and young people aged 0–25 years, their families, educational settings and partner agencies.</w:t>
            </w:r>
          </w:p>
          <w:p>
            <w:pPr>
              <w:pStyle w:val="Paragraph"/>
              <w:spacing w:before="0" w:after="0"/>
              <w:textAlignment w:val="baseline"/>
              <w:rPr>
                <w:rFonts w:ascii="Arial" w:hAnsi="Arial" w:cs="Arial"/>
              </w:rPr>
            </w:pPr>
            <w:r>
              <w:rPr>
                <w:rFonts w:cs="Arial" w:ascii="Arial" w:hAnsi="Arial"/>
              </w:rPr>
            </w:r>
          </w:p>
          <w:p>
            <w:pPr>
              <w:pStyle w:val="Paragraph"/>
              <w:spacing w:before="0" w:after="0"/>
              <w:textAlignment w:val="baseline"/>
              <w:rPr>
                <w:rFonts w:ascii="Arial" w:hAnsi="Arial" w:cs="Arial"/>
              </w:rPr>
            </w:pPr>
            <w:r>
              <w:rPr>
                <w:rFonts w:cs="Arial" w:ascii="Arial" w:hAnsi="Arial"/>
              </w:rPr>
              <w:t>The postholder will contribute to statutory and non-statutory work, including Education, Health and Care Needs Assessment processes, consultation, training, project work and service development. The role will involve casework across the 0–25 years age range, with a significant proportion of work focused on Early Years children and settings, including supporting capacity building and inclusive practice.</w:t>
            </w:r>
          </w:p>
          <w:p>
            <w:pPr>
              <w:pStyle w:val="Paragraph"/>
              <w:spacing w:before="0" w:after="0"/>
              <w:textAlignment w:val="baseline"/>
              <w:rPr>
                <w:rFonts w:ascii="Arial" w:hAnsi="Arial" w:cs="Arial"/>
              </w:rPr>
            </w:pPr>
            <w:r>
              <w:rPr>
                <w:rFonts w:cs="Arial" w:ascii="Arial" w:hAnsi="Arial"/>
              </w:rPr>
            </w:r>
          </w:p>
          <w:p>
            <w:pPr>
              <w:pStyle w:val="Paragraph"/>
              <w:spacing w:before="0" w:after="0"/>
              <w:textAlignment w:val="baseline"/>
              <w:rPr>
                <w:rFonts w:ascii="Arial" w:hAnsi="Arial" w:cs="Arial"/>
              </w:rPr>
            </w:pPr>
            <w:r>
              <w:rPr>
                <w:rFonts w:cs="Arial" w:ascii="Arial" w:hAnsi="Arial"/>
              </w:rPr>
              <w:t>The successful candidate will undertake observations, information gathering, consultation and casework support, produce consultation summaries and other written records, assist with training and project work, and provide organisational support to the Educational Psychology Service.</w:t>
            </w:r>
          </w:p>
          <w:p>
            <w:pPr>
              <w:pStyle w:val="Normal"/>
              <w:jc w:val="both"/>
              <w:rPr>
                <w:rFonts w:cs="Arial"/>
                <w:sz w:val="22"/>
              </w:rPr>
            </w:pPr>
            <w:r>
              <w:rPr>
                <w:rFonts w:cs="Arial"/>
                <w:sz w:val="22"/>
              </w:rPr>
            </w:r>
          </w:p>
        </w:tc>
      </w:tr>
    </w:tbl>
    <w:p>
      <w:pPr>
        <w:pStyle w:val="Normal"/>
        <w:rPr>
          <w:rFonts w:cs="Arial"/>
        </w:rPr>
      </w:pPr>
      <w:r>
        <w:rPr>
          <w:rFonts w:cs="Arial"/>
        </w:rPr>
      </w:r>
    </w:p>
    <w:tbl>
      <w:tblPr>
        <w:tblW w:w="10510" w:type="dxa"/>
        <w:jc w:val="left"/>
        <w:tblInd w:w="-617" w:type="dxa"/>
        <w:tblCellMar>
          <w:top w:w="0" w:type="dxa"/>
          <w:left w:w="108" w:type="dxa"/>
          <w:bottom w:w="0" w:type="dxa"/>
          <w:right w:w="108" w:type="dxa"/>
        </w:tblCellMar>
      </w:tblPr>
      <w:tblGrid>
        <w:gridCol w:w="236"/>
        <w:gridCol w:w="10274"/>
      </w:tblGrid>
      <w:tr>
        <w:trPr>
          <w:trHeight w:val="390" w:hRule="atLeast"/>
        </w:trPr>
        <w:tc>
          <w:tcPr>
            <w:tcW w:w="10510" w:type="dxa"/>
            <w:gridSpan w:val="2"/>
            <w:tcBorders>
              <w:top w:val="single" w:sz="4" w:space="0" w:color="000000"/>
              <w:left w:val="single" w:sz="4" w:space="0" w:color="000000"/>
              <w:bottom w:val="single" w:sz="4" w:space="0" w:color="000000"/>
              <w:right w:val="single" w:sz="4" w:space="0" w:color="000000"/>
            </w:tcBorders>
            <w:shd w:fill="00B3BE" w:val="clear"/>
          </w:tcPr>
          <w:p>
            <w:pPr>
              <w:pStyle w:val="Endnote"/>
              <w:jc w:val="both"/>
              <w:rPr>
                <w:rFonts w:ascii="Arial" w:hAnsi="Arial" w:cs="Arial"/>
                <w:b/>
                <w:b/>
                <w:color w:val="FFFFFF"/>
                <w:szCs w:val="24"/>
              </w:rPr>
            </w:pPr>
            <w:r>
              <w:rPr>
                <w:rFonts w:cs="Arial" w:ascii="Arial" w:hAnsi="Arial"/>
                <w:b/>
                <w:color w:val="FFFFFF"/>
                <w:szCs w:val="24"/>
              </w:rPr>
              <w:t xml:space="preserve">Key Tasks &amp; Responsibilities:  </w:t>
            </w:r>
          </w:p>
        </w:tc>
      </w:tr>
      <w:tr>
        <w:trPr>
          <w:trHeight w:val="390" w:hRule="atLeast"/>
        </w:trPr>
        <w:tc>
          <w:tcPr>
            <w:tcW w:w="236" w:type="dxa"/>
            <w:tcBorders>
              <w:left w:val="single" w:sz="4" w:space="0" w:color="000000"/>
              <w:bottom w:val="single" w:sz="4" w:space="0" w:color="000000"/>
            </w:tcBorders>
            <w:shd w:fill="auto" w:val="clear"/>
          </w:tcPr>
          <w:p>
            <w:pPr>
              <w:pStyle w:val="Endnote"/>
              <w:snapToGrid w:val="false"/>
              <w:jc w:val="both"/>
              <w:rPr>
                <w:rFonts w:ascii="Arial" w:hAnsi="Arial" w:cs="Arial"/>
                <w:szCs w:val="24"/>
              </w:rPr>
            </w:pPr>
            <w:r>
              <w:rPr>
                <w:rFonts w:cs="Arial" w:ascii="Arial" w:hAnsi="Arial"/>
                <w:szCs w:val="24"/>
              </w:rPr>
            </w:r>
          </w:p>
          <w:p>
            <w:pPr>
              <w:pStyle w:val="Endnote"/>
              <w:jc w:val="both"/>
              <w:rPr>
                <w:rFonts w:ascii="Arial" w:hAnsi="Arial" w:cs="Arial"/>
                <w:szCs w:val="24"/>
              </w:rPr>
            </w:pPr>
            <w:r>
              <w:rPr>
                <w:rFonts w:cs="Arial" w:ascii="Arial" w:hAnsi="Arial"/>
                <w:szCs w:val="24"/>
              </w:rPr>
            </w:r>
          </w:p>
        </w:tc>
        <w:tc>
          <w:tcPr>
            <w:tcW w:w="10274" w:type="dxa"/>
            <w:tcBorders>
              <w:bottom w:val="single" w:sz="4" w:space="0" w:color="000000"/>
              <w:right w:val="single" w:sz="4" w:space="0" w:color="000000"/>
            </w:tcBorders>
            <w:shd w:fill="auto" w:val="clear"/>
          </w:tcPr>
          <w:p>
            <w:pPr>
              <w:pStyle w:val="Paragraph"/>
              <w:snapToGrid w:val="false"/>
              <w:spacing w:before="0" w:after="0"/>
              <w:textAlignment w:val="baseline"/>
              <w:rPr>
                <w:rFonts w:ascii="Arial" w:hAnsi="Arial" w:cs="Arial"/>
                <w:szCs w:val="24"/>
              </w:rPr>
            </w:pPr>
            <w:r>
              <w:rPr>
                <w:rFonts w:cs="Arial" w:ascii="Arial" w:hAnsi="Arial"/>
                <w:szCs w:val="24"/>
              </w:rPr>
            </w:r>
          </w:p>
          <w:p>
            <w:pPr>
              <w:pStyle w:val="Paragraph"/>
              <w:spacing w:before="0" w:after="0"/>
              <w:textAlignment w:val="baseline"/>
              <w:rPr>
                <w:rFonts w:ascii="Arial" w:hAnsi="Arial" w:cs="Arial"/>
                <w:b/>
                <w:b/>
                <w:bCs/>
              </w:rPr>
            </w:pPr>
            <w:r>
              <w:rPr>
                <w:rFonts w:cs="Arial" w:ascii="Arial" w:hAnsi="Arial"/>
                <w:b/>
                <w:bCs/>
              </w:rPr>
              <w:t>Casework and Consultation Support</w:t>
            </w:r>
          </w:p>
          <w:p>
            <w:pPr>
              <w:pStyle w:val="Paragraph"/>
              <w:numPr>
                <w:ilvl w:val="0"/>
                <w:numId w:val="5"/>
              </w:numPr>
              <w:spacing w:before="0" w:after="0"/>
              <w:textAlignment w:val="baseline"/>
              <w:rPr>
                <w:rFonts w:ascii="Arial" w:hAnsi="Arial" w:cs="Arial"/>
              </w:rPr>
            </w:pPr>
            <w:r>
              <w:rPr>
                <w:rFonts w:cs="Arial" w:ascii="Arial" w:hAnsi="Arial"/>
              </w:rPr>
              <w:t>Support Educational Psychologists in statutory and non-statutory casework across the 0–25 years age range, with a particular focus on Early Years.</w:t>
            </w:r>
          </w:p>
          <w:p>
            <w:pPr>
              <w:pStyle w:val="Paragraph"/>
              <w:numPr>
                <w:ilvl w:val="0"/>
                <w:numId w:val="5"/>
              </w:numPr>
              <w:spacing w:before="0" w:after="0"/>
              <w:textAlignment w:val="baseline"/>
              <w:rPr>
                <w:rFonts w:ascii="Arial" w:hAnsi="Arial" w:cs="Arial"/>
              </w:rPr>
            </w:pPr>
            <w:r>
              <w:rPr>
                <w:rFonts w:cs="Arial" w:ascii="Arial" w:hAnsi="Arial"/>
              </w:rPr>
              <w:t>Undertake observations, information gathering and other assessment activities under the supervision of a qualified Educational Psychologist.</w:t>
            </w:r>
          </w:p>
          <w:p>
            <w:pPr>
              <w:pStyle w:val="Paragraph"/>
              <w:numPr>
                <w:ilvl w:val="0"/>
                <w:numId w:val="5"/>
              </w:numPr>
              <w:spacing w:before="0" w:after="0"/>
              <w:textAlignment w:val="baseline"/>
              <w:rPr>
                <w:rFonts w:ascii="Arial" w:hAnsi="Arial" w:cs="Arial"/>
              </w:rPr>
            </w:pPr>
            <w:r>
              <w:rPr>
                <w:rFonts w:cs="Arial" w:ascii="Arial" w:hAnsi="Arial"/>
              </w:rPr>
              <w:t>Participate in meetings with families, educational settings and partner agencies as required.</w:t>
            </w:r>
          </w:p>
          <w:p>
            <w:pPr>
              <w:pStyle w:val="Paragraph"/>
              <w:numPr>
                <w:ilvl w:val="0"/>
                <w:numId w:val="5"/>
              </w:numPr>
              <w:spacing w:before="0" w:after="0"/>
              <w:textAlignment w:val="baseline"/>
              <w:rPr>
                <w:rFonts w:ascii="Arial" w:hAnsi="Arial" w:cs="Arial"/>
              </w:rPr>
            </w:pPr>
            <w:r>
              <w:rPr>
                <w:rFonts w:cs="Arial" w:ascii="Arial" w:hAnsi="Arial"/>
              </w:rPr>
              <w:t>Draft consultation summaries and other written records that accurately capture key information, outcomes and agreed actions.</w:t>
            </w:r>
          </w:p>
          <w:p>
            <w:pPr>
              <w:pStyle w:val="Paragraph"/>
              <w:numPr>
                <w:ilvl w:val="0"/>
                <w:numId w:val="5"/>
              </w:numPr>
              <w:spacing w:before="0" w:after="0"/>
              <w:textAlignment w:val="baseline"/>
              <w:rPr>
                <w:rFonts w:ascii="Arial" w:hAnsi="Arial" w:cs="Arial"/>
              </w:rPr>
            </w:pPr>
            <w:r>
              <w:rPr>
                <w:rFonts w:cs="Arial" w:ascii="Arial" w:hAnsi="Arial"/>
              </w:rPr>
              <w:t>Maintain accurate and up to date records in accordance with service procedures.</w:t>
            </w:r>
          </w:p>
          <w:p>
            <w:pPr>
              <w:pStyle w:val="Paragraph"/>
              <w:spacing w:before="0" w:after="0"/>
              <w:textAlignment w:val="baseline"/>
              <w:rPr>
                <w:rFonts w:ascii="Arial" w:hAnsi="Arial" w:cs="Arial"/>
              </w:rPr>
            </w:pPr>
            <w:r>
              <w:rPr>
                <w:rFonts w:cs="Arial" w:ascii="Arial" w:hAnsi="Arial"/>
              </w:rPr>
            </w:r>
          </w:p>
          <w:p>
            <w:pPr>
              <w:pStyle w:val="Paragraph"/>
              <w:spacing w:before="0" w:after="0"/>
              <w:textAlignment w:val="baseline"/>
              <w:rPr>
                <w:rFonts w:ascii="Arial" w:hAnsi="Arial" w:cs="Arial"/>
                <w:b/>
                <w:b/>
                <w:bCs/>
              </w:rPr>
            </w:pPr>
            <w:r>
              <w:rPr>
                <w:rFonts w:cs="Arial" w:ascii="Arial" w:hAnsi="Arial"/>
                <w:b/>
                <w:bCs/>
              </w:rPr>
              <w:t>Early Years and Capacity Building</w:t>
            </w:r>
          </w:p>
          <w:p>
            <w:pPr>
              <w:pStyle w:val="Paragraph"/>
              <w:numPr>
                <w:ilvl w:val="0"/>
                <w:numId w:val="6"/>
              </w:numPr>
              <w:spacing w:before="0" w:after="0"/>
              <w:textAlignment w:val="baseline"/>
              <w:rPr>
                <w:rFonts w:ascii="Arial" w:hAnsi="Arial" w:cs="Arial"/>
              </w:rPr>
            </w:pPr>
            <w:r>
              <w:rPr>
                <w:rFonts w:cs="Arial" w:ascii="Arial" w:hAnsi="Arial"/>
              </w:rPr>
              <w:t xml:space="preserve">Support with Early Years casework. </w:t>
            </w:r>
          </w:p>
          <w:p>
            <w:pPr>
              <w:pStyle w:val="Paragraph"/>
              <w:numPr>
                <w:ilvl w:val="0"/>
                <w:numId w:val="6"/>
              </w:numPr>
              <w:spacing w:before="0" w:after="0"/>
              <w:textAlignment w:val="baseline"/>
              <w:rPr>
                <w:rFonts w:ascii="Arial" w:hAnsi="Arial" w:cs="Arial"/>
              </w:rPr>
            </w:pPr>
            <w:r>
              <w:rPr>
                <w:rFonts w:cs="Arial" w:ascii="Arial" w:hAnsi="Arial"/>
              </w:rPr>
              <w:t>Contribute to capacity building work that promotes inclusive practice, early intervention and positive outcomes for young children.</w:t>
            </w:r>
          </w:p>
          <w:p>
            <w:pPr>
              <w:pStyle w:val="Paragraph"/>
              <w:numPr>
                <w:ilvl w:val="0"/>
                <w:numId w:val="6"/>
              </w:numPr>
              <w:spacing w:before="0" w:after="0"/>
              <w:textAlignment w:val="baseline"/>
              <w:rPr>
                <w:rFonts w:ascii="Arial" w:hAnsi="Arial" w:cs="Arial"/>
              </w:rPr>
            </w:pPr>
            <w:r>
              <w:rPr>
                <w:rFonts w:cs="Arial" w:ascii="Arial" w:hAnsi="Arial"/>
              </w:rPr>
              <w:t>Develop and disseminate resources to support educational settings and service priorities.</w:t>
            </w:r>
          </w:p>
          <w:p>
            <w:pPr>
              <w:pStyle w:val="Paragraph"/>
              <w:spacing w:before="0" w:after="0"/>
              <w:textAlignment w:val="baseline"/>
              <w:rPr>
                <w:rFonts w:ascii="Arial" w:hAnsi="Arial" w:cs="Arial"/>
              </w:rPr>
            </w:pPr>
            <w:r>
              <w:rPr>
                <w:rFonts w:cs="Arial" w:ascii="Arial" w:hAnsi="Arial"/>
              </w:rPr>
            </w:r>
          </w:p>
          <w:p>
            <w:pPr>
              <w:pStyle w:val="Paragraph"/>
              <w:spacing w:before="0" w:after="0"/>
              <w:textAlignment w:val="baseline"/>
              <w:rPr>
                <w:rFonts w:ascii="Arial" w:hAnsi="Arial" w:cs="Arial"/>
                <w:b/>
                <w:b/>
                <w:bCs/>
              </w:rPr>
            </w:pPr>
            <w:r>
              <w:rPr>
                <w:rFonts w:cs="Arial" w:ascii="Arial" w:hAnsi="Arial"/>
                <w:b/>
                <w:bCs/>
              </w:rPr>
            </w:r>
          </w:p>
          <w:p>
            <w:pPr>
              <w:pStyle w:val="Paragraph"/>
              <w:spacing w:before="0" w:after="0"/>
              <w:textAlignment w:val="baseline"/>
              <w:rPr>
                <w:rFonts w:ascii="Arial" w:hAnsi="Arial" w:cs="Arial"/>
                <w:b/>
                <w:b/>
                <w:bCs/>
              </w:rPr>
            </w:pPr>
            <w:r>
              <w:rPr>
                <w:rFonts w:cs="Arial" w:ascii="Arial" w:hAnsi="Arial"/>
                <w:b/>
                <w:bCs/>
              </w:rPr>
              <w:t>Training, Project Work and Service Development</w:t>
            </w:r>
          </w:p>
          <w:p>
            <w:pPr>
              <w:pStyle w:val="Paragraph"/>
              <w:numPr>
                <w:ilvl w:val="0"/>
                <w:numId w:val="7"/>
              </w:numPr>
              <w:spacing w:before="0" w:after="0"/>
              <w:textAlignment w:val="baseline"/>
              <w:rPr>
                <w:rFonts w:ascii="Arial" w:hAnsi="Arial" w:cs="Arial"/>
              </w:rPr>
            </w:pPr>
            <w:r>
              <w:rPr>
                <w:rFonts w:cs="Arial" w:ascii="Arial" w:hAnsi="Arial"/>
              </w:rPr>
              <w:t>Support the planning, delivery and evaluation of ELSA, MELSA and Difficulties Attending School (EBSA) training.</w:t>
            </w:r>
          </w:p>
          <w:p>
            <w:pPr>
              <w:pStyle w:val="Paragraph"/>
              <w:numPr>
                <w:ilvl w:val="0"/>
                <w:numId w:val="7"/>
              </w:numPr>
              <w:spacing w:before="0" w:after="0"/>
              <w:textAlignment w:val="baseline"/>
              <w:rPr>
                <w:rFonts w:ascii="Arial" w:hAnsi="Arial" w:cs="Arial"/>
              </w:rPr>
            </w:pPr>
            <w:r>
              <w:rPr>
                <w:rFonts w:cs="Arial" w:ascii="Arial" w:hAnsi="Arial"/>
              </w:rPr>
              <w:t>Assist with the development of training materials and resources.</w:t>
            </w:r>
          </w:p>
          <w:p>
            <w:pPr>
              <w:pStyle w:val="Paragraph"/>
              <w:numPr>
                <w:ilvl w:val="0"/>
                <w:numId w:val="7"/>
              </w:numPr>
              <w:spacing w:before="0" w:after="0"/>
              <w:textAlignment w:val="baseline"/>
              <w:rPr>
                <w:rFonts w:ascii="Arial" w:hAnsi="Arial" w:cs="Arial"/>
              </w:rPr>
            </w:pPr>
            <w:r>
              <w:rPr>
                <w:rFonts w:cs="Arial" w:ascii="Arial" w:hAnsi="Arial"/>
              </w:rPr>
              <w:t>Contribute to service projects, research activities and preventative work, including literature searches, data collection and feedback analysis.</w:t>
            </w:r>
          </w:p>
          <w:p>
            <w:pPr>
              <w:pStyle w:val="Paragraph"/>
              <w:numPr>
                <w:ilvl w:val="0"/>
                <w:numId w:val="7"/>
              </w:numPr>
              <w:spacing w:before="0" w:after="0"/>
              <w:textAlignment w:val="baseline"/>
              <w:rPr>
                <w:rFonts w:ascii="Arial" w:hAnsi="Arial" w:cs="Arial"/>
              </w:rPr>
            </w:pPr>
            <w:r>
              <w:rPr>
                <w:rFonts w:cs="Arial" w:ascii="Arial" w:hAnsi="Arial"/>
              </w:rPr>
              <w:t>Support service evaluation and development as required.</w:t>
            </w:r>
          </w:p>
          <w:p>
            <w:pPr>
              <w:pStyle w:val="Paragraph"/>
              <w:numPr>
                <w:ilvl w:val="0"/>
                <w:numId w:val="7"/>
              </w:numPr>
              <w:spacing w:before="0" w:after="0"/>
              <w:textAlignment w:val="baseline"/>
              <w:rPr>
                <w:rFonts w:ascii="Arial" w:hAnsi="Arial" w:cs="Arial"/>
              </w:rPr>
            </w:pPr>
            <w:r>
              <w:rPr>
                <w:rFonts w:cs="Arial" w:ascii="Arial" w:hAnsi="Arial"/>
              </w:rPr>
              <w:t>Represent the service, where appropriate, in forums promoting inclusion, the Graduated Response and Ordinarily Available Inclusive Provision.</w:t>
            </w:r>
          </w:p>
          <w:p>
            <w:pPr>
              <w:pStyle w:val="Paragraph"/>
              <w:spacing w:before="0" w:after="0"/>
              <w:textAlignment w:val="baseline"/>
              <w:rPr>
                <w:rFonts w:ascii="Arial" w:hAnsi="Arial" w:cs="Arial"/>
              </w:rPr>
            </w:pPr>
            <w:r>
              <w:rPr>
                <w:rFonts w:cs="Arial" w:ascii="Arial" w:hAnsi="Arial"/>
              </w:rPr>
            </w:r>
          </w:p>
          <w:p>
            <w:pPr>
              <w:pStyle w:val="Paragraph"/>
              <w:spacing w:before="0" w:after="0"/>
              <w:textAlignment w:val="baseline"/>
              <w:rPr>
                <w:rFonts w:ascii="Arial" w:hAnsi="Arial" w:cs="Arial"/>
                <w:b/>
                <w:b/>
                <w:bCs/>
              </w:rPr>
            </w:pPr>
            <w:r>
              <w:rPr>
                <w:rFonts w:cs="Arial" w:ascii="Arial" w:hAnsi="Arial"/>
                <w:b/>
                <w:bCs/>
              </w:rPr>
              <w:t>Organisation and Professional Development</w:t>
            </w:r>
          </w:p>
          <w:p>
            <w:pPr>
              <w:pStyle w:val="Paragraph"/>
              <w:numPr>
                <w:ilvl w:val="0"/>
                <w:numId w:val="8"/>
              </w:numPr>
              <w:spacing w:before="0" w:after="0"/>
              <w:textAlignment w:val="baseline"/>
              <w:rPr>
                <w:rFonts w:ascii="Arial" w:hAnsi="Arial" w:cs="Arial"/>
              </w:rPr>
            </w:pPr>
            <w:r>
              <w:rPr>
                <w:rFonts w:cs="Arial" w:ascii="Arial" w:hAnsi="Arial"/>
              </w:rPr>
              <w:t>Provide organisational and administrative support to Educational Psychologists and the wider service.</w:t>
            </w:r>
          </w:p>
          <w:p>
            <w:pPr>
              <w:pStyle w:val="Paragraph"/>
              <w:numPr>
                <w:ilvl w:val="0"/>
                <w:numId w:val="8"/>
              </w:numPr>
              <w:spacing w:before="0" w:after="0"/>
              <w:textAlignment w:val="baseline"/>
              <w:rPr>
                <w:rFonts w:ascii="Arial" w:hAnsi="Arial" w:cs="Arial"/>
              </w:rPr>
            </w:pPr>
            <w:r>
              <w:rPr>
                <w:rFonts w:cs="Arial" w:ascii="Arial" w:hAnsi="Arial"/>
              </w:rPr>
              <w:t>Support the coordination of meetings, training events and project activities.</w:t>
            </w:r>
          </w:p>
          <w:p>
            <w:pPr>
              <w:pStyle w:val="Paragraph"/>
              <w:numPr>
                <w:ilvl w:val="0"/>
                <w:numId w:val="8"/>
              </w:numPr>
              <w:spacing w:before="0" w:after="0"/>
              <w:textAlignment w:val="baseline"/>
              <w:rPr>
                <w:rFonts w:ascii="Arial" w:hAnsi="Arial" w:cs="Arial"/>
              </w:rPr>
            </w:pPr>
            <w:r>
              <w:rPr>
                <w:rFonts w:cs="Arial" w:ascii="Arial" w:hAnsi="Arial"/>
              </w:rPr>
              <w:t>Participate in regular supervision to develop knowledge, skills and professional practice.</w:t>
            </w:r>
          </w:p>
          <w:p>
            <w:pPr>
              <w:pStyle w:val="Paragraph"/>
              <w:numPr>
                <w:ilvl w:val="0"/>
                <w:numId w:val="8"/>
              </w:numPr>
              <w:spacing w:before="0" w:after="0"/>
              <w:textAlignment w:val="baseline"/>
              <w:rPr>
                <w:rFonts w:ascii="Arial" w:hAnsi="Arial" w:cs="Arial"/>
              </w:rPr>
            </w:pPr>
            <w:r>
              <w:rPr>
                <w:rFonts w:cs="Arial" w:ascii="Arial" w:hAnsi="Arial"/>
              </w:rPr>
              <w:t>Undertake continuing professional development and relevant training.</w:t>
            </w:r>
          </w:p>
          <w:p>
            <w:pPr>
              <w:pStyle w:val="Paragraph"/>
              <w:numPr>
                <w:ilvl w:val="0"/>
                <w:numId w:val="8"/>
              </w:numPr>
              <w:spacing w:before="0" w:after="0"/>
              <w:textAlignment w:val="baseline"/>
              <w:rPr>
                <w:rFonts w:ascii="Arial" w:hAnsi="Arial" w:cs="Arial"/>
              </w:rPr>
            </w:pPr>
            <w:r>
              <w:rPr>
                <w:rFonts w:cs="Arial" w:ascii="Arial" w:hAnsi="Arial"/>
              </w:rPr>
              <w:t>Participate in service, team and professional meetings within the Educational Psychology Service.</w:t>
            </w:r>
          </w:p>
          <w:p>
            <w:pPr>
              <w:pStyle w:val="Paragraph"/>
              <w:numPr>
                <w:ilvl w:val="0"/>
                <w:numId w:val="8"/>
              </w:numPr>
              <w:spacing w:before="0" w:after="0"/>
              <w:textAlignment w:val="baseline"/>
              <w:rPr>
                <w:rFonts w:ascii="Arial" w:hAnsi="Arial" w:cs="Arial"/>
              </w:rPr>
            </w:pPr>
            <w:r>
              <w:rPr>
                <w:rFonts w:cs="Arial" w:ascii="Arial" w:hAnsi="Arial"/>
              </w:rPr>
              <w:t>Adhere to professional standards, confidentiality requirements and service procedures at all times</w:t>
            </w:r>
          </w:p>
          <w:p>
            <w:pPr>
              <w:pStyle w:val="Paragraph"/>
              <w:spacing w:before="0" w:after="0"/>
              <w:textAlignment w:val="baseline"/>
              <w:rPr>
                <w:rFonts w:ascii="Arial" w:hAnsi="Arial" w:cs="Arial"/>
              </w:rPr>
            </w:pPr>
            <w:r>
              <w:rPr>
                <w:rFonts w:cs="Arial" w:ascii="Arial" w:hAnsi="Arial"/>
              </w:rPr>
            </w:r>
          </w:p>
          <w:tbl>
            <w:tblPr>
              <w:tblW w:w="10695" w:type="dxa"/>
              <w:jc w:val="left"/>
              <w:tblInd w:w="0" w:type="dxa"/>
              <w:tblCellMar>
                <w:top w:w="0" w:type="dxa"/>
                <w:left w:w="0" w:type="dxa"/>
                <w:bottom w:w="0" w:type="dxa"/>
                <w:right w:w="0" w:type="dxa"/>
              </w:tblCellMar>
            </w:tblPr>
            <w:tblGrid>
              <w:gridCol w:w="10695"/>
            </w:tblGrid>
            <w:tr>
              <w:trPr/>
              <w:tc>
                <w:tcPr>
                  <w:tcW w:w="10695" w:type="dxa"/>
                  <w:tcBorders/>
                  <w:shd w:fill="auto" w:val="clear"/>
                </w:tcPr>
                <w:p>
                  <w:pPr>
                    <w:pStyle w:val="ListParagraph"/>
                    <w:snapToGrid w:val="false"/>
                    <w:spacing w:lineRule="auto" w:line="240" w:before="0" w:after="0"/>
                    <w:ind w:left="0" w:right="0" w:hanging="0"/>
                    <w:contextualSpacing/>
                    <w:textAlignment w:val="baseline"/>
                    <w:rPr>
                      <w:rFonts w:ascii="Arial" w:hAnsi="Arial" w:eastAsia="Times New Roman" w:cs="Arial"/>
                      <w:sz w:val="24"/>
                      <w:szCs w:val="24"/>
                      <w:lang w:eastAsia="en-GB"/>
                    </w:rPr>
                  </w:pPr>
                  <w:r>
                    <w:rPr>
                      <w:rFonts w:eastAsia="Times New Roman" w:cs="Arial" w:ascii="Arial" w:hAnsi="Arial"/>
                      <w:sz w:val="24"/>
                      <w:szCs w:val="24"/>
                      <w:lang w:eastAsia="en-GB"/>
                    </w:rPr>
                  </w:r>
                </w:p>
              </w:tc>
            </w:tr>
          </w:tbl>
          <w:p>
            <w:pPr>
              <w:pStyle w:val="ListParagraph"/>
              <w:spacing w:lineRule="auto" w:line="240" w:before="0" w:after="0"/>
              <w:ind w:left="0" w:right="0" w:hanging="0"/>
              <w:contextualSpacing/>
              <w:textAlignment w:val="baseline"/>
              <w:rPr>
                <w:rFonts w:ascii="Arial" w:hAnsi="Arial" w:cs="Arial"/>
              </w:rPr>
            </w:pPr>
            <w:r>
              <w:rPr>
                <w:rFonts w:cs="Arial" w:ascii="Arial" w:hAnsi="Arial"/>
              </w:rPr>
            </w:r>
          </w:p>
        </w:tc>
      </w:tr>
    </w:tbl>
    <w:p>
      <w:pPr>
        <w:pStyle w:val="Normal"/>
        <w:rPr>
          <w:rFonts w:cs="Arial"/>
        </w:rPr>
      </w:pPr>
      <w:r>
        <w:rPr>
          <w:rFonts w:cs="Arial"/>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color w:val="FFFFFF"/>
              </w:rPr>
            </w:pPr>
            <w:r>
              <w:rPr>
                <w:rFonts w:cs="Arial"/>
                <w:b/>
                <w:color w:val="FFFFFF"/>
              </w:rPr>
              <w:t>Standard Duties:</w:t>
            </w:r>
          </w:p>
          <w:p>
            <w:pPr>
              <w:pStyle w:val="Normal"/>
              <w:jc w:val="both"/>
              <w:rPr>
                <w:rFonts w:cs="Arial"/>
                <w:color w:val="FFFFFF"/>
              </w:rPr>
            </w:pPr>
            <w:r>
              <w:rPr>
                <w:rFonts w:cs="Arial"/>
                <w:color w:val="FFFFFF"/>
              </w:rPr>
            </w:r>
          </w:p>
        </w:tc>
      </w:tr>
      <w:tr>
        <w:trPr>
          <w:trHeight w:val="255" w:hRule="atLeast"/>
        </w:trPr>
        <w:tc>
          <w:tcPr>
            <w:tcW w:w="522" w:type="dxa"/>
            <w:tcBorders>
              <w:left w:val="single" w:sz="4" w:space="0" w:color="000000"/>
            </w:tcBorders>
            <w:shd w:fill="auto" w:val="clear"/>
          </w:tcPr>
          <w:p>
            <w:pPr>
              <w:pStyle w:val="Normal"/>
              <w:snapToGrid w:val="false"/>
              <w:jc w:val="both"/>
              <w:rPr>
                <w:rFonts w:cs="Arial"/>
                <w:color w:val="FFFFFF"/>
              </w:rPr>
            </w:pPr>
            <w:r>
              <w:rPr>
                <w:rFonts w:cs="Arial"/>
                <w:color w:val="FFFFFF"/>
              </w:rPr>
            </w:r>
          </w:p>
        </w:tc>
        <w:tc>
          <w:tcPr>
            <w:tcW w:w="9927" w:type="dxa"/>
            <w:tcBorders>
              <w:right w:val="single" w:sz="4" w:space="0" w:color="000000"/>
            </w:tcBorders>
            <w:shd w:fill="auto" w:val="clear"/>
          </w:tcPr>
          <w:p>
            <w:pPr>
              <w:pStyle w:val="Normal"/>
              <w:snapToGrid w:val="false"/>
              <w:ind w:left="232" w:right="0" w:hanging="0"/>
              <w:rPr>
                <w:rFonts w:cs="Arial"/>
              </w:rPr>
            </w:pPr>
            <w:r>
              <w:rPr>
                <w:rFonts w:cs="Arial"/>
              </w:rPr>
            </w:r>
          </w:p>
          <w:p>
            <w:pPr>
              <w:pStyle w:val="Normal"/>
              <w:numPr>
                <w:ilvl w:val="0"/>
                <w:numId w:val="4"/>
              </w:numPr>
              <w:ind w:left="232" w:right="0" w:hanging="360"/>
              <w:rPr/>
            </w:pPr>
            <w:r>
              <w:rPr/>
              <w:t>To actively promote the equalities and diversity agenda in the workplace and in service delivery.</w:t>
            </w:r>
          </w:p>
          <w:p>
            <w:pPr>
              <w:pStyle w:val="Normal"/>
              <w:ind w:left="232" w:right="0" w:hanging="0"/>
              <w:rPr>
                <w:rFonts w:cs="Arial"/>
              </w:rPr>
            </w:pPr>
            <w:r>
              <w:rPr>
                <w:rFonts w:cs="Arial"/>
              </w:rPr>
            </w:r>
          </w:p>
        </w:tc>
      </w:tr>
      <w:tr>
        <w:trPr>
          <w:trHeight w:val="255" w:hRule="atLeast"/>
        </w:trPr>
        <w:tc>
          <w:tcPr>
            <w:tcW w:w="522" w:type="dxa"/>
            <w:tcBorders>
              <w:left w:val="single" w:sz="4" w:space="0" w:color="000000"/>
            </w:tcBorders>
            <w:shd w:fill="auto" w:val="clear"/>
          </w:tcPr>
          <w:p>
            <w:pPr>
              <w:pStyle w:val="Normal"/>
              <w:snapToGrid w:val="false"/>
              <w:jc w:val="both"/>
              <w:rPr>
                <w:rFonts w:cs="Arial"/>
              </w:rPr>
            </w:pPr>
            <w:r>
              <w:rPr>
                <w:rFonts w:cs="Arial"/>
              </w:rPr>
            </w:r>
          </w:p>
        </w:tc>
        <w:tc>
          <w:tcPr>
            <w:tcW w:w="9927" w:type="dxa"/>
            <w:tcBorders>
              <w:right w:val="single" w:sz="4" w:space="0" w:color="000000"/>
            </w:tcBorders>
            <w:shd w:fill="auto" w:val="clear"/>
          </w:tcPr>
          <w:p>
            <w:pPr>
              <w:pStyle w:val="Normal"/>
              <w:numPr>
                <w:ilvl w:val="0"/>
                <w:numId w:val="4"/>
              </w:numPr>
              <w:ind w:left="232" w:right="0" w:hanging="360"/>
              <w:rPr/>
            </w:pPr>
            <w:r>
              <w:rPr/>
              <w:t>To uphold and implement policies and procedures of the Council; including customer care, data protection, ICT, finance and health and safety policies.</w:t>
            </w:r>
          </w:p>
          <w:p>
            <w:pPr>
              <w:pStyle w:val="Normal"/>
              <w:ind w:left="232" w:right="0" w:hanging="0"/>
              <w:rPr/>
            </w:pPr>
            <w:r>
              <w:rPr/>
            </w:r>
          </w:p>
        </w:tc>
      </w:tr>
      <w:tr>
        <w:trPr>
          <w:trHeight w:val="255" w:hRule="atLeast"/>
        </w:trPr>
        <w:tc>
          <w:tcPr>
            <w:tcW w:w="522" w:type="dxa"/>
            <w:tcBorders>
              <w:left w:val="single" w:sz="4" w:space="0" w:color="000000"/>
            </w:tcBorders>
            <w:shd w:fill="auto" w:val="clear"/>
          </w:tcPr>
          <w:p>
            <w:pPr>
              <w:pStyle w:val="Normal"/>
              <w:snapToGrid w:val="false"/>
              <w:jc w:val="both"/>
              <w:rPr>
                <w:rFonts w:cs="Arial"/>
              </w:rPr>
            </w:pPr>
            <w:r>
              <w:rPr>
                <w:rFonts w:cs="Arial"/>
              </w:rPr>
            </w:r>
          </w:p>
        </w:tc>
        <w:tc>
          <w:tcPr>
            <w:tcW w:w="9927" w:type="dxa"/>
            <w:tcBorders>
              <w:right w:val="single" w:sz="4" w:space="0" w:color="000000"/>
            </w:tcBorders>
            <w:shd w:fill="auto" w:val="clear"/>
          </w:tcPr>
          <w:p>
            <w:pPr>
              <w:pStyle w:val="Normal"/>
              <w:numPr>
                <w:ilvl w:val="0"/>
                <w:numId w:val="4"/>
              </w:numPr>
              <w:ind w:left="232" w:right="0" w:hanging="360"/>
              <w:rPr/>
            </w:pPr>
            <w:r>
              <w:rPr/>
              <w:t>To actively engage with the behaviours and values of the Council to promote and support our Co-operative Agenda.</w:t>
            </w:r>
          </w:p>
          <w:p>
            <w:pPr>
              <w:pStyle w:val="Normal"/>
              <w:ind w:left="232" w:right="0" w:hanging="0"/>
              <w:rPr/>
            </w:pPr>
            <w:r>
              <w:rPr/>
            </w:r>
          </w:p>
        </w:tc>
      </w:tr>
      <w:tr>
        <w:trPr>
          <w:trHeight w:val="255" w:hRule="atLeast"/>
        </w:trPr>
        <w:tc>
          <w:tcPr>
            <w:tcW w:w="522" w:type="dxa"/>
            <w:tcBorders>
              <w:left w:val="single" w:sz="4" w:space="0" w:color="000000"/>
            </w:tcBorders>
            <w:shd w:fill="auto" w:val="clear"/>
          </w:tcPr>
          <w:p>
            <w:pPr>
              <w:pStyle w:val="Normal"/>
              <w:snapToGrid w:val="false"/>
              <w:jc w:val="both"/>
              <w:rPr>
                <w:rFonts w:cs="Arial"/>
              </w:rPr>
            </w:pPr>
            <w:r>
              <w:rPr>
                <w:rFonts w:cs="Arial"/>
              </w:rPr>
            </w:r>
          </w:p>
        </w:tc>
        <w:tc>
          <w:tcPr>
            <w:tcW w:w="9927" w:type="dxa"/>
            <w:tcBorders>
              <w:right w:val="single" w:sz="4" w:space="0" w:color="000000"/>
            </w:tcBorders>
            <w:shd w:fill="auto" w:val="clear"/>
          </w:tcPr>
          <w:p>
            <w:pPr>
              <w:pStyle w:val="Normal"/>
              <w:numPr>
                <w:ilvl w:val="0"/>
                <w:numId w:val="4"/>
              </w:numPr>
              <w:ind w:left="232" w:right="0" w:hanging="360"/>
              <w:rPr/>
            </w:pPr>
            <w:r>
              <w:rPr/>
              <w:t xml:space="preserve">To undertake continuous professional development and to be aware of new developments, legislation, initiatives, guidelines, policies and procedures as appropriate to the role. </w:t>
            </w:r>
          </w:p>
          <w:p>
            <w:pPr>
              <w:pStyle w:val="Normal"/>
              <w:ind w:left="232" w:right="0" w:hanging="0"/>
              <w:rPr/>
            </w:pPr>
            <w:r>
              <w:rPr/>
            </w:r>
          </w:p>
        </w:tc>
      </w:tr>
      <w:tr>
        <w:trPr>
          <w:trHeight w:val="255" w:hRule="atLeast"/>
        </w:trPr>
        <w:tc>
          <w:tcPr>
            <w:tcW w:w="522" w:type="dxa"/>
            <w:tcBorders>
              <w:left w:val="single" w:sz="4" w:space="0" w:color="000000"/>
              <w:bottom w:val="single" w:sz="4" w:space="0" w:color="000000"/>
            </w:tcBorders>
            <w:shd w:fill="auto" w:val="clear"/>
          </w:tcPr>
          <w:p>
            <w:pPr>
              <w:pStyle w:val="Normal"/>
              <w:snapToGrid w:val="false"/>
              <w:jc w:val="both"/>
              <w:rPr>
                <w:rFonts w:cs="Arial"/>
              </w:rPr>
            </w:pPr>
            <w:r>
              <w:rPr>
                <w:rFonts w:cs="Arial"/>
              </w:rPr>
            </w:r>
          </w:p>
        </w:tc>
        <w:tc>
          <w:tcPr>
            <w:tcW w:w="9927" w:type="dxa"/>
            <w:tcBorders>
              <w:bottom w:val="single" w:sz="4" w:space="0" w:color="000000"/>
              <w:right w:val="single" w:sz="4" w:space="0" w:color="000000"/>
            </w:tcBorders>
            <w:shd w:fill="auto" w:val="clear"/>
          </w:tcPr>
          <w:p>
            <w:pPr>
              <w:pStyle w:val="Normal"/>
              <w:numPr>
                <w:ilvl w:val="0"/>
                <w:numId w:val="4"/>
              </w:numPr>
              <w:ind w:left="232" w:right="0" w:hanging="360"/>
              <w:rPr/>
            </w:pPr>
            <w:r>
              <w:rPr/>
              <w:t>Undertake any additional duties commensurate with the level of the post.</w:t>
            </w:r>
          </w:p>
          <w:p>
            <w:pPr>
              <w:pStyle w:val="Normal"/>
              <w:ind w:left="232" w:right="0" w:hanging="0"/>
              <w:rPr/>
            </w:pPr>
            <w:r>
              <w:rPr/>
            </w:r>
          </w:p>
        </w:tc>
      </w:tr>
    </w:tbl>
    <w:p>
      <w:pPr>
        <w:pStyle w:val="Normal"/>
        <w:rPr>
          <w:rFonts w:cs="Arial"/>
        </w:rPr>
      </w:pPr>
      <w:r>
        <w:rPr>
          <w:rFonts w:cs="Arial"/>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b/>
                <w:b/>
              </w:rPr>
            </w:pPr>
            <w:r>
              <w:rPr>
                <w:rFonts w:cs="Arial"/>
                <w:b/>
              </w:rPr>
              <w:t>Contacts:</w:t>
            </w:r>
          </w:p>
          <w:p>
            <w:pPr>
              <w:pStyle w:val="Normal"/>
              <w:jc w:val="both"/>
              <w:rPr>
                <w:rFonts w:cs="Arial"/>
                <w:b/>
                <w:b/>
              </w:rPr>
            </w:pPr>
            <w:r>
              <w:rPr>
                <w:rFonts w:cs="Arial"/>
                <w:b/>
              </w:rPr>
            </w:r>
          </w:p>
          <w:p>
            <w:pPr>
              <w:pStyle w:val="Normal"/>
              <w:rPr>
                <w:rFonts w:cs="Arial"/>
              </w:rPr>
            </w:pPr>
            <w:r>
              <w:rPr>
                <w:rFonts w:cs="Arial"/>
              </w:rPr>
              <w:t>Educational and Child Psychology Service, Advisory Teachers, Inclusion Team, SEND team, Senior leaders</w:t>
            </w:r>
          </w:p>
          <w:p>
            <w:pPr>
              <w:pStyle w:val="Normal"/>
              <w:jc w:val="both"/>
              <w:rPr>
                <w:rFonts w:cs="Arial"/>
              </w:rPr>
            </w:pPr>
            <w:r>
              <w:rPr>
                <w:rFonts w:cs="Arial"/>
              </w:rPr>
            </w:r>
          </w:p>
        </w:tc>
      </w:tr>
    </w:tbl>
    <w:p>
      <w:pPr>
        <w:pStyle w:val="Normal"/>
        <w:rPr>
          <w:rFonts w:cs="Arial"/>
        </w:rPr>
      </w:pPr>
      <w:r>
        <w:rPr>
          <w:rFonts w:cs="Arial"/>
        </w:rPr>
      </w:r>
    </w:p>
    <w:p>
      <w:pPr>
        <w:pStyle w:val="Normal"/>
        <w:rPr>
          <w:rFonts w:cs="Arial"/>
        </w:rPr>
      </w:pPr>
      <w:r>
        <w:rPr>
          <w:rFonts w:cs="Arial"/>
        </w:rPr>
      </w:r>
      <w:r>
        <w:br w:type="page"/>
      </w:r>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pageBreakBefore/>
              <w:rPr>
                <w:rFonts w:cs="Arial"/>
                <w:color w:val="FFFFFF"/>
                <w:sz w:val="24"/>
                <w:szCs w:val="24"/>
              </w:rPr>
            </w:pPr>
            <w:r>
              <w:rPr>
                <w:rFonts w:cs="Arial"/>
                <w:color w:val="FFFFFF"/>
                <w:sz w:val="24"/>
                <w:szCs w:val="24"/>
              </w:rPr>
              <w:t>Relationship To Other Posts In The Department:</w:t>
            </w:r>
          </w:p>
          <w:p>
            <w:pPr>
              <w:pStyle w:val="Normal"/>
              <w:rPr>
                <w:rFonts w:cs="Arial"/>
                <w:color w:val="FFFFFF"/>
              </w:rPr>
            </w:pPr>
            <w:r>
              <w:rPr>
                <w:rFonts w:cs="Arial"/>
                <w:color w:val="FFFFFF"/>
              </w:rPr>
            </w:r>
          </w:p>
        </w:tc>
      </w:tr>
      <w:tr>
        <w:trPr>
          <w:trHeight w:val="518" w:hRule="atLeast"/>
        </w:trPr>
        <w:tc>
          <w:tcPr>
            <w:tcW w:w="2106" w:type="dxa"/>
            <w:tcBorders>
              <w:top w:val="single" w:sz="4" w:space="0" w:color="000000"/>
              <w:left w:val="single" w:sz="4" w:space="0" w:color="000000"/>
            </w:tcBorders>
            <w:shd w:fill="auto" w:val="clear"/>
          </w:tcPr>
          <w:p>
            <w:pPr>
              <w:pStyle w:val="Normal"/>
              <w:rPr>
                <w:rFonts w:cs="Arial"/>
                <w:b/>
                <w:b/>
              </w:rPr>
            </w:pPr>
            <w:r>
              <w:rPr>
                <w:rFonts w:cs="Arial"/>
                <w:b/>
              </w:rPr>
              <w:t xml:space="preserve">Responsible to:  </w:t>
            </w:r>
          </w:p>
          <w:p>
            <w:pPr>
              <w:pStyle w:val="Normal"/>
              <w:rPr>
                <w:rFonts w:cs="Arial"/>
              </w:rPr>
            </w:pPr>
            <w:r>
              <w:rPr>
                <w:rFonts w:cs="Arial"/>
              </w:rPr>
            </w:r>
          </w:p>
        </w:tc>
        <w:tc>
          <w:tcPr>
            <w:tcW w:w="8343" w:type="dxa"/>
            <w:tcBorders>
              <w:top w:val="single" w:sz="4" w:space="0" w:color="000000"/>
              <w:right w:val="single" w:sz="4" w:space="0" w:color="000000"/>
            </w:tcBorders>
            <w:shd w:fill="auto" w:val="clear"/>
          </w:tcPr>
          <w:p>
            <w:pPr>
              <w:pStyle w:val="TextBody"/>
              <w:rPr/>
            </w:pPr>
            <w:r>
              <w:rPr>
                <w:rFonts w:cs="Arial"/>
                <w:b w:val="false"/>
                <w:sz w:val="24"/>
                <w:szCs w:val="24"/>
              </w:rPr>
              <w:t>Sen</w:t>
            </w:r>
            <w:r>
              <w:rPr>
                <w:b w:val="false"/>
              </w:rPr>
              <w:t xml:space="preserve">ior EP </w:t>
            </w:r>
          </w:p>
        </w:tc>
      </w:tr>
      <w:tr>
        <w:trPr>
          <w:trHeight w:val="517" w:hRule="atLeast"/>
        </w:trPr>
        <w:tc>
          <w:tcPr>
            <w:tcW w:w="2106" w:type="dxa"/>
            <w:tcBorders>
              <w:left w:val="single" w:sz="4" w:space="0" w:color="000000"/>
              <w:bottom w:val="single" w:sz="4" w:space="0" w:color="000000"/>
            </w:tcBorders>
            <w:shd w:fill="auto" w:val="clear"/>
          </w:tcPr>
          <w:p>
            <w:pPr>
              <w:pStyle w:val="Normal"/>
              <w:rPr>
                <w:rFonts w:cs="Arial"/>
                <w:b/>
                <w:b/>
              </w:rPr>
            </w:pPr>
            <w:r>
              <w:rPr>
                <w:rFonts w:cs="Arial"/>
                <w:b/>
              </w:rPr>
              <w:t>Responsible for:</w:t>
            </w:r>
          </w:p>
        </w:tc>
        <w:tc>
          <w:tcPr>
            <w:tcW w:w="8343" w:type="dxa"/>
            <w:tcBorders>
              <w:bottom w:val="single" w:sz="4" w:space="0" w:color="000000"/>
              <w:right w:val="single" w:sz="4" w:space="0" w:color="000000"/>
            </w:tcBorders>
            <w:shd w:fill="auto" w:val="clear"/>
          </w:tcPr>
          <w:p>
            <w:pPr>
              <w:pStyle w:val="Normal"/>
              <w:snapToGrid w:val="false"/>
              <w:rPr>
                <w:rFonts w:cs="Arial"/>
                <w:color w:val="FF0000"/>
              </w:rPr>
            </w:pPr>
            <w:r>
              <w:rPr>
                <w:rFonts w:cs="Arial"/>
                <w:color w:val="FF0000"/>
              </w:rPr>
            </w:r>
          </w:p>
        </w:tc>
      </w:tr>
    </w:tbl>
    <w:p>
      <w:pPr>
        <w:pStyle w:val="Normal"/>
        <w:rPr>
          <w:rFonts w:cs="Arial"/>
        </w:rPr>
      </w:pPr>
      <w:r>
        <w:rPr>
          <w:rFonts w:cs="Arial"/>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rPr>
            </w:pPr>
            <w:r>
              <w:rPr>
                <w:rFonts w:cs="Arial"/>
                <w:b/>
              </w:rPr>
              <w:t>Special Conditions:</w:t>
            </w:r>
          </w:p>
          <w:p>
            <w:pPr>
              <w:pStyle w:val="Normal"/>
              <w:rPr>
                <w:rFonts w:cs="Arial"/>
                <w:b/>
                <w:b/>
              </w:rPr>
            </w:pPr>
            <w:r>
              <w:rPr>
                <w:rFonts w:cs="Arial"/>
                <w:b/>
              </w:rPr>
            </w:r>
          </w:p>
          <w:p>
            <w:pPr>
              <w:pStyle w:val="Normal"/>
              <w:rPr>
                <w:rFonts w:cs="Arial"/>
                <w:b/>
                <w:b/>
              </w:rPr>
            </w:pPr>
            <w:r>
              <w:rPr>
                <w:rFonts w:cs="Arial"/>
                <w:b/>
              </w:rPr>
            </w:r>
          </w:p>
        </w:tc>
      </w:tr>
    </w:tbl>
    <w:p>
      <w:pPr>
        <w:pStyle w:val="Normal"/>
        <w:rPr>
          <w:rFonts w:cs="Arial"/>
        </w:rPr>
      </w:pPr>
      <w:r>
        <w:rPr>
          <w:rFonts w:cs="Arial"/>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color w:val="FFFFFF"/>
              </w:rPr>
            </w:pPr>
            <w:r>
              <w:rPr>
                <w:rFonts w:cs="Arial"/>
                <w:b/>
                <w:color w:val="FFFFFF"/>
              </w:rPr>
              <w:t>Values and Behaviours:</w:t>
            </w:r>
          </w:p>
          <w:p>
            <w:pPr>
              <w:pStyle w:val="Normal"/>
              <w:rPr>
                <w:rFonts w:cs="Arial"/>
                <w:b/>
                <w:b/>
                <w:color w:val="FFFFFF"/>
              </w:rPr>
            </w:pPr>
            <w:r>
              <w:rPr>
                <w:rFonts w:cs="Arial"/>
                <w:b/>
                <w:color w:val="FFFFFF"/>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lang w:val="en" w:eastAsia="en-GB"/>
              </w:rPr>
            </w:pPr>
            <w:r>
              <w:rPr>
                <w:rFonts w:cs="Arial"/>
                <w:lang w:val="en" w:eastAsia="en-GB"/>
              </w:rPr>
              <w:t>We have a clear set of values that outline how we do business. We share these Borough-wide with our residents, partners and businesses:</w:t>
            </w:r>
          </w:p>
          <w:p>
            <w:pPr>
              <w:pStyle w:val="Normal"/>
              <w:numPr>
                <w:ilvl w:val="0"/>
                <w:numId w:val="3"/>
              </w:numPr>
              <w:jc w:val="both"/>
              <w:rPr/>
            </w:pPr>
            <w:r>
              <w:rPr>
                <w:rFonts w:cs="Arial"/>
                <w:b/>
                <w:bCs/>
                <w:lang w:val="en" w:eastAsia="en-GB"/>
              </w:rPr>
              <w:t>Fairness - </w:t>
            </w:r>
            <w:r>
              <w:rPr>
                <w:rFonts w:cs="Arial"/>
                <w:lang w:val="en" w:eastAsia="en-GB"/>
              </w:rPr>
              <w:t>We will champion fairness and equality of opportunity, and ensure working together brings mutual benefits and the greatest possible added value. We will enable everyone to be involved.</w:t>
            </w:r>
          </w:p>
          <w:p>
            <w:pPr>
              <w:pStyle w:val="Normal"/>
              <w:numPr>
                <w:ilvl w:val="0"/>
                <w:numId w:val="3"/>
              </w:numPr>
              <w:jc w:val="both"/>
              <w:rPr/>
            </w:pPr>
            <w:r>
              <w:rPr>
                <w:rFonts w:cs="Arial"/>
                <w:b/>
                <w:bCs/>
                <w:lang w:val="en" w:eastAsia="en-GB"/>
              </w:rPr>
              <w:t>Openness - </w:t>
            </w:r>
            <w:r>
              <w:rPr>
                <w:rFonts w:cs="Arial"/>
                <w:lang w:val="en" w:eastAsia="en-GB"/>
              </w:rPr>
              <w:t>We will be open and honest in our actions and communications. We will take decisions in a transparent way and at the most local level possible.</w:t>
            </w:r>
          </w:p>
          <w:p>
            <w:pPr>
              <w:pStyle w:val="Normal"/>
              <w:numPr>
                <w:ilvl w:val="0"/>
                <w:numId w:val="3"/>
              </w:numPr>
              <w:jc w:val="both"/>
              <w:rPr/>
            </w:pPr>
            <w:r>
              <w:rPr>
                <w:rFonts w:cs="Arial"/>
                <w:b/>
                <w:bCs/>
                <w:lang w:val="en" w:eastAsia="en-GB"/>
              </w:rPr>
              <w:t>Responsibility - </w:t>
            </w:r>
            <w:r>
              <w:rPr>
                <w:rFonts w:cs="Arial"/>
                <w:lang w:val="en" w:eastAsia="en-GB"/>
              </w:rPr>
              <w:t>We take responsibility for, and answer to our actions. We will encourage people to take responsibility for themselves and their actions. Mutual benefits go hand-in-hand with mutual obligations.</w:t>
            </w:r>
          </w:p>
          <w:p>
            <w:pPr>
              <w:pStyle w:val="Normal"/>
              <w:numPr>
                <w:ilvl w:val="0"/>
                <w:numId w:val="3"/>
              </w:numPr>
              <w:jc w:val="both"/>
              <w:rPr/>
            </w:pPr>
            <w:r>
              <w:rPr>
                <w:rFonts w:cs="Arial"/>
                <w:b/>
                <w:bCs/>
                <w:lang w:val="en" w:eastAsia="en-GB"/>
              </w:rPr>
              <w:t>Working together - </w:t>
            </w:r>
            <w:r>
              <w:rPr>
                <w:rFonts w:cs="Arial"/>
                <w:lang w:val="en" w:eastAsia="en-GB"/>
              </w:rPr>
              <w:t>We will work together and support each other in achieving common goals, making sure the environment is in place for self-help.</w:t>
            </w:r>
          </w:p>
          <w:p>
            <w:pPr>
              <w:pStyle w:val="Normal"/>
              <w:numPr>
                <w:ilvl w:val="0"/>
                <w:numId w:val="3"/>
              </w:numPr>
              <w:jc w:val="both"/>
              <w:rPr/>
            </w:pPr>
            <w:r>
              <w:rPr>
                <w:rFonts w:cs="Arial"/>
                <w:b/>
                <w:bCs/>
                <w:lang w:val="en" w:eastAsia="en-GB"/>
              </w:rPr>
              <w:t>Accountability - </w:t>
            </w:r>
            <w:r>
              <w:rPr>
                <w:rFonts w:cs="Arial"/>
                <w:lang w:val="en" w:eastAsia="en-GB"/>
              </w:rPr>
              <w:t>We recognise and act upon the impact of our actions on others, and hold ourselves accountable to our stakeholders.</w:t>
            </w:r>
          </w:p>
          <w:p>
            <w:pPr>
              <w:pStyle w:val="Normal"/>
              <w:numPr>
                <w:ilvl w:val="0"/>
                <w:numId w:val="3"/>
              </w:numPr>
              <w:jc w:val="both"/>
              <w:rPr/>
            </w:pPr>
            <w:r>
              <w:rPr>
                <w:rFonts w:cs="Arial"/>
                <w:b/>
                <w:bCs/>
                <w:lang w:val="en" w:eastAsia="en-GB"/>
              </w:rPr>
              <w:t>Respect - </w:t>
            </w:r>
            <w:r>
              <w:rPr>
                <w:rFonts w:cs="Arial"/>
                <w:lang w:val="en" w:eastAsia="en-GB"/>
              </w:rPr>
              <w:t>We recognise and welcome different views and treat each other with dignity and respect.</w:t>
            </w:r>
          </w:p>
          <w:p>
            <w:pPr>
              <w:pStyle w:val="Normal"/>
              <w:numPr>
                <w:ilvl w:val="0"/>
                <w:numId w:val="3"/>
              </w:numPr>
              <w:jc w:val="both"/>
              <w:rPr/>
            </w:pPr>
            <w:r>
              <w:rPr>
                <w:rFonts w:cs="Arial"/>
                <w:b/>
                <w:bCs/>
                <w:lang w:val="en" w:eastAsia="en-GB"/>
              </w:rPr>
              <w:t>Democracy - </w:t>
            </w:r>
            <w:r>
              <w:rPr>
                <w:rFonts w:cs="Arial"/>
                <w:lang w:val="en" w:eastAsia="en-GB"/>
              </w:rPr>
              <w:t>We believe and act within the principles of democracy, and promote these across the borough. </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rPr>
            </w:pPr>
            <w:r>
              <w:rPr>
                <w:rFonts w:cs="Arial"/>
              </w:rPr>
            </w:r>
          </w:p>
          <w:p>
            <w:pPr>
              <w:pStyle w:val="Normal"/>
              <w:rPr>
                <w:rFonts w:cs="Arial"/>
                <w:lang w:val="en"/>
              </w:rPr>
            </w:pPr>
            <w:r>
              <w:rPr>
                <w:rFonts w:cs="Arial"/>
                <w:lang w:val="en"/>
              </w:rPr>
              <w:t>Internally we’ve translated these values into five Co-operative behaviours which outline the priority areas of focus for staff at all levels.</w:t>
            </w:r>
          </w:p>
          <w:p>
            <w:pPr>
              <w:pStyle w:val="Normal"/>
              <w:numPr>
                <w:ilvl w:val="0"/>
                <w:numId w:val="2"/>
              </w:numPr>
              <w:rPr>
                <w:rFonts w:cs="Arial"/>
              </w:rPr>
            </w:pPr>
            <w:r>
              <w:rPr>
                <w:rFonts w:cs="Arial"/>
              </w:rPr>
              <w:t>Work with a Resident Focus</w:t>
            </w:r>
          </w:p>
          <w:p>
            <w:pPr>
              <w:pStyle w:val="Normal"/>
              <w:numPr>
                <w:ilvl w:val="0"/>
                <w:numId w:val="2"/>
              </w:numPr>
              <w:rPr>
                <w:rFonts w:cs="Arial"/>
              </w:rPr>
            </w:pPr>
            <w:r>
              <w:rPr>
                <w:rFonts w:cs="Arial"/>
              </w:rPr>
              <w:t>Support Local Leaders</w:t>
            </w:r>
          </w:p>
          <w:p>
            <w:pPr>
              <w:pStyle w:val="Normal"/>
              <w:numPr>
                <w:ilvl w:val="0"/>
                <w:numId w:val="2"/>
              </w:numPr>
              <w:rPr>
                <w:rFonts w:cs="Arial"/>
              </w:rPr>
            </w:pPr>
            <w:r>
              <w:rPr>
                <w:rFonts w:cs="Arial"/>
              </w:rPr>
              <w:t>Committed to the Borough</w:t>
            </w:r>
          </w:p>
          <w:p>
            <w:pPr>
              <w:pStyle w:val="Normal"/>
              <w:numPr>
                <w:ilvl w:val="0"/>
                <w:numId w:val="2"/>
              </w:numPr>
              <w:rPr>
                <w:rFonts w:cs="Arial"/>
              </w:rPr>
            </w:pPr>
            <w:r>
              <w:rPr>
                <w:rFonts w:cs="Arial"/>
              </w:rPr>
              <w:t>Take Ownership and Drive Change</w:t>
            </w:r>
          </w:p>
          <w:p>
            <w:pPr>
              <w:pStyle w:val="Normal"/>
              <w:numPr>
                <w:ilvl w:val="0"/>
                <w:numId w:val="2"/>
              </w:numPr>
              <w:rPr>
                <w:rFonts w:cs="Arial"/>
              </w:rPr>
            </w:pPr>
            <w:r>
              <w:rPr>
                <w:rFonts w:cs="Arial"/>
              </w:rPr>
              <w:t xml:space="preserve">Deliver High Performance </w:t>
            </w:r>
          </w:p>
          <w:p>
            <w:pPr>
              <w:pStyle w:val="Normal"/>
              <w:rPr>
                <w:rFonts w:cs="Arial"/>
              </w:rPr>
            </w:pPr>
            <w:r>
              <w:rPr>
                <w:rFonts w:cs="Arial"/>
              </w:rPr>
            </w:r>
          </w:p>
          <w:p>
            <w:pPr>
              <w:pStyle w:val="Normal"/>
              <w:rPr>
                <w:rFonts w:cs="Arial"/>
              </w:rPr>
            </w:pPr>
            <w:r>
              <w:rPr>
                <w:rFonts w:cs="Arial"/>
              </w:rPr>
              <w:t>More information around our Values and Behaviours can be found on our Greater.Jobs pages.</w:t>
            </w:r>
          </w:p>
          <w:p>
            <w:pPr>
              <w:pStyle w:val="Normal"/>
              <w:rPr>
                <w:rFonts w:cs="Arial"/>
                <w:b/>
                <w:b/>
              </w:rPr>
            </w:pPr>
            <w:r>
              <w:rPr>
                <w:rFonts w:cs="Arial"/>
                <w:b/>
              </w:rPr>
            </w:r>
          </w:p>
        </w:tc>
      </w:tr>
    </w:tbl>
    <w:p>
      <w:pPr>
        <w:pStyle w:val="Normal"/>
        <w:rPr>
          <w:rFonts w:cs="Arial"/>
        </w:rPr>
      </w:pPr>
      <w:r>
        <w:rPr>
          <w:rFonts w:cs="Arial"/>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rPr>
                <w:rFonts w:cs="Arial"/>
                <w:color w:val="FFFFFF"/>
                <w:sz w:val="24"/>
                <w:szCs w:val="24"/>
              </w:rPr>
            </w:pPr>
            <w:r>
              <w:rPr>
                <w:rFonts w:cs="Arial"/>
                <w:color w:val="FFFFFF"/>
                <w:sz w:val="24"/>
                <w:szCs w:val="24"/>
              </w:rPr>
            </w:r>
          </w:p>
        </w:tc>
        <w:tc>
          <w:tcPr>
            <w:tcW w:w="1800" w:type="dxa"/>
            <w:tcBorders>
              <w:top w:val="single" w:sz="4" w:space="0" w:color="000000"/>
              <w:left w:val="single" w:sz="4" w:space="0" w:color="000000"/>
              <w:bottom w:val="single" w:sz="4" w:space="0" w:color="000000"/>
            </w:tcBorders>
            <w:shd w:fill="00B3BE" w:val="clear"/>
          </w:tcPr>
          <w:p>
            <w:pPr>
              <w:pStyle w:val="Normal"/>
              <w:jc w:val="center"/>
              <w:rPr>
                <w:rFonts w:cs="Arial"/>
                <w:b/>
                <w:b/>
                <w:color w:val="FFFFFF"/>
              </w:rPr>
            </w:pPr>
            <w:r>
              <w:rPr>
                <w:rFonts w:cs="Arial"/>
                <w:b/>
                <w:color w:val="FFFFFF"/>
              </w:rPr>
              <w:t>DATE</w:t>
            </w:r>
          </w:p>
        </w:tc>
        <w:tc>
          <w:tcPr>
            <w:tcW w:w="2160" w:type="dxa"/>
            <w:tcBorders>
              <w:top w:val="single" w:sz="4" w:space="0" w:color="000000"/>
              <w:left w:val="single" w:sz="4" w:space="0" w:color="000000"/>
              <w:bottom w:val="single" w:sz="4" w:space="0" w:color="000000"/>
            </w:tcBorders>
            <w:shd w:fill="00B3BE" w:val="clear"/>
          </w:tcPr>
          <w:p>
            <w:pPr>
              <w:pStyle w:val="Normal"/>
              <w:jc w:val="center"/>
              <w:rPr>
                <w:rFonts w:cs="Arial"/>
                <w:b/>
                <w:b/>
                <w:color w:val="FFFFFF"/>
              </w:rPr>
            </w:pPr>
            <w:r>
              <w:rPr>
                <w:rFonts w:cs="Arial"/>
                <w:b/>
                <w:color w:val="FFFFFF"/>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jc w:val="center"/>
              <w:rPr>
                <w:rFonts w:cs="Arial"/>
                <w:b/>
                <w:b/>
                <w:color w:val="FFFFFF"/>
              </w:rPr>
            </w:pPr>
            <w:r>
              <w:rPr>
                <w:rFonts w:cs="Arial"/>
                <w:b/>
                <w:color w:val="FFFFFF"/>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1.9.21</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 xml:space="preserve">Dr Victoria Harold  </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sz w:val="22"/>
                <w:szCs w:val="22"/>
              </w:rPr>
            </w:pPr>
            <w:r>
              <w:rPr>
                <w:sz w:val="22"/>
                <w:szCs w:val="22"/>
              </w:rPr>
              <w:t xml:space="preserve">Principal Educational Psychologist &amp; Preventative Lead </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14.4.23</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 xml:space="preserve">Dr Victoria Harold  </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sz w:val="22"/>
                <w:szCs w:val="22"/>
              </w:rPr>
            </w:pPr>
            <w:r>
              <w:rPr>
                <w:sz w:val="22"/>
                <w:szCs w:val="22"/>
              </w:rPr>
              <w:t>Principal Educational Psychologist &amp; Preventative Lead</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1.9.25</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 xml:space="preserve">Dr Victoria Harold  </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sz w:val="22"/>
                <w:szCs w:val="22"/>
              </w:rPr>
            </w:pPr>
            <w:r>
              <w:rPr>
                <w:sz w:val="22"/>
                <w:szCs w:val="22"/>
              </w:rPr>
              <w:t>Head of Specialist Services</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23.7.26</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Claire Orimolade</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sz w:val="22"/>
                <w:szCs w:val="22"/>
              </w:rPr>
            </w:pPr>
            <w:r>
              <w:rPr>
                <w:sz w:val="22"/>
                <w:szCs w:val="22"/>
              </w:rPr>
              <w:t>Senior Educational Psychologist</w:t>
            </w:r>
          </w:p>
        </w:tc>
      </w:tr>
    </w:tbl>
    <w:p>
      <w:pPr>
        <w:pStyle w:val="Normal"/>
        <w:jc w:val="center"/>
        <w:rPr>
          <w:rFonts w:cs="Arial"/>
          <w:b/>
          <w:b/>
          <w:bCs/>
          <w:u w:val="single"/>
        </w:rPr>
      </w:pPr>
      <w:r>
        <w:br w:type="page"/>
      </w:r>
      <w:r>
        <w:rPr>
          <w:rFonts w:cs="Arial"/>
          <w:b/>
          <w:bCs/>
          <w:u w:val="single"/>
        </w:rPr>
        <w:t>OLDHAM COUNCIL</w:t>
      </w:r>
    </w:p>
    <w:p>
      <w:pPr>
        <w:pStyle w:val="Normal"/>
        <w:jc w:val="center"/>
        <w:rPr>
          <w:rFonts w:cs="Arial"/>
          <w:b/>
          <w:b/>
          <w:bCs/>
          <w:u w:val="single"/>
        </w:rPr>
      </w:pPr>
      <w:r>
        <w:rPr>
          <w:rFonts w:cs="Arial"/>
          <w:b/>
          <w:bCs/>
          <w:u w:val="single"/>
        </w:rPr>
        <mc:AlternateContent>
          <mc:Choice Requires="wps">
            <w:drawing>
              <wp:anchor behindDoc="0" distT="0" distB="0" distL="114935" distR="114935" simplePos="0" locked="0" layoutInCell="1" allowOverlap="1" relativeHeight="3">
                <wp:simplePos x="0" y="0"/>
                <wp:positionH relativeFrom="column">
                  <wp:posOffset>5143500</wp:posOffset>
                </wp:positionH>
                <wp:positionV relativeFrom="paragraph">
                  <wp:posOffset>-605790</wp:posOffset>
                </wp:positionV>
                <wp:extent cx="1149350" cy="1188085"/>
                <wp:effectExtent l="0"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 fillcolor="white" stroked="f" style="position:absolute;margin-left:405pt;margin-top:-47.7pt;width:90.4pt;height:93.45pt">
                <w10:wrap type="none"/>
                <v:fill o:detectmouseclick="t" type="solid" color2="black"/>
                <v:stroke color="#3465a4" joinstyle="round" endcap="flat"/>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1390" cy="1094740"/>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Normal"/>
        <w:jc w:val="center"/>
        <w:rPr>
          <w:rFonts w:cs="Arial"/>
          <w:b/>
          <w:b/>
          <w:bCs/>
          <w:u w:val="single"/>
        </w:rPr>
      </w:pPr>
      <w:r>
        <w:rPr>
          <w:rFonts w:cs="Arial"/>
          <w:b/>
          <w:bCs/>
          <w:u w:val="single"/>
        </w:rPr>
        <w:t>PERSON SPECIFICATION</w:t>
      </w:r>
    </w:p>
    <w:p>
      <w:pPr>
        <w:pStyle w:val="Normal"/>
        <w:rPr>
          <w:rFonts w:cs="Arial"/>
          <w:bCs/>
        </w:rPr>
      </w:pPr>
      <w:r>
        <w:rPr>
          <w:rFonts w:cs="Arial"/>
          <w:bCs/>
        </w:rPr>
      </w:r>
    </w:p>
    <w:p>
      <w:pPr>
        <w:pStyle w:val="Normal"/>
        <w:ind w:left="0" w:right="-514" w:hanging="0"/>
        <w:rPr/>
      </w:pPr>
      <w:r>
        <w:rPr>
          <w:rFonts w:cs="Arial"/>
          <w:b/>
          <w:bCs/>
        </w:rPr>
        <w:t>Job Title:</w:t>
      </w:r>
      <w:r>
        <w:rPr>
          <w:rFonts w:cs="Arial"/>
          <w:bCs/>
        </w:rPr>
        <w:t xml:space="preserve">  Assistant Educational Psychologist </w:t>
      </w:r>
    </w:p>
    <w:p>
      <w:pPr>
        <w:pStyle w:val="Normal"/>
        <w:rPr>
          <w:rFonts w:cs="Arial"/>
        </w:rPr>
      </w:pPr>
      <w:r>
        <w:rPr>
          <w:rFonts w:cs="Arial"/>
        </w:rPr>
      </w:r>
    </w:p>
    <w:tbl>
      <w:tblPr>
        <w:tblW w:w="10449" w:type="dxa"/>
        <w:jc w:val="left"/>
        <w:tblInd w:w="-617" w:type="dxa"/>
        <w:tblCellMar>
          <w:top w:w="0" w:type="dxa"/>
          <w:left w:w="108" w:type="dxa"/>
          <w:bottom w:w="0" w:type="dxa"/>
          <w:right w:w="108" w:type="dxa"/>
        </w:tblCellMar>
      </w:tblPr>
      <w:tblGrid>
        <w:gridCol w:w="1713"/>
        <w:gridCol w:w="4677"/>
        <w:gridCol w:w="2693"/>
        <w:gridCol w:w="1366"/>
      </w:tblGrid>
      <w:tr>
        <w:trPr>
          <w:trHeight w:val="1000" w:hRule="atLeast"/>
          <w:cantSplit w:val="true"/>
        </w:trPr>
        <w:tc>
          <w:tcPr>
            <w:tcW w:w="1713"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tc>
        <w:tc>
          <w:tcPr>
            <w:tcW w:w="4677"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(Essential)</w:t>
            </w:r>
          </w:p>
        </w:tc>
        <w:tc>
          <w:tcPr>
            <w:tcW w:w="2693"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(Desirable)</w:t>
            </w:r>
          </w:p>
          <w:p>
            <w:pPr>
              <w:pStyle w:val="Normal"/>
              <w:jc w:val="center"/>
              <w:rPr>
                <w:rFonts w:cs="Arial"/>
                <w:b/>
                <w:b/>
                <w:bCs/>
                <w:color w:val="FFFFFF"/>
                <w:sz w:val="22"/>
                <w:szCs w:val="22"/>
              </w:rPr>
            </w:pPr>
            <w:r>
              <w:rPr>
                <w:rFonts w:cs="Arial"/>
                <w:b/>
                <w:bCs/>
                <w:color w:val="FFFFFF"/>
                <w:sz w:val="22"/>
                <w:szCs w:val="22"/>
              </w:rPr>
            </w:r>
          </w:p>
        </w:tc>
        <w:tc>
          <w:tcPr>
            <w:tcW w:w="1366"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How Assessed</w:t>
            </w:r>
          </w:p>
        </w:tc>
      </w:tr>
      <w:tr>
        <w:trPr/>
        <w:tc>
          <w:tcPr>
            <w:tcW w:w="1713"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TextBody"/>
              <w:rPr>
                <w:rFonts w:cs="Arial"/>
                <w:bCs/>
                <w:color w:val="FFFFFF"/>
                <w:szCs w:val="22"/>
              </w:rPr>
            </w:pPr>
            <w:r>
              <w:rPr>
                <w:rFonts w:cs="Arial"/>
                <w:bCs/>
                <w:color w:val="FFFFFF"/>
                <w:szCs w:val="22"/>
              </w:rPr>
              <w:t>Education &amp; Qualifications</w:t>
            </w:r>
          </w:p>
          <w:p>
            <w:pPr>
              <w:pStyle w:val="Normal"/>
              <w:rPr>
                <w:rFonts w:cs="Arial"/>
                <w:b/>
                <w:b/>
                <w:bCs/>
                <w:color w:val="FFFFFF"/>
                <w:sz w:val="22"/>
                <w:szCs w:val="22"/>
              </w:rPr>
            </w:pPr>
            <w:r>
              <w:rPr>
                <w:rFonts w:cs="Arial"/>
                <w:b/>
                <w:bCs/>
                <w:color w:val="FFFFFF"/>
                <w:sz w:val="22"/>
                <w:szCs w:val="22"/>
              </w:rPr>
            </w:r>
          </w:p>
        </w:tc>
        <w:tc>
          <w:tcPr>
            <w:tcW w:w="4677" w:type="dxa"/>
            <w:tcBorders>
              <w:top w:val="single" w:sz="4" w:space="0" w:color="000000"/>
              <w:left w:val="single" w:sz="4" w:space="0" w:color="000000"/>
              <w:bottom w:val="single" w:sz="4" w:space="0" w:color="000000"/>
            </w:tcBorders>
            <w:shd w:fill="auto" w:val="clear"/>
          </w:tcPr>
          <w:p>
            <w:pPr>
              <w:pStyle w:val="Normal"/>
              <w:overflowPunct w:val="true"/>
              <w:snapToGrid w:val="false"/>
              <w:textAlignment w:val="baseline"/>
              <w:rPr>
                <w:rFonts w:cs="Arial"/>
                <w:b/>
                <w:b/>
                <w:bCs/>
                <w:color w:val="FFFFFF"/>
                <w:sz w:val="22"/>
                <w:szCs w:val="22"/>
              </w:rPr>
            </w:pPr>
            <w:r>
              <w:rPr>
                <w:rFonts w:cs="Arial"/>
                <w:b/>
                <w:bCs/>
                <w:color w:val="FFFFFF"/>
                <w:sz w:val="22"/>
                <w:szCs w:val="22"/>
              </w:rPr>
            </w:r>
          </w:p>
          <w:p>
            <w:pPr>
              <w:pStyle w:val="Normal"/>
              <w:overflowPunct w:val="true"/>
              <w:textAlignment w:val="baseline"/>
              <w:rPr/>
            </w:pPr>
            <w:r>
              <w:rPr>
                <w:rStyle w:val="Normaltextrun"/>
                <w:rFonts w:cs="Arial"/>
                <w:color w:val="000000"/>
                <w:shd w:fill="FFFFFF" w:val="clear"/>
              </w:rPr>
              <w:t>At least 2:1 honours degree in Psychology (or recognised equivalent) and the Graduate Basis for Registration or Chartership (GBR/ GBC) as a psychologist as required by the British Psychological Society</w:t>
            </w:r>
            <w:r>
              <w:rPr>
                <w:sz w:val="22"/>
                <w:szCs w:val="22"/>
              </w:rPr>
              <w:t>.</w:t>
            </w:r>
          </w:p>
          <w:p>
            <w:pPr>
              <w:pStyle w:val="Normal"/>
              <w:overflowPunct w:val="true"/>
              <w:textAlignment w:val="baseline"/>
              <w:rPr>
                <w:rFonts w:cs="Arial"/>
                <w:sz w:val="22"/>
                <w:szCs w:val="22"/>
              </w:rPr>
            </w:pPr>
            <w:r>
              <w:rPr>
                <w:rFonts w:cs="Arial"/>
                <w:sz w:val="22"/>
                <w:szCs w:val="22"/>
              </w:rPr>
            </w:r>
          </w:p>
          <w:p>
            <w:pPr>
              <w:pStyle w:val="Normal"/>
              <w:overflowPunct w:val="true"/>
              <w:textAlignment w:val="baseline"/>
              <w:rPr/>
            </w:pPr>
            <w:r>
              <w:rPr>
                <w:rStyle w:val="Normaltextrun"/>
                <w:rFonts w:cs="Arial"/>
                <w:color w:val="000000"/>
                <w:shd w:fill="FFFFFF" w:val="clear"/>
              </w:rPr>
              <w:t>To hold a valid driving licence (</w:t>
            </w:r>
            <w:r>
              <w:rPr>
                <w:rStyle w:val="Normaltextrun"/>
                <w:rFonts w:cs="Arial"/>
                <w:i/>
                <w:iCs/>
                <w:color w:val="000000"/>
                <w:shd w:fill="FFFFFF" w:val="clear"/>
              </w:rPr>
              <w:t>please state this within your application</w:t>
            </w:r>
            <w:r>
              <w:rPr>
                <w:rStyle w:val="Normaltextrun"/>
                <w:rFonts w:cs="Arial"/>
                <w:color w:val="000000"/>
                <w:shd w:fill="FFFFFF" w:val="clear"/>
              </w:rPr>
              <w:t>) / enhanced DBS.</w:t>
            </w:r>
            <w:r>
              <w:rPr>
                <w:rStyle w:val="Eop"/>
                <w:rFonts w:cs="Arial"/>
                <w:color w:val="000000"/>
                <w:sz w:val="22"/>
                <w:szCs w:val="22"/>
                <w:shd w:fill="FFFFFF" w:val="clear"/>
              </w:rPr>
              <w:t> </w:t>
            </w:r>
          </w:p>
          <w:p>
            <w:pPr>
              <w:pStyle w:val="Header"/>
              <w:tabs>
                <w:tab w:val="clear" w:pos="4153"/>
                <w:tab w:val="clear" w:pos="8306"/>
              </w:tabs>
              <w:rPr>
                <w:rFonts w:cs="Arial"/>
                <w:szCs w:val="22"/>
              </w:rPr>
            </w:pPr>
            <w:r>
              <w:rPr>
                <w:rFonts w:cs="Arial"/>
                <w:szCs w:val="22"/>
              </w:rPr>
            </w:r>
          </w:p>
        </w:tc>
        <w:tc>
          <w:tcPr>
            <w:tcW w:w="2693"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szCs w:val="22"/>
              </w:rPr>
            </w:pPr>
            <w:r>
              <w:rPr>
                <w:rFonts w:cs="Arial"/>
                <w:szCs w:val="22"/>
              </w:rPr>
            </w:r>
          </w:p>
        </w:tc>
        <w:tc>
          <w:tcPr>
            <w:tcW w:w="1366"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t>AF / I</w:t>
            </w:r>
          </w:p>
        </w:tc>
      </w:tr>
      <w:tr>
        <w:trPr>
          <w:trHeight w:val="70" w:hRule="atLeast"/>
        </w:trPr>
        <w:tc>
          <w:tcPr>
            <w:tcW w:w="1713"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Experience</w:t>
            </w:r>
          </w:p>
          <w:p>
            <w:pPr>
              <w:pStyle w:val="Normal"/>
              <w:rPr>
                <w:rFonts w:cs="Arial"/>
                <w:b/>
                <w:b/>
                <w:bCs/>
                <w:color w:val="FFFFFF"/>
                <w:sz w:val="22"/>
                <w:szCs w:val="22"/>
              </w:rPr>
            </w:pPr>
            <w:r>
              <w:rPr>
                <w:rFonts w:cs="Arial"/>
                <w:b/>
                <w:bCs/>
                <w:color w:val="FFFFFF"/>
                <w:sz w:val="22"/>
                <w:szCs w:val="22"/>
              </w:rPr>
            </w:r>
          </w:p>
        </w:tc>
        <w:tc>
          <w:tcPr>
            <w:tcW w:w="4677"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overflowPunct w:val="true"/>
              <w:textAlignment w:val="baseline"/>
              <w:rPr/>
            </w:pPr>
            <w:r>
              <w:rPr>
                <w:rStyle w:val="Normaltextrun"/>
                <w:rFonts w:cs="Arial"/>
                <w:color w:val="000000"/>
                <w:shd w:fill="FFFFFF" w:val="clear"/>
              </w:rPr>
              <w:t xml:space="preserve">Significant (at least 2 years) post-qualifying experience of working directly with children, young people and families, ideally within a school, college or nursery setting. </w:t>
            </w:r>
          </w:p>
          <w:p>
            <w:pPr>
              <w:pStyle w:val="Normal"/>
              <w:overflowPunct w:val="true"/>
              <w:textAlignment w:val="baseline"/>
              <w:rPr>
                <w:rFonts w:cs="Arial"/>
                <w:color w:val="000000"/>
                <w:highlight w:val="white"/>
              </w:rPr>
            </w:pPr>
            <w:r>
              <w:rPr>
                <w:rFonts w:cs="Arial"/>
                <w:color w:val="000000"/>
                <w:highlight w:val="white"/>
              </w:rPr>
            </w:r>
          </w:p>
          <w:p>
            <w:pPr>
              <w:pStyle w:val="Normal"/>
              <w:overflowPunct w:val="true"/>
              <w:textAlignment w:val="baseline"/>
              <w:rPr/>
            </w:pPr>
            <w:r>
              <w:rPr>
                <w:rStyle w:val="Normaltextrun"/>
                <w:rFonts w:cs="Arial"/>
                <w:color w:val="000000"/>
                <w:shd w:fill="FFFFFF" w:val="clear"/>
              </w:rPr>
              <w:t>A desire to train as an Educational Psychologist</w:t>
            </w:r>
            <w:r>
              <w:rPr>
                <w:rStyle w:val="Eop"/>
                <w:rFonts w:cs="Arial"/>
                <w:color w:val="000000"/>
                <w:shd w:fill="FFFFFF" w:val="clear"/>
              </w:rPr>
              <w:t> within the next four years.</w:t>
            </w:r>
          </w:p>
          <w:p>
            <w:pPr>
              <w:pStyle w:val="Normal"/>
              <w:tabs>
                <w:tab w:val="clear" w:pos="720"/>
                <w:tab w:val="left" w:pos="2700" w:leader="none"/>
              </w:tabs>
              <w:rPr>
                <w:rFonts w:cs="Arial"/>
              </w:rPr>
            </w:pPr>
            <w:r>
              <w:rPr>
                <w:rFonts w:cs="Arial"/>
              </w:rPr>
            </w:r>
          </w:p>
        </w:tc>
        <w:tc>
          <w:tcPr>
            <w:tcW w:w="2693"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rPr>
            </w:pPr>
            <w:r>
              <w:rPr>
                <w:rFonts w:cs="Arial"/>
              </w:rPr>
              <w:t>Experience of working in Early Years settings and/or supporting children aged 0–5 years.</w:t>
            </w:r>
          </w:p>
          <w:p>
            <w:pPr>
              <w:pStyle w:val="Normal"/>
              <w:rPr>
                <w:rFonts w:cs="Arial"/>
              </w:rPr>
            </w:pPr>
            <w:r>
              <w:rPr>
                <w:rFonts w:cs="Arial"/>
              </w:rPr>
            </w:r>
          </w:p>
          <w:p>
            <w:pPr>
              <w:pStyle w:val="Normal"/>
              <w:rPr>
                <w:rFonts w:cs="Arial"/>
              </w:rPr>
            </w:pPr>
            <w:r>
              <w:rPr>
                <w:rFonts w:cs="Arial"/>
              </w:rPr>
              <w:t>Experience of contributing to assessment, observation and information-gathering processes to inform support planning and outcomes for children and young people.</w:t>
            </w:r>
          </w:p>
          <w:p>
            <w:pPr>
              <w:pStyle w:val="Normal"/>
              <w:rPr>
                <w:rFonts w:cs="Arial"/>
                <w:sz w:val="22"/>
                <w:szCs w:val="22"/>
              </w:rPr>
            </w:pPr>
            <w:r>
              <w:rPr>
                <w:rFonts w:cs="Arial"/>
                <w:sz w:val="22"/>
                <w:szCs w:val="22"/>
              </w:rPr>
            </w:r>
          </w:p>
        </w:tc>
        <w:tc>
          <w:tcPr>
            <w:tcW w:w="13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13"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Skills &amp; Abilities</w:t>
            </w:r>
          </w:p>
          <w:p>
            <w:pPr>
              <w:pStyle w:val="Normal"/>
              <w:rPr>
                <w:rFonts w:cs="Arial"/>
                <w:b/>
                <w:b/>
                <w:bCs/>
                <w:color w:val="FFFFFF"/>
                <w:sz w:val="22"/>
                <w:szCs w:val="22"/>
              </w:rPr>
            </w:pPr>
            <w:r>
              <w:rPr>
                <w:rFonts w:cs="Arial"/>
                <w:b/>
                <w:bCs/>
                <w:color w:val="FFFFFF"/>
                <w:sz w:val="22"/>
                <w:szCs w:val="22"/>
              </w:rPr>
            </w:r>
          </w:p>
        </w:tc>
        <w:tc>
          <w:tcPr>
            <w:tcW w:w="4677" w:type="dxa"/>
            <w:tcBorders>
              <w:top w:val="single" w:sz="4" w:space="0" w:color="000000"/>
              <w:left w:val="single" w:sz="4" w:space="0" w:color="000000"/>
              <w:bottom w:val="single" w:sz="4" w:space="0" w:color="000000"/>
            </w:tcBorders>
            <w:shd w:fill="auto" w:val="clear"/>
          </w:tcPr>
          <w:p>
            <w:pPr>
              <w:pStyle w:val="ListParagraph"/>
              <w:snapToGrid w:val="false"/>
              <w:spacing w:lineRule="auto" w:line="240" w:before="0" w:after="0"/>
              <w:ind w:left="0" w:right="0" w:hanging="0"/>
              <w:contextualSpacing/>
              <w:rPr>
                <w:rFonts w:ascii="Arial" w:hAnsi="Arial" w:cs="Arial"/>
                <w:b/>
                <w:b/>
                <w:bCs/>
                <w:color w:val="000000"/>
                <w:sz w:val="24"/>
                <w:szCs w:val="24"/>
                <w:highlight w:val="white"/>
              </w:rPr>
            </w:pPr>
            <w:r>
              <w:rPr>
                <w:rFonts w:cs="Arial" w:ascii="Arial" w:hAnsi="Arial"/>
                <w:b/>
                <w:bCs/>
                <w:color w:val="000000"/>
                <w:sz w:val="24"/>
                <w:szCs w:val="24"/>
                <w:highlight w:val="white"/>
              </w:rPr>
            </w:r>
          </w:p>
          <w:p>
            <w:pPr>
              <w:pStyle w:val="ListParagraph"/>
              <w:spacing w:lineRule="auto" w:line="240" w:before="0" w:after="0"/>
              <w:ind w:left="0" w:right="0" w:hanging="0"/>
              <w:contextualSpacing/>
              <w:rPr/>
            </w:pPr>
            <w:r>
              <w:rPr>
                <w:rStyle w:val="Normaltextrun"/>
                <w:rFonts w:cs="Arial" w:ascii="Arial" w:hAnsi="Arial"/>
                <w:color w:val="000000"/>
                <w:sz w:val="24"/>
                <w:szCs w:val="24"/>
                <w:shd w:fill="FFFFFF" w:val="clear"/>
              </w:rPr>
              <w:t>Ability to demonstrate significant understanding of how psychology has influenced practice to date.</w:t>
            </w:r>
            <w:r>
              <w:rPr>
                <w:rStyle w:val="Eop"/>
                <w:rFonts w:cs="Arial" w:ascii="Arial" w:hAnsi="Arial"/>
                <w:color w:val="000000"/>
                <w:sz w:val="24"/>
                <w:szCs w:val="24"/>
                <w:shd w:fill="FFFFFF" w:val="clear"/>
              </w:rPr>
              <w:t> </w:t>
            </w:r>
          </w:p>
          <w:p>
            <w:pPr>
              <w:pStyle w:val="Normal"/>
              <w:tabs>
                <w:tab w:val="clear" w:pos="720"/>
                <w:tab w:val="left" w:pos="429" w:leader="none"/>
              </w:tabs>
              <w:overflowPunct w:val="true"/>
              <w:textAlignment w:val="baseline"/>
              <w:rPr>
                <w:rFonts w:cs="Arial"/>
              </w:rPr>
            </w:pPr>
            <w:r>
              <w:rPr>
                <w:rFonts w:cs="Arial"/>
              </w:rPr>
            </w:r>
          </w:p>
          <w:p>
            <w:pPr>
              <w:pStyle w:val="Normal"/>
              <w:tabs>
                <w:tab w:val="clear" w:pos="720"/>
                <w:tab w:val="left" w:pos="429" w:leader="none"/>
              </w:tabs>
              <w:overflowPunct w:val="true"/>
              <w:textAlignment w:val="baseline"/>
              <w:rPr>
                <w:rFonts w:cs="Arial"/>
              </w:rPr>
            </w:pPr>
            <w:r>
              <w:rPr>
                <w:rFonts w:cs="Arial"/>
              </w:rPr>
              <w:t>Ability to contribute to consultation, assessment and intervention to support a range of additional needs and promote positive outcomes for children and young people</w:t>
            </w:r>
          </w:p>
          <w:p>
            <w:pPr>
              <w:pStyle w:val="Normal"/>
              <w:tabs>
                <w:tab w:val="clear" w:pos="720"/>
                <w:tab w:val="left" w:pos="429" w:leader="none"/>
              </w:tabs>
              <w:overflowPunct w:val="true"/>
              <w:textAlignment w:val="baseline"/>
              <w:rPr>
                <w:rFonts w:cs="Arial"/>
              </w:rPr>
            </w:pPr>
            <w:r>
              <w:rPr>
                <w:rFonts w:cs="Arial"/>
              </w:rPr>
            </w:r>
          </w:p>
          <w:p>
            <w:pPr>
              <w:pStyle w:val="ListParagraph"/>
              <w:spacing w:lineRule="auto" w:line="240" w:before="0" w:after="0"/>
              <w:ind w:left="0" w:right="0" w:hanging="0"/>
              <w:contextualSpacing/>
              <w:rPr>
                <w:rFonts w:ascii="Arial" w:hAnsi="Arial" w:cs="Arial"/>
                <w:color w:val="000000"/>
                <w:sz w:val="24"/>
                <w:szCs w:val="24"/>
                <w:highlight w:val="white"/>
              </w:rPr>
            </w:pPr>
            <w:r>
              <w:rPr>
                <w:rFonts w:cs="Arial" w:ascii="Arial" w:hAnsi="Arial"/>
                <w:color w:val="000000"/>
                <w:sz w:val="24"/>
                <w:szCs w:val="24"/>
                <w:shd w:fill="FFFFFF" w:val="clear"/>
              </w:rPr>
              <w:t>Ability to gather, evaluate and synthesise complex information from a range of sources and settings, and communicate key findings, outcomes and recommendations effectively through clear, accurate and professional verbal and written communication.</w:t>
            </w:r>
          </w:p>
          <w:p>
            <w:pPr>
              <w:pStyle w:val="Normal"/>
              <w:tabs>
                <w:tab w:val="clear" w:pos="720"/>
                <w:tab w:val="left" w:pos="429" w:leader="none"/>
              </w:tabs>
              <w:overflowPunct w:val="true"/>
              <w:textAlignment w:val="baseline"/>
              <w:rPr>
                <w:rFonts w:cs="Arial"/>
              </w:rPr>
            </w:pPr>
            <w:r>
              <w:rPr>
                <w:rFonts w:cs="Arial"/>
              </w:rPr>
            </w:r>
          </w:p>
          <w:p>
            <w:pPr>
              <w:pStyle w:val="Normal"/>
              <w:tabs>
                <w:tab w:val="clear" w:pos="720"/>
                <w:tab w:val="left" w:pos="429" w:leader="none"/>
              </w:tabs>
              <w:overflowPunct w:val="true"/>
              <w:textAlignment w:val="baseline"/>
              <w:rPr>
                <w:rFonts w:cs="Arial"/>
              </w:rPr>
            </w:pPr>
            <w:r>
              <w:rPr>
                <w:rFonts w:cs="Arial"/>
              </w:rPr>
              <w:t>Able to work effectively and collaboratively with colleagues, families and professionals.</w:t>
            </w:r>
          </w:p>
          <w:p>
            <w:pPr>
              <w:pStyle w:val="Normal"/>
              <w:tabs>
                <w:tab w:val="clear" w:pos="720"/>
                <w:tab w:val="left" w:pos="429" w:leader="none"/>
              </w:tabs>
              <w:overflowPunct w:val="true"/>
              <w:textAlignment w:val="baseline"/>
              <w:rPr>
                <w:rFonts w:cs="Arial"/>
              </w:rPr>
            </w:pPr>
            <w:r>
              <w:rPr>
                <w:rFonts w:cs="Arial"/>
              </w:rPr>
            </w:r>
          </w:p>
          <w:p>
            <w:pPr>
              <w:pStyle w:val="Normal"/>
              <w:tabs>
                <w:tab w:val="clear" w:pos="720"/>
                <w:tab w:val="left" w:pos="429" w:leader="none"/>
              </w:tabs>
              <w:overflowPunct w:val="true"/>
              <w:textAlignment w:val="baseline"/>
              <w:rPr>
                <w:rFonts w:cs="Arial"/>
              </w:rPr>
            </w:pPr>
            <w:r>
              <w:rPr>
                <w:rFonts w:cs="Arial"/>
              </w:rPr>
              <w:t>Good self-management and interpersonal skills, including the ability to offer and receive professional challenge appropriately.</w:t>
            </w:r>
          </w:p>
          <w:p>
            <w:pPr>
              <w:pStyle w:val="Normal"/>
              <w:tabs>
                <w:tab w:val="clear" w:pos="720"/>
                <w:tab w:val="left" w:pos="429" w:leader="none"/>
              </w:tabs>
              <w:overflowPunct w:val="true"/>
              <w:textAlignment w:val="baseline"/>
              <w:rPr>
                <w:rFonts w:cs="Arial"/>
              </w:rPr>
            </w:pPr>
            <w:r>
              <w:rPr>
                <w:rFonts w:cs="Arial"/>
              </w:rPr>
            </w:r>
          </w:p>
          <w:p>
            <w:pPr>
              <w:pStyle w:val="Normal"/>
              <w:tabs>
                <w:tab w:val="clear" w:pos="720"/>
                <w:tab w:val="left" w:pos="429" w:leader="none"/>
              </w:tabs>
              <w:overflowPunct w:val="true"/>
              <w:textAlignment w:val="baseline"/>
              <w:rPr>
                <w:rFonts w:cs="Arial"/>
              </w:rPr>
            </w:pPr>
            <w:r>
              <w:rPr>
                <w:rFonts w:cs="Arial"/>
              </w:rPr>
              <w:t>Able to contribute to high quality training, information sharing and capacity building activities.</w:t>
            </w:r>
          </w:p>
          <w:p>
            <w:pPr>
              <w:pStyle w:val="Normal"/>
              <w:tabs>
                <w:tab w:val="clear" w:pos="720"/>
                <w:tab w:val="left" w:pos="429" w:leader="none"/>
              </w:tabs>
              <w:overflowPunct w:val="true"/>
              <w:textAlignment w:val="baseline"/>
              <w:rPr>
                <w:rFonts w:cs="Arial"/>
              </w:rPr>
            </w:pPr>
            <w:r>
              <w:rPr>
                <w:rFonts w:cs="Arial"/>
              </w:rPr>
            </w:r>
          </w:p>
          <w:p>
            <w:pPr>
              <w:pStyle w:val="Normal"/>
              <w:tabs>
                <w:tab w:val="clear" w:pos="720"/>
                <w:tab w:val="left" w:pos="429" w:leader="none"/>
              </w:tabs>
              <w:overflowPunct w:val="true"/>
              <w:textAlignment w:val="baseline"/>
              <w:rPr>
                <w:rFonts w:cs="Arial"/>
              </w:rPr>
            </w:pPr>
            <w:r>
              <w:rPr>
                <w:rFonts w:cs="Arial"/>
              </w:rPr>
              <w:t>Commitment to the promotion of equal opportunities and inclusion.</w:t>
            </w:r>
          </w:p>
          <w:p>
            <w:pPr>
              <w:pStyle w:val="Normal"/>
              <w:tabs>
                <w:tab w:val="clear" w:pos="720"/>
                <w:tab w:val="left" w:pos="429" w:leader="none"/>
              </w:tabs>
              <w:overflowPunct w:val="true"/>
              <w:textAlignment w:val="baseline"/>
              <w:rPr>
                <w:rFonts w:cs="Arial"/>
              </w:rPr>
            </w:pPr>
            <w:r>
              <w:rPr>
                <w:rFonts w:cs="Arial"/>
              </w:rPr>
            </w:r>
          </w:p>
          <w:p>
            <w:pPr>
              <w:pStyle w:val="Normal"/>
              <w:tabs>
                <w:tab w:val="clear" w:pos="720"/>
                <w:tab w:val="left" w:pos="429" w:leader="none"/>
              </w:tabs>
              <w:overflowPunct w:val="true"/>
              <w:textAlignment w:val="baseline"/>
              <w:rPr>
                <w:rFonts w:cs="Arial"/>
              </w:rPr>
            </w:pPr>
            <w:r>
              <w:rPr>
                <w:rFonts w:cs="Arial"/>
              </w:rPr>
              <w:t>Commitment to reflective practice, professional learning and continuous professional development.</w:t>
            </w:r>
          </w:p>
          <w:p>
            <w:pPr>
              <w:pStyle w:val="Normal"/>
              <w:rPr>
                <w:rFonts w:cs="Arial"/>
              </w:rPr>
            </w:pPr>
            <w:r>
              <w:rPr>
                <w:rFonts w:cs="Arial"/>
              </w:rPr>
            </w:r>
          </w:p>
          <w:p>
            <w:pPr>
              <w:pStyle w:val="Normal"/>
              <w:tabs>
                <w:tab w:val="clear" w:pos="720"/>
                <w:tab w:val="left" w:pos="429" w:leader="none"/>
              </w:tabs>
              <w:overflowPunct w:val="true"/>
              <w:textAlignment w:val="baseline"/>
              <w:rPr>
                <w:rFonts w:cs="Arial"/>
              </w:rPr>
            </w:pPr>
            <w:r>
              <w:rPr>
                <w:rFonts w:cs="Arial"/>
              </w:rPr>
              <w:t xml:space="preserve">Good IT skills, including the ability to use digital systems to support service delivery. </w:t>
            </w:r>
          </w:p>
          <w:p>
            <w:pPr>
              <w:pStyle w:val="Normal"/>
              <w:tabs>
                <w:tab w:val="clear" w:pos="720"/>
                <w:tab w:val="left" w:pos="429" w:leader="none"/>
              </w:tabs>
              <w:overflowPunct w:val="true"/>
              <w:textAlignment w:val="baseline"/>
              <w:rPr>
                <w:rFonts w:cs="Arial"/>
              </w:rPr>
            </w:pPr>
            <w:r>
              <w:rPr>
                <w:rFonts w:cs="Arial"/>
              </w:rPr>
            </w:r>
          </w:p>
          <w:p>
            <w:pPr>
              <w:pStyle w:val="Normal"/>
              <w:tabs>
                <w:tab w:val="clear" w:pos="720"/>
                <w:tab w:val="left" w:pos="429" w:leader="none"/>
              </w:tabs>
              <w:overflowPunct w:val="true"/>
              <w:textAlignment w:val="baseline"/>
              <w:rPr>
                <w:rFonts w:cs="Arial"/>
              </w:rPr>
            </w:pPr>
            <w:r>
              <w:rPr>
                <w:rFonts w:cs="Arial"/>
              </w:rPr>
              <w:t>Ability to interpret and make use of statistical and other data to inform practice and service development.</w:t>
            </w:r>
          </w:p>
          <w:p>
            <w:pPr>
              <w:pStyle w:val="Normal"/>
              <w:tabs>
                <w:tab w:val="clear" w:pos="720"/>
                <w:tab w:val="left" w:pos="429" w:leader="none"/>
              </w:tabs>
              <w:overflowPunct w:val="true"/>
              <w:textAlignment w:val="baseline"/>
              <w:rPr>
                <w:rFonts w:cs="Arial"/>
              </w:rPr>
            </w:pPr>
            <w:r>
              <w:rPr>
                <w:rFonts w:cs="Arial"/>
              </w:rPr>
            </w:r>
          </w:p>
        </w:tc>
        <w:tc>
          <w:tcPr>
            <w:tcW w:w="2693"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tc>
        <w:tc>
          <w:tcPr>
            <w:tcW w:w="136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13"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Knowledge</w:t>
            </w:r>
          </w:p>
          <w:p>
            <w:pPr>
              <w:pStyle w:val="Normal"/>
              <w:rPr>
                <w:rFonts w:cs="Arial"/>
                <w:b/>
                <w:b/>
                <w:bCs/>
                <w:color w:val="FFFFFF"/>
                <w:sz w:val="22"/>
                <w:szCs w:val="22"/>
              </w:rPr>
            </w:pPr>
            <w:r>
              <w:rPr>
                <w:rFonts w:cs="Arial"/>
                <w:b/>
                <w:bCs/>
                <w:color w:val="FFFFFF"/>
                <w:sz w:val="22"/>
                <w:szCs w:val="22"/>
              </w:rPr>
            </w:r>
          </w:p>
        </w:tc>
        <w:tc>
          <w:tcPr>
            <w:tcW w:w="4677" w:type="dxa"/>
            <w:tcBorders>
              <w:top w:val="single" w:sz="4" w:space="0" w:color="000000"/>
              <w:left w:val="single" w:sz="4" w:space="0" w:color="000000"/>
              <w:bottom w:val="single" w:sz="4" w:space="0" w:color="000000"/>
            </w:tcBorders>
            <w:shd w:fill="auto" w:val="clear"/>
          </w:tcPr>
          <w:p>
            <w:pPr>
              <w:pStyle w:val="Normal"/>
              <w:tabs>
                <w:tab w:val="clear" w:pos="720"/>
                <w:tab w:val="left" w:pos="429" w:leader="none"/>
              </w:tabs>
              <w:overflowPunct w:val="true"/>
              <w:snapToGrid w:val="false"/>
              <w:textAlignment w:val="baseline"/>
              <w:rPr>
                <w:rFonts w:cs="Arial"/>
                <w:b/>
                <w:b/>
                <w:bCs/>
                <w:color w:val="FFFFFF"/>
                <w:sz w:val="22"/>
                <w:szCs w:val="22"/>
              </w:rPr>
            </w:pPr>
            <w:r>
              <w:rPr>
                <w:rFonts w:cs="Arial"/>
                <w:b/>
                <w:bCs/>
                <w:color w:val="FFFFFF"/>
                <w:sz w:val="22"/>
                <w:szCs w:val="22"/>
              </w:rPr>
            </w:r>
          </w:p>
          <w:p>
            <w:pPr>
              <w:pStyle w:val="Normal"/>
              <w:tabs>
                <w:tab w:val="clear" w:pos="720"/>
                <w:tab w:val="left" w:pos="429" w:leader="none"/>
              </w:tabs>
              <w:overflowPunct w:val="true"/>
              <w:textAlignment w:val="baseline"/>
              <w:rPr>
                <w:rFonts w:cs="Arial"/>
              </w:rPr>
            </w:pPr>
            <w:r>
              <w:rPr>
                <w:rFonts w:cs="Arial"/>
              </w:rPr>
              <w:t>Knowledge of psychological theory and how this relates to practices in education</w:t>
            </w:r>
          </w:p>
          <w:p>
            <w:pPr>
              <w:pStyle w:val="Normal"/>
              <w:tabs>
                <w:tab w:val="clear" w:pos="720"/>
                <w:tab w:val="left" w:pos="429" w:leader="none"/>
              </w:tabs>
              <w:overflowPunct w:val="true"/>
              <w:textAlignment w:val="baseline"/>
              <w:rPr>
                <w:rFonts w:cs="Arial"/>
              </w:rPr>
            </w:pPr>
            <w:r>
              <w:rPr>
                <w:rFonts w:cs="Arial"/>
              </w:rPr>
            </w:r>
          </w:p>
          <w:p>
            <w:pPr>
              <w:pStyle w:val="Normal"/>
              <w:tabs>
                <w:tab w:val="clear" w:pos="720"/>
                <w:tab w:val="left" w:pos="429" w:leader="none"/>
              </w:tabs>
              <w:overflowPunct w:val="true"/>
              <w:textAlignment w:val="baseline"/>
              <w:rPr>
                <w:rFonts w:cs="Arial"/>
              </w:rPr>
            </w:pPr>
            <w:r>
              <w:rPr>
                <w:rFonts w:cs="Arial"/>
              </w:rPr>
              <w:t>Good knowledge and understanding of child development, including social, emotional, cognitive, communication and language development.</w:t>
            </w:r>
          </w:p>
          <w:p>
            <w:pPr>
              <w:pStyle w:val="Normal"/>
              <w:tabs>
                <w:tab w:val="clear" w:pos="720"/>
                <w:tab w:val="left" w:pos="429" w:leader="none"/>
              </w:tabs>
              <w:overflowPunct w:val="true"/>
              <w:textAlignment w:val="baseline"/>
              <w:rPr>
                <w:rFonts w:cs="Arial"/>
              </w:rPr>
            </w:pPr>
            <w:r>
              <w:rPr>
                <w:rFonts w:cs="Arial"/>
              </w:rPr>
            </w:r>
          </w:p>
          <w:p>
            <w:pPr>
              <w:pStyle w:val="Normal"/>
              <w:rPr>
                <w:rFonts w:cs="Arial"/>
              </w:rPr>
            </w:pPr>
            <w:r>
              <w:rPr>
                <w:rFonts w:cs="Arial"/>
              </w:rPr>
              <w:t>Knowledge and understanding of school systems and legislation in relation to SEND.</w:t>
            </w:r>
          </w:p>
          <w:p>
            <w:pPr>
              <w:pStyle w:val="Normal"/>
              <w:rPr>
                <w:rFonts w:cs="Arial"/>
                <w:lang w:val="en-US"/>
              </w:rPr>
            </w:pPr>
            <w:r>
              <w:rPr>
                <w:rFonts w:cs="Arial"/>
                <w:lang w:val="en-US"/>
              </w:rPr>
            </w:r>
          </w:p>
        </w:tc>
        <w:tc>
          <w:tcPr>
            <w:tcW w:w="2693"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p>
            <w:pPr>
              <w:pStyle w:val="Normal"/>
              <w:rPr>
                <w:rFonts w:cs="Arial"/>
                <w:sz w:val="22"/>
                <w:szCs w:val="22"/>
              </w:rPr>
            </w:pPr>
            <w:r>
              <w:rPr>
                <w:rFonts w:cs="Arial"/>
                <w:sz w:val="22"/>
                <w:szCs w:val="22"/>
              </w:rPr>
              <w:t>Knowledge of typical and atypical development in the early years (0–5 years).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3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13"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TextBody"/>
              <w:rPr>
                <w:rFonts w:cs="Arial"/>
                <w:bCs/>
                <w:color w:val="FFFFFF"/>
                <w:szCs w:val="22"/>
              </w:rPr>
            </w:pPr>
            <w:r>
              <w:rPr>
                <w:rFonts w:cs="Arial"/>
                <w:bCs/>
                <w:color w:val="FFFFFF"/>
                <w:szCs w:val="22"/>
              </w:rPr>
              <w:t>Work Circumstances</w:t>
            </w:r>
          </w:p>
          <w:p>
            <w:pPr>
              <w:pStyle w:val="Normal"/>
              <w:rPr>
                <w:rFonts w:cs="Arial"/>
                <w:b/>
                <w:b/>
                <w:bCs/>
                <w:color w:val="FFFFFF"/>
                <w:sz w:val="22"/>
                <w:szCs w:val="22"/>
              </w:rPr>
            </w:pPr>
            <w:r>
              <w:rPr>
                <w:rFonts w:cs="Arial"/>
                <w:b/>
                <w:bCs/>
                <w:color w:val="FFFFFF"/>
                <w:sz w:val="22"/>
                <w:szCs w:val="22"/>
              </w:rPr>
            </w:r>
          </w:p>
        </w:tc>
        <w:tc>
          <w:tcPr>
            <w:tcW w:w="4677" w:type="dxa"/>
            <w:tcBorders>
              <w:top w:val="single" w:sz="4" w:space="0" w:color="000000"/>
              <w:left w:val="single" w:sz="4" w:space="0" w:color="000000"/>
              <w:bottom w:val="single" w:sz="4" w:space="0" w:color="000000"/>
            </w:tcBorders>
            <w:shd w:fill="auto" w:val="clear"/>
          </w:tcPr>
          <w:p>
            <w:pPr>
              <w:pStyle w:val="Normal"/>
              <w:tabs>
                <w:tab w:val="clear" w:pos="720"/>
                <w:tab w:val="left" w:pos="389" w:leader="none"/>
              </w:tabs>
              <w:overflowPunct w:val="true"/>
              <w:snapToGrid w:val="false"/>
              <w:textAlignment w:val="baseline"/>
              <w:rPr>
                <w:rFonts w:cs="Arial"/>
                <w:b/>
                <w:b/>
                <w:bCs/>
                <w:color w:val="FFFFFF"/>
                <w:sz w:val="22"/>
                <w:szCs w:val="22"/>
              </w:rPr>
            </w:pPr>
            <w:r>
              <w:rPr>
                <w:rFonts w:cs="Arial"/>
                <w:b/>
                <w:bCs/>
                <w:color w:val="FFFFFF"/>
                <w:sz w:val="22"/>
                <w:szCs w:val="22"/>
              </w:rPr>
            </w:r>
          </w:p>
          <w:p>
            <w:pPr>
              <w:pStyle w:val="Normal"/>
              <w:tabs>
                <w:tab w:val="clear" w:pos="720"/>
                <w:tab w:val="left" w:pos="389" w:leader="none"/>
              </w:tabs>
              <w:overflowPunct w:val="true"/>
              <w:textAlignment w:val="baseline"/>
              <w:rPr/>
            </w:pPr>
            <w:r>
              <w:rPr/>
              <w:t>Able to work flexibly to meet the demands of the service (including evening and weekend as necessary).</w:t>
            </w:r>
          </w:p>
          <w:p>
            <w:pPr>
              <w:pStyle w:val="Normal"/>
              <w:tabs>
                <w:tab w:val="clear" w:pos="720"/>
                <w:tab w:val="left" w:pos="389" w:leader="none"/>
              </w:tabs>
              <w:overflowPunct w:val="true"/>
              <w:textAlignment w:val="baseline"/>
              <w:rPr>
                <w:sz w:val="22"/>
                <w:szCs w:val="20"/>
              </w:rPr>
            </w:pPr>
            <w:r>
              <w:rPr>
                <w:sz w:val="22"/>
                <w:szCs w:val="20"/>
              </w:rPr>
            </w:r>
          </w:p>
          <w:p>
            <w:pPr>
              <w:pStyle w:val="Normal"/>
              <w:rPr>
                <w:rFonts w:cs="Arial"/>
              </w:rPr>
            </w:pPr>
            <w:r>
              <w:rPr>
                <w:rFonts w:cs="Arial"/>
              </w:rPr>
              <w:t>Commitment to personal and professional development of self and staff.</w:t>
            </w:r>
          </w:p>
          <w:p>
            <w:pPr>
              <w:pStyle w:val="Normal"/>
              <w:rPr>
                <w:rFonts w:cs="Arial"/>
              </w:rPr>
            </w:pPr>
            <w:r>
              <w:rPr>
                <w:rFonts w:cs="Arial"/>
              </w:rPr>
            </w:r>
          </w:p>
          <w:p>
            <w:pPr>
              <w:pStyle w:val="Normal"/>
              <w:rPr>
                <w:rFonts w:cs="Arial"/>
              </w:rPr>
            </w:pPr>
            <w:r>
              <w:rPr>
                <w:rFonts w:cs="Arial"/>
              </w:rPr>
              <w:t>Punctuality &amp; regular attendance.</w:t>
            </w:r>
          </w:p>
          <w:p>
            <w:pPr>
              <w:pStyle w:val="Normal"/>
              <w:rPr>
                <w:rFonts w:cs="Arial"/>
              </w:rPr>
            </w:pPr>
            <w:r>
              <w:rPr>
                <w:rFonts w:cs="Arial"/>
              </w:rPr>
            </w:r>
          </w:p>
          <w:p>
            <w:pPr>
              <w:pStyle w:val="Normal"/>
              <w:rPr>
                <w:rFonts w:cs="Arial"/>
              </w:rPr>
            </w:pPr>
            <w:r>
              <w:rPr>
                <w:rFonts w:cs="Arial"/>
              </w:rPr>
              <w:t>Ability to travel between locations both in and outside of Oldham.</w:t>
            </w:r>
          </w:p>
          <w:p>
            <w:pPr>
              <w:pStyle w:val="Normal"/>
              <w:rPr>
                <w:rFonts w:cs="Arial"/>
                <w:sz w:val="22"/>
                <w:szCs w:val="22"/>
              </w:rPr>
            </w:pPr>
            <w:r>
              <w:rPr>
                <w:rFonts w:cs="Arial"/>
                <w:sz w:val="22"/>
                <w:szCs w:val="22"/>
              </w:rPr>
            </w:r>
          </w:p>
        </w:tc>
        <w:tc>
          <w:tcPr>
            <w:tcW w:w="2693"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tc>
        <w:tc>
          <w:tcPr>
            <w:tcW w:w="136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bl>
    <w:p>
      <w:pPr>
        <w:pStyle w:val="Normal"/>
        <w:rPr>
          <w:rFonts w:cs="Arial"/>
        </w:rPr>
      </w:pPr>
      <w:r>
        <w:rPr>
          <w:rFonts w:cs="Arial"/>
        </w:rPr>
      </w:r>
    </w:p>
    <w:p>
      <w:pPr>
        <w:pStyle w:val="Normal"/>
        <w:jc w:val="both"/>
        <w:rPr/>
      </w:pPr>
      <w:r>
        <w:rPr>
          <w:rFonts w:cs="Arial"/>
          <w:i/>
        </w:rPr>
        <w:t>Abbreviations:</w:t>
      </w:r>
      <w:r>
        <w:rPr>
          <w:rFonts w:cs="Arial"/>
        </w:rPr>
        <w:t xml:space="preserve"> AF = Application Form; I = Interview; T = Test; P = Presentation; R = References;</w:t>
      </w:r>
    </w:p>
    <w:p>
      <w:pPr>
        <w:pStyle w:val="Normal"/>
        <w:rPr>
          <w:rFonts w:cs="Arial"/>
        </w:rPr>
      </w:pPr>
      <w:r>
        <w:rPr>
          <w:rFonts w:cs="Arial"/>
        </w:rPr>
      </w:r>
    </w:p>
    <w:p>
      <w:pPr>
        <w:pStyle w:val="Normal"/>
        <w:jc w:val="both"/>
        <w:rPr/>
      </w:pPr>
      <w:r>
        <w:rPr>
          <w:rFonts w:cs="Arial"/>
          <w:b/>
          <w:bCs/>
        </w:rPr>
        <w:t xml:space="preserve">NB. - Any candidate that meets the criteria of our </w:t>
      </w:r>
      <w:r>
        <w:rPr>
          <w:rStyle w:val="InternetLink"/>
          <w:rFonts w:cs="Arial"/>
          <w:b/>
          <w:bCs/>
        </w:rPr>
        <w:t>Guaranteed Assessment Scheme</w:t>
      </w:r>
      <w:r>
        <w:rPr>
          <w:rFonts w:cs="Arial"/>
          <w:b/>
          <w:bCs/>
        </w:rPr>
        <w:t xml:space="preserve"> and meets the essential criteria of the role, will be guaranteed the first stage of assessment (whether that is an interview or another assessment, as appropriate).</w:t>
      </w:r>
    </w:p>
    <w:p>
      <w:pPr>
        <w:pStyle w:val="Normal"/>
        <w:jc w:val="both"/>
        <w:rPr>
          <w:rFonts w:cs="Arial"/>
          <w:b/>
          <w:b/>
          <w:bCs/>
        </w:rPr>
      </w:pPr>
      <w:r>
        <w:rPr>
          <w:rFonts w:cs="Arial"/>
          <w:b/>
          <w:bCs/>
        </w:rPr>
      </w:r>
    </w:p>
    <w:p>
      <w:pPr>
        <w:pStyle w:val="Normal"/>
        <w:jc w:val="both"/>
        <w:rPr>
          <w:rFonts w:cs="Arial"/>
          <w:b/>
          <w:b/>
          <w:bCs/>
        </w:rPr>
      </w:pPr>
      <w:r>
        <w:rPr>
          <w:rFonts w:cs="Arial"/>
          <w:b/>
          <w:bCs/>
        </w:rPr>
        <w:t>Our Guaranteed Assessment Scheme supports candidates with disabilities, have previously been in or currently in care, those that are carers, and those who have served in the Armed Forces as a regular, reserve or cadet.</w:t>
      </w:r>
    </w:p>
    <w:p>
      <w:pPr>
        <w:pStyle w:val="Normal"/>
        <w:jc w:val="both"/>
        <w:rPr/>
      </w:pPr>
      <w:r>
        <w:rPr/>
      </w:r>
    </w:p>
    <w:sectPr>
      <w:headerReference w:type="default" r:id="rId4"/>
      <w:headerReference w:type="first" r:id="rId5"/>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Display">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Palatino">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6">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7">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8">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paragraph" w:styleId="Heading2">
    <w:name w:val="Heading 2"/>
    <w:basedOn w:val="Normal"/>
    <w:next w:val="Normal"/>
    <w:qFormat/>
    <w:pPr>
      <w:keepNext w:val="true"/>
      <w:numPr>
        <w:ilvl w:val="1"/>
        <w:numId w:val="1"/>
      </w:numPr>
      <w:spacing w:before="240" w:after="60"/>
      <w:outlineLvl w:val="1"/>
    </w:pPr>
    <w:rPr>
      <w:rFonts w:ascii="Aptos Display" w:hAnsi="Aptos Display" w:cs="Aptos Display"/>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ptos Display" w:hAnsi="Aptos Display" w:cs="Aptos Display"/>
      <w:b/>
      <w:bCs/>
      <w:sz w:val="26"/>
      <w:szCs w:val="26"/>
    </w:rPr>
  </w:style>
  <w:style w:type="paragraph" w:styleId="Heading6">
    <w:name w:val="Heading 6"/>
    <w:basedOn w:val="Normal"/>
    <w:next w:val="Normal"/>
    <w:qFormat/>
    <w:pPr>
      <w:numPr>
        <w:ilvl w:val="5"/>
        <w:numId w:val="1"/>
      </w:numPr>
      <w:spacing w:before="240" w:after="60"/>
      <w:outlineLvl w:val="5"/>
    </w:pPr>
    <w:rPr>
      <w:rFonts w:ascii="Calibri" w:hAnsi="Calibri" w:cs="Calibri"/>
      <w:b/>
      <w:bCs/>
      <w:sz w:val="22"/>
      <w:szCs w:val="2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 w:val="20"/>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DefaultParagraphFont">
    <w:name w:val="Default Paragraph Font"/>
    <w:qFormat/>
    <w:rPr/>
  </w:style>
  <w:style w:type="character" w:styleId="BalloonTextChar">
    <w:name w:val="Balloon Text Char"/>
    <w:qFormat/>
    <w:rPr>
      <w:rFonts w:ascii="Tahoma" w:hAnsi="Tahoma" w:cs="Tahoma"/>
      <w:sz w:val="16"/>
      <w:szCs w:val="16"/>
      <w:lang w:eastAsia="en-US"/>
    </w:rPr>
  </w:style>
  <w:style w:type="character" w:styleId="InternetLink">
    <w:name w:val="Internet Link"/>
    <w:rPr>
      <w:color w:val="0563C1"/>
      <w:u w:val="single"/>
    </w:rPr>
  </w:style>
  <w:style w:type="character" w:styleId="Normaltextrun">
    <w:name w:val="normaltextrun"/>
    <w:basedOn w:val="DefaultParagraphFont"/>
    <w:qFormat/>
    <w:rPr/>
  </w:style>
  <w:style w:type="character" w:styleId="Heading6Char">
    <w:name w:val="Heading 6 Char"/>
    <w:qFormat/>
    <w:rPr>
      <w:rFonts w:ascii="Calibri" w:hAnsi="Calibri" w:eastAsia="Times New Roman" w:cs="Times New Roman"/>
      <w:b/>
      <w:bCs/>
      <w:sz w:val="22"/>
      <w:szCs w:val="22"/>
      <w:lang w:eastAsia="en-US"/>
    </w:rPr>
  </w:style>
  <w:style w:type="character" w:styleId="FooterChar">
    <w:name w:val="Footer Char"/>
    <w:qFormat/>
    <w:rPr>
      <w:rFonts w:ascii="Arial" w:hAnsi="Arial" w:cs="Arial"/>
      <w:sz w:val="24"/>
      <w:szCs w:val="24"/>
      <w:lang w:eastAsia="en-US"/>
    </w:rPr>
  </w:style>
  <w:style w:type="character" w:styleId="BodyText2Char">
    <w:name w:val="Body Text 2 Char"/>
    <w:qFormat/>
    <w:rPr>
      <w:rFonts w:ascii="Arial" w:hAnsi="Arial" w:cs="Arial"/>
      <w:sz w:val="24"/>
      <w:szCs w:val="24"/>
      <w:lang w:eastAsia="en-US"/>
    </w:rPr>
  </w:style>
  <w:style w:type="character" w:styleId="HeaderChar">
    <w:name w:val="Header Char"/>
    <w:qFormat/>
    <w:rPr>
      <w:rFonts w:ascii="Arial" w:hAnsi="Arial" w:cs="Arial"/>
      <w:sz w:val="22"/>
      <w:lang w:eastAsia="en-US"/>
    </w:rPr>
  </w:style>
  <w:style w:type="character" w:styleId="Eop">
    <w:name w:val="eop"/>
    <w:qFormat/>
    <w:rPr/>
  </w:style>
  <w:style w:type="character" w:styleId="Heading2Char">
    <w:name w:val="Heading 2 Char"/>
    <w:qFormat/>
    <w:rPr>
      <w:rFonts w:ascii="Aptos Display" w:hAnsi="Aptos Display" w:eastAsia="Times New Roman" w:cs="Times New Roman"/>
      <w:b/>
      <w:bCs/>
      <w:i/>
      <w:iCs/>
      <w:sz w:val="28"/>
      <w:szCs w:val="28"/>
      <w:lang w:eastAsia="en-US"/>
    </w:rPr>
  </w:style>
  <w:style w:type="character" w:styleId="Heading3Char">
    <w:name w:val="Heading 3 Char"/>
    <w:qFormat/>
    <w:rPr>
      <w:rFonts w:ascii="Aptos Display" w:hAnsi="Aptos Display" w:eastAsia="Times New Roman" w:cs="Times New Roman"/>
      <w:b/>
      <w:bCs/>
      <w:sz w:val="26"/>
      <w:szCs w:val="26"/>
      <w:lang w:eastAsia="en-U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BalloonText">
    <w:name w:val="Balloon Text"/>
    <w:basedOn w:val="Normal"/>
    <w:qFormat/>
    <w:pPr/>
    <w:rPr>
      <w:rFonts w:ascii="Tahoma" w:hAnsi="Tahoma" w:cs="Tahoma"/>
      <w:sz w:val="16"/>
      <w:szCs w:val="16"/>
    </w:rPr>
  </w:style>
  <w:style w:type="paragraph" w:styleId="Revision">
    <w:name w:val="Revision"/>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TableParagraph">
    <w:name w:val="Table Paragraph"/>
    <w:basedOn w:val="Normal"/>
    <w:qFormat/>
    <w:pPr>
      <w:widowControl w:val="false"/>
    </w:pPr>
    <w:rPr>
      <w:rFonts w:eastAsia="Arial" w:cs="Arial"/>
      <w:sz w:val="22"/>
      <w:szCs w:val="22"/>
      <w:lang w:val="en-US"/>
    </w:rPr>
  </w:style>
  <w:style w:type="paragraph" w:styleId="Footer">
    <w:name w:val="Footer"/>
    <w:basedOn w:val="Normal"/>
    <w:pPr>
      <w:tabs>
        <w:tab w:val="clear" w:pos="720"/>
        <w:tab w:val="center" w:pos="4513" w:leader="none"/>
        <w:tab w:val="right" w:pos="9026" w:leader="none"/>
      </w:tabs>
    </w:pPr>
    <w:rPr/>
  </w:style>
  <w:style w:type="paragraph" w:styleId="NoParagraphStyle">
    <w:name w:val="[No Paragraph Style]"/>
    <w:qFormat/>
    <w:pPr>
      <w:widowControl/>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GB" w:eastAsia="en-US" w:bidi="ar-SA"/>
    </w:rPr>
  </w:style>
  <w:style w:type="paragraph" w:styleId="BodyText2">
    <w:name w:val="Body Text 2"/>
    <w:basedOn w:val="Normal"/>
    <w:qFormat/>
    <w:pPr>
      <w:spacing w:lineRule="auto" w:line="480" w:before="0" w:after="12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