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Normal"/>
              <w:rPr>
                <w:bCs/>
                <w:sz w:val="22"/>
                <w:szCs w:val="22"/>
              </w:rPr>
            </w:pPr>
            <w:r>
              <w:rPr>
                <w:bCs/>
                <w:sz w:val="22"/>
                <w:szCs w:val="22"/>
              </w:rPr>
              <w:t xml:space="preserve">Social and Emotional Advisor   </w:t>
            </w:r>
          </w:p>
          <w:p>
            <w:pPr>
              <w:pStyle w:val="Endnote"/>
              <w:rPr>
                <w:rFonts w:ascii="Arial" w:hAnsi="Arial" w:cs="Arial"/>
                <w:sz w:val="22"/>
                <w:szCs w:val="22"/>
              </w:rPr>
            </w:pPr>
            <w:r>
              <w:rPr>
                <w:rFonts w:cs="Arial" w:ascii="Arial" w:hAnsi="Arial"/>
                <w:sz w:val="22"/>
                <w:szCs w:val="22"/>
              </w:rPr>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Education and Early Years</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 xml:space="preserve">Send and Inclusion </w:t>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7</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bCs/>
                <w:szCs w:val="22"/>
              </w:rPr>
            </w:pPr>
            <w:r>
              <w:rPr>
                <w:bCs/>
                <w:szCs w:val="22"/>
              </w:rPr>
              <w:t>9733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bCs/>
                <w:sz w:val="22"/>
                <w:szCs w:val="22"/>
              </w:rPr>
            </w:pPr>
            <w:r>
              <w:rPr>
                <w:b/>
                <w:bCs/>
                <w:sz w:val="22"/>
                <w:szCs w:val="22"/>
              </w:rPr>
              <w:t>Job Purpose:</w:t>
            </w:r>
          </w:p>
          <w:p>
            <w:pPr>
              <w:pStyle w:val="Normal"/>
              <w:jc w:val="both"/>
              <w:rPr>
                <w:bCs/>
                <w:sz w:val="22"/>
                <w:szCs w:val="22"/>
              </w:rPr>
            </w:pPr>
            <w:r>
              <w:rPr>
                <w:bCs/>
                <w:sz w:val="22"/>
                <w:szCs w:val="22"/>
              </w:rPr>
            </w:r>
          </w:p>
          <w:p>
            <w:pPr>
              <w:pStyle w:val="Normal"/>
              <w:jc w:val="both"/>
              <w:rPr/>
            </w:pPr>
            <w:r>
              <w:rPr/>
              <w:t>To contribute to the effective delivery of the SEND Reforms (Experts at Hand), whilst linking with the  Best Start in Life (BSIL)/Family Hubs programme, through a specific focus on the Early Years Emotional Health and Wellbeing:  This will be achieved by:</w:t>
            </w:r>
          </w:p>
          <w:p>
            <w:pPr>
              <w:pStyle w:val="Normal"/>
              <w:jc w:val="both"/>
              <w:rPr/>
            </w:pPr>
            <w:r>
              <w:rPr/>
            </w:r>
          </w:p>
          <w:p>
            <w:pPr>
              <w:pStyle w:val="Normal"/>
              <w:numPr>
                <w:ilvl w:val="0"/>
                <w:numId w:val="3"/>
              </w:numPr>
              <w:jc w:val="both"/>
              <w:rPr/>
            </w:pPr>
            <w:r>
              <w:rPr/>
              <w:t>Working in coordination and partnerships with existing and new BSIL/Expert at hand posts.</w:t>
            </w:r>
          </w:p>
          <w:p>
            <w:pPr>
              <w:pStyle w:val="Normal"/>
              <w:numPr>
                <w:ilvl w:val="0"/>
                <w:numId w:val="3"/>
              </w:numPr>
              <w:jc w:val="both"/>
              <w:rPr/>
            </w:pPr>
            <w:r>
              <w:rPr/>
              <w:t xml:space="preserve">Working within and promoting existing EY frameworks, resources and approaches to support implementation </w:t>
            </w:r>
          </w:p>
          <w:p>
            <w:pPr>
              <w:pStyle w:val="Normal"/>
              <w:numPr>
                <w:ilvl w:val="0"/>
                <w:numId w:val="3"/>
              </w:numPr>
              <w:jc w:val="both"/>
              <w:rPr/>
            </w:pPr>
            <w:r>
              <w:rPr/>
              <w:t>Specifically, supporting and facilitating early years settings, including nurseries, pre-schools, maintained nursery schools and childminders, in the implementation of a whole-setting approach to emotional health and wellbeing.</w:t>
            </w:r>
          </w:p>
          <w:p>
            <w:pPr>
              <w:pStyle w:val="Normal"/>
              <w:numPr>
                <w:ilvl w:val="0"/>
                <w:numId w:val="3"/>
              </w:numPr>
              <w:jc w:val="both"/>
              <w:rPr/>
            </w:pPr>
            <w:r>
              <w:rPr/>
              <w:t>Supporting settings to implement emotional wellbeing frameworks, self-evaluation processes, quality assurance measures and graduated responses to meet the social, emotional and developmental needs of babies and young children.</w:t>
            </w:r>
          </w:p>
          <w:p>
            <w:pPr>
              <w:pStyle w:val="Normal"/>
              <w:numPr>
                <w:ilvl w:val="0"/>
                <w:numId w:val="3"/>
              </w:numPr>
              <w:jc w:val="both"/>
              <w:rPr/>
            </w:pPr>
            <w:r>
              <w:rPr/>
              <w:t xml:space="preserve">Co-producing and co-delivering training and workforce development to build practitioner confidence, knowledge and skills </w:t>
            </w:r>
          </w:p>
          <w:p>
            <w:pPr>
              <w:pStyle w:val="Normal"/>
              <w:numPr>
                <w:ilvl w:val="0"/>
                <w:numId w:val="3"/>
              </w:numPr>
              <w:jc w:val="both"/>
              <w:rPr/>
            </w:pPr>
            <w:r>
              <w:rPr/>
              <w:t>Supporting settings to develop collaborative partnerships with families, health services, Family Hubs, SEND services and other key stakeholders across Oldham.</w:t>
            </w:r>
          </w:p>
          <w:p>
            <w:pPr>
              <w:pStyle w:val="Normal"/>
              <w:numPr>
                <w:ilvl w:val="0"/>
                <w:numId w:val="3"/>
              </w:numPr>
              <w:jc w:val="both"/>
              <w:rPr/>
            </w:pPr>
            <w:r>
              <w:rPr/>
              <w:t>Using community engagement approaches to promote participation, inclusion and positive emotional wellbeing outcomes for babies, young children and their families.</w:t>
            </w:r>
          </w:p>
          <w:p>
            <w:pPr>
              <w:pStyle w:val="Normal"/>
              <w:numPr>
                <w:ilvl w:val="0"/>
                <w:numId w:val="3"/>
              </w:numPr>
              <w:jc w:val="both"/>
              <w:rPr/>
            </w:pPr>
            <w:r>
              <w:rPr/>
              <w:t>Supporting the service to deliver the short-, medium- and long-term objectives of the Early Years Emotional Health and Wellbeing frameworks.</w:t>
            </w:r>
          </w:p>
          <w:p>
            <w:pPr>
              <w:pStyle w:val="Normal"/>
              <w:numPr>
                <w:ilvl w:val="0"/>
                <w:numId w:val="3"/>
              </w:numPr>
              <w:jc w:val="both"/>
              <w:rPr/>
            </w:pPr>
            <w:r>
              <w:rPr/>
              <w:t>Contributing to the ongoing development of the programme to improve emotional health, wellbeing and school readiness outcomes for children across Oldham's early years sector.</w:t>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Cs w:val="24"/>
              </w:rPr>
            </w:pPr>
            <w:r>
              <w:rPr>
                <w:rFonts w:cs="Arial" w:ascii="Arial" w:hAnsi="Arial"/>
                <w:szCs w:val="24"/>
              </w:rPr>
              <w:t>To contribute to the planning, delivery and evaluation of the Early Years Emotional Health and Wellbeing Programme across Oldham. This includes:</w:t>
            </w:r>
          </w:p>
          <w:p>
            <w:pPr>
              <w:pStyle w:val="Endnote"/>
              <w:ind w:left="720" w:right="0" w:hanging="0"/>
              <w:rPr>
                <w:rFonts w:ascii="Arial" w:hAnsi="Arial" w:cs="Arial"/>
                <w:szCs w:val="24"/>
              </w:rPr>
            </w:pPr>
            <w:r>
              <w:rPr>
                <w:rFonts w:cs="Arial" w:ascii="Arial" w:hAnsi="Arial"/>
                <w:szCs w:val="24"/>
              </w:rPr>
            </w:r>
          </w:p>
          <w:p>
            <w:pPr>
              <w:pStyle w:val="Endnote"/>
              <w:numPr>
                <w:ilvl w:val="0"/>
                <w:numId w:val="4"/>
              </w:numPr>
              <w:rPr>
                <w:rFonts w:ascii="Arial" w:hAnsi="Arial" w:cs="Arial"/>
                <w:szCs w:val="24"/>
              </w:rPr>
            </w:pPr>
            <w:r>
              <w:rPr>
                <w:rFonts w:cs="Arial" w:ascii="Arial" w:hAnsi="Arial"/>
                <w:szCs w:val="24"/>
              </w:rPr>
              <w:t>Supporting early years settings to align with the Oldham Whole setting approach to Emotional Health and Mental Wellbeing Framework and the statutory framework EYFS Personal, Social and Emotional Development (PSED)</w:t>
            </w:r>
          </w:p>
          <w:p>
            <w:pPr>
              <w:pStyle w:val="Endnote"/>
              <w:numPr>
                <w:ilvl w:val="0"/>
                <w:numId w:val="4"/>
              </w:numPr>
              <w:rPr>
                <w:rFonts w:ascii="Arial" w:hAnsi="Arial" w:cs="Arial"/>
                <w:szCs w:val="24"/>
              </w:rPr>
            </w:pPr>
            <w:r>
              <w:rPr>
                <w:rFonts w:cs="Arial" w:ascii="Arial" w:hAnsi="Arial"/>
                <w:szCs w:val="24"/>
              </w:rPr>
              <w:t>Working with settings to develop whole-setting approaches that promote emotional wellbeing, positive relationships, resilience and secure emotional development.</w:t>
            </w:r>
          </w:p>
          <w:p>
            <w:pPr>
              <w:pStyle w:val="Endnote"/>
              <w:numPr>
                <w:ilvl w:val="0"/>
                <w:numId w:val="4"/>
              </w:numPr>
              <w:rPr>
                <w:rFonts w:ascii="Arial" w:hAnsi="Arial" w:cs="Arial"/>
                <w:szCs w:val="24"/>
              </w:rPr>
            </w:pPr>
            <w:r>
              <w:rPr>
                <w:rFonts w:cs="Arial" w:ascii="Arial" w:hAnsi="Arial"/>
                <w:szCs w:val="24"/>
              </w:rPr>
              <w:t>Delivering emotional health and wellbeing training to early years leaders, practitioners and support staff in coordination with wider teams</w:t>
            </w:r>
          </w:p>
          <w:p>
            <w:pPr>
              <w:pStyle w:val="Endnote"/>
              <w:numPr>
                <w:ilvl w:val="0"/>
                <w:numId w:val="4"/>
              </w:numPr>
              <w:rPr>
                <w:rFonts w:ascii="Arial" w:hAnsi="Arial" w:cs="Arial"/>
                <w:szCs w:val="24"/>
              </w:rPr>
            </w:pPr>
            <w:r>
              <w:rPr>
                <w:rFonts w:cs="Arial" w:ascii="Arial" w:hAnsi="Arial"/>
                <w:szCs w:val="24"/>
              </w:rPr>
              <w:t>Providing advice, consultation and guidance to settings on a whole setting basis to promote social and emotional development and responding to emerging social, emotional and mental health needs within the early years at a borough wide level.</w:t>
            </w:r>
          </w:p>
          <w:p>
            <w:pPr>
              <w:pStyle w:val="Endnote"/>
              <w:numPr>
                <w:ilvl w:val="0"/>
                <w:numId w:val="4"/>
              </w:numPr>
              <w:rPr>
                <w:rFonts w:ascii="Arial" w:hAnsi="Arial" w:cs="Arial"/>
                <w:szCs w:val="24"/>
              </w:rPr>
            </w:pPr>
            <w:r>
              <w:rPr>
                <w:rFonts w:cs="Arial" w:ascii="Arial" w:hAnsi="Arial"/>
                <w:szCs w:val="24"/>
              </w:rPr>
              <w:t>Supporting the use of agreed tools and approaches for identifying social and emotional concerns at an early stage and implementing appropriate graduated support strategies.</w:t>
            </w:r>
          </w:p>
          <w:p>
            <w:pPr>
              <w:pStyle w:val="Endnote"/>
              <w:numPr>
                <w:ilvl w:val="0"/>
                <w:numId w:val="4"/>
              </w:numPr>
              <w:rPr>
                <w:rFonts w:ascii="Arial" w:hAnsi="Arial" w:cs="Arial"/>
                <w:szCs w:val="24"/>
              </w:rPr>
            </w:pPr>
            <w:r>
              <w:rPr>
                <w:rFonts w:cs="Arial" w:ascii="Arial" w:hAnsi="Arial"/>
                <w:szCs w:val="24"/>
              </w:rPr>
              <w:t>Training, advising and supporting settings to use evidence-informed tools to monitor children's wellbeing and evaluate the impact of interventions and approaches.</w:t>
            </w:r>
          </w:p>
          <w:p>
            <w:pPr>
              <w:pStyle w:val="Endnote"/>
              <w:numPr>
                <w:ilvl w:val="0"/>
                <w:numId w:val="4"/>
              </w:numPr>
              <w:rPr>
                <w:rFonts w:ascii="Arial" w:hAnsi="Arial" w:cs="Arial"/>
                <w:szCs w:val="24"/>
              </w:rPr>
            </w:pPr>
            <w:r>
              <w:rPr>
                <w:rFonts w:cs="Arial" w:ascii="Arial" w:hAnsi="Arial"/>
                <w:szCs w:val="24"/>
              </w:rPr>
              <w:t>Supporting settings to develop effective policies, procedures and practices that promote emotional wellbeing, inclusion, trauma-informed practice and early intervention.</w:t>
            </w:r>
          </w:p>
          <w:p>
            <w:pPr>
              <w:pStyle w:val="Endnote"/>
              <w:numPr>
                <w:ilvl w:val="0"/>
                <w:numId w:val="4"/>
              </w:numPr>
              <w:rPr>
                <w:rFonts w:ascii="Arial" w:hAnsi="Arial" w:cs="Arial"/>
                <w:szCs w:val="24"/>
              </w:rPr>
            </w:pPr>
            <w:r>
              <w:rPr>
                <w:rFonts w:cs="Arial" w:ascii="Arial" w:hAnsi="Arial"/>
                <w:szCs w:val="24"/>
              </w:rPr>
              <w:t>Contributing to the development and implementation of Early Years Emotional Health and Wellbeing Action Plans alongside key stakeholders and partner agencies.</w:t>
            </w:r>
          </w:p>
          <w:p>
            <w:pPr>
              <w:pStyle w:val="Endnote"/>
              <w:numPr>
                <w:ilvl w:val="0"/>
                <w:numId w:val="4"/>
              </w:numPr>
              <w:rPr>
                <w:rFonts w:ascii="Arial" w:hAnsi="Arial" w:cs="Arial"/>
                <w:szCs w:val="24"/>
              </w:rPr>
            </w:pPr>
            <w:r>
              <w:rPr>
                <w:rFonts w:cs="Arial" w:ascii="Arial" w:hAnsi="Arial"/>
                <w:szCs w:val="24"/>
              </w:rPr>
              <w:t>Working collaboratively with Family Hubs, Health Visiting Services, SEND teams, Educational Psychology, Speech and Language Therapy, Early Help and other relevant partners to improve outcomes for children and families.</w:t>
            </w:r>
          </w:p>
          <w:p>
            <w:pPr>
              <w:pStyle w:val="Endnote"/>
              <w:numPr>
                <w:ilvl w:val="0"/>
                <w:numId w:val="4"/>
              </w:numPr>
              <w:rPr>
                <w:rFonts w:ascii="Arial" w:hAnsi="Arial" w:cs="Arial"/>
                <w:szCs w:val="24"/>
              </w:rPr>
            </w:pPr>
            <w:r>
              <w:rPr>
                <w:rFonts w:cs="Arial" w:ascii="Arial" w:hAnsi="Arial"/>
                <w:szCs w:val="24"/>
              </w:rPr>
              <w:t xml:space="preserve">Supporting the development and delivery of wider programmes that strengthen practitioner knowledge and confidence in related areas </w:t>
            </w:r>
          </w:p>
          <w:p>
            <w:pPr>
              <w:pStyle w:val="Endnote"/>
              <w:numPr>
                <w:ilvl w:val="0"/>
                <w:numId w:val="4"/>
              </w:numPr>
              <w:rPr>
                <w:rFonts w:ascii="Arial" w:hAnsi="Arial" w:cs="Arial"/>
                <w:szCs w:val="24"/>
              </w:rPr>
            </w:pPr>
            <w:r>
              <w:rPr>
                <w:rFonts w:cs="Arial" w:ascii="Arial" w:hAnsi="Arial"/>
                <w:szCs w:val="24"/>
              </w:rPr>
              <w:t>Working alongside BSIL Quality Practitioners to facilitate emotional wellbeing interventions and group work for young children and their parents/carers where appropriate.</w:t>
            </w:r>
          </w:p>
          <w:p>
            <w:pPr>
              <w:pStyle w:val="Endnote"/>
              <w:numPr>
                <w:ilvl w:val="0"/>
                <w:numId w:val="4"/>
              </w:numPr>
              <w:rPr>
                <w:rFonts w:ascii="Arial" w:hAnsi="Arial" w:cs="Arial"/>
                <w:szCs w:val="24"/>
              </w:rPr>
            </w:pPr>
            <w:r>
              <w:rPr>
                <w:rFonts w:cs="Arial" w:ascii="Arial" w:hAnsi="Arial"/>
                <w:szCs w:val="24"/>
              </w:rPr>
              <w:t>Supporting settings to engage and work effectively with parents and carers to promote positive emotional wellbeing at home and within the setting.</w:t>
            </w:r>
          </w:p>
          <w:p>
            <w:pPr>
              <w:pStyle w:val="Endnote"/>
              <w:numPr>
                <w:ilvl w:val="0"/>
                <w:numId w:val="4"/>
              </w:numPr>
              <w:rPr>
                <w:rFonts w:ascii="Arial" w:hAnsi="Arial" w:cs="Arial"/>
                <w:szCs w:val="24"/>
              </w:rPr>
            </w:pPr>
            <w:r>
              <w:rPr>
                <w:rFonts w:cs="Arial" w:ascii="Arial" w:hAnsi="Arial"/>
                <w:szCs w:val="24"/>
              </w:rPr>
              <w:t>Developing networks and communities of practice across the early years sector to facilitate peer support, shared learning and dissemination of best practice.</w:t>
            </w:r>
          </w:p>
          <w:p>
            <w:pPr>
              <w:pStyle w:val="Endnote"/>
              <w:numPr>
                <w:ilvl w:val="0"/>
                <w:numId w:val="4"/>
              </w:numPr>
              <w:rPr>
                <w:rFonts w:ascii="Arial" w:hAnsi="Arial" w:cs="Arial"/>
                <w:szCs w:val="24"/>
              </w:rPr>
            </w:pPr>
            <w:r>
              <w:rPr>
                <w:rFonts w:cs="Arial" w:ascii="Arial" w:hAnsi="Arial"/>
                <w:szCs w:val="24"/>
              </w:rPr>
              <w:t>Contributing to programme monitoring, quality assurance, reporting and evaluation activities.</w:t>
            </w:r>
          </w:p>
          <w:p>
            <w:pPr>
              <w:pStyle w:val="Endnote"/>
              <w:numPr>
                <w:ilvl w:val="0"/>
                <w:numId w:val="4"/>
              </w:numPr>
              <w:rPr>
                <w:rFonts w:ascii="Arial" w:hAnsi="Arial" w:cs="Arial"/>
                <w:szCs w:val="24"/>
              </w:rPr>
            </w:pPr>
            <w:r>
              <w:rPr>
                <w:rFonts w:cs="Arial" w:ascii="Arial" w:hAnsi="Arial"/>
                <w:szCs w:val="24"/>
              </w:rPr>
              <w:t>Maintaining accurate records and outcome data in line with programme requirements.</w:t>
            </w:r>
          </w:p>
          <w:p>
            <w:pPr>
              <w:pStyle w:val="Endnote"/>
              <w:numPr>
                <w:ilvl w:val="0"/>
                <w:numId w:val="4"/>
              </w:numPr>
              <w:jc w:val="both"/>
              <w:rPr>
                <w:rFonts w:ascii="Arial" w:hAnsi="Arial" w:cs="Arial"/>
                <w:szCs w:val="24"/>
              </w:rPr>
            </w:pPr>
            <w:r>
              <w:rPr>
                <w:rFonts w:cs="Arial" w:ascii="Arial" w:hAnsi="Arial"/>
                <w:szCs w:val="24"/>
              </w:rPr>
              <w:t>Supporting the development of resources, guidance and tools that assist settings in promoting emotional health and wellbeing.</w:t>
            </w:r>
          </w:p>
          <w:p>
            <w:pPr>
              <w:pStyle w:val="Endnote"/>
              <w:ind w:left="720" w:right="0" w:hanging="0"/>
              <w:jc w:val="both"/>
              <w:rPr>
                <w:rFonts w:ascii="Arial" w:hAnsi="Arial" w:cs="Arial"/>
                <w:szCs w:val="24"/>
              </w:rPr>
            </w:pPr>
            <w:r>
              <w:rPr>
                <w:rFonts w:cs="Arial" w:ascii="Arial" w:hAnsi="Arial"/>
                <w:szCs w:val="24"/>
              </w:rPr>
            </w:r>
          </w:p>
          <w:p>
            <w:pPr>
              <w:pStyle w:val="Normal"/>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sz w:val="22"/>
                <w:szCs w:val="22"/>
              </w:rPr>
              <w:t>Contacts:</w:t>
            </w:r>
            <w:r>
              <w:rPr>
                <w:rFonts w:cs="Arial"/>
                <w:sz w:val="22"/>
                <w:szCs w:val="22"/>
              </w:rPr>
              <w:t xml:space="preserve"> </w:t>
            </w:r>
          </w:p>
          <w:p>
            <w:pPr>
              <w:pStyle w:val="Normal"/>
              <w:tabs>
                <w:tab w:val="left" w:pos="720" w:leader="none"/>
              </w:tabs>
              <w:spacing w:lineRule="auto" w:line="264"/>
              <w:rPr>
                <w:sz w:val="22"/>
                <w:szCs w:val="22"/>
              </w:rPr>
            </w:pPr>
            <w:r>
              <w:rPr>
                <w:sz w:val="22"/>
                <w:szCs w:val="22"/>
              </w:rPr>
              <w:t xml:space="preserve">Head teachers, School Governors, Class teachers, PVI sector, Special Educational Needs Coordinators (SENCOs) </w:t>
            </w:r>
          </w:p>
          <w:p>
            <w:pPr>
              <w:pStyle w:val="Normal"/>
              <w:tabs>
                <w:tab w:val="left" w:pos="720" w:leader="none"/>
              </w:tabs>
              <w:spacing w:lineRule="auto" w:line="264"/>
              <w:rPr>
                <w:sz w:val="22"/>
                <w:szCs w:val="22"/>
              </w:rPr>
            </w:pPr>
            <w:r>
              <w:rPr>
                <w:sz w:val="22"/>
                <w:szCs w:val="22"/>
              </w:rPr>
              <w:t xml:space="preserve">Colleagues in the SEN Support Services, School Nurses, Mental Health Specialist, Public Health, Emotional and Mental Health Practitioners, Voluntary and Community Sector, Pupils and their families.  </w:t>
            </w:r>
          </w:p>
          <w:p>
            <w:pPr>
              <w:pStyle w:val="Normal"/>
              <w:ind w:left="1560" w:right="0" w:hanging="1560"/>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TextBody"/>
              <w:rPr>
                <w:b w:val="false"/>
                <w:b w:val="false"/>
                <w:szCs w:val="22"/>
              </w:rPr>
            </w:pPr>
            <w:r>
              <w:rPr>
                <w:b w:val="false"/>
                <w:szCs w:val="22"/>
              </w:rPr>
              <w:t>Educational &amp; Child Psychology Service,  BSIL Quality Practitioners, EY Advisory Practitioners (Expert at hand), Area SENCos, BSIL Inclusion Practitioners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 xml:space="preserve">Mental Health in Education Manager </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 xml:space="preserve">Noone </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sz w:val="22"/>
                <w:szCs w:val="22"/>
              </w:rPr>
            </w:pPr>
            <w:r>
              <w:rPr>
                <w:sz w:val="22"/>
                <w:szCs w:val="22"/>
              </w:rPr>
              <w:t>DBS – enhanced required</w:t>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02/02/18</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Mike Bridges</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rPr>
                <w:lang w:eastAsia="en-GB"/>
              </w:rPr>
            </w:pPr>
            <w:r>
              <w:rPr>
                <w:lang w:eastAsia="en-GB"/>
              </w:rPr>
              <w:t>Public Health Specialist</w:t>
            </w:r>
          </w:p>
          <w:p>
            <w:pPr>
              <w:pStyle w:val="Normal"/>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23.9.26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Dr Victoria Harold</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sz w:val="22"/>
                <w:szCs w:val="22"/>
              </w:rPr>
            </w:pPr>
            <w:r>
              <w:rPr>
                <w:sz w:val="22"/>
                <w:szCs w:val="22"/>
              </w:rPr>
              <w:t>Head of Specialist Services</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Normal"/>
        <w:rPr/>
      </w:pPr>
      <w:r>
        <w:rPr>
          <w:rFonts w:cs="Arial"/>
          <w:b/>
          <w:bCs/>
          <w:sz w:val="22"/>
          <w:szCs w:val="22"/>
        </w:rPr>
        <w:t xml:space="preserve">Job Title:  </w:t>
      </w:r>
      <w:r>
        <w:rPr>
          <w:bCs/>
          <w:sz w:val="22"/>
          <w:szCs w:val="22"/>
        </w:rPr>
        <w:t xml:space="preserve">Social and Emotional Advisor   </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Educated to degree level or equivalent in Early Years, Education, Child Development, Psychology, Health, Social Care or a related discipline.</w:t>
            </w:r>
          </w:p>
        </w:tc>
        <w:tc>
          <w:tcPr>
            <w:tcW w:w="306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cs="Arial"/>
                <w:lang w:eastAsia="en-GB"/>
              </w:rPr>
            </w:pPr>
            <w:r>
              <w:rPr>
                <w:rFonts w:cs="Arial"/>
                <w:lang w:eastAsia="en-GB"/>
              </w:rPr>
              <w:t>Relevant professional qualification in Infant Mental Health, Early Years, SEND, Mental Health, Health Visiting or related field. Evidence of continuing professional development relevant to emotional health and wellbeing.</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Endnote"/>
              <w:jc w:val="center"/>
              <w:rPr>
                <w:rFonts w:cs="Arial"/>
                <w:lang w:eastAsia="en-GB"/>
              </w:rPr>
            </w:pPr>
            <w:r>
              <w:rPr>
                <w:rFonts w:cs="Arial"/>
                <w:lang w:eastAsia="en-GB"/>
              </w:rPr>
              <w:t>A</w:t>
            </w:r>
          </w:p>
        </w:tc>
      </w:tr>
      <w:tr>
        <w:trPr/>
        <w:tc>
          <w:tcPr>
            <w:tcW w:w="1964" w:type="dxa"/>
            <w:vMerge w:val="restart"/>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p>
            <w:pPr>
              <w:pStyle w:val="TextBody"/>
              <w:rPr>
                <w:rFonts w:cs="Arial"/>
                <w:b w:val="false"/>
                <w:b w:val="false"/>
                <w:bCs/>
                <w:sz w:val="22"/>
                <w:szCs w:val="22"/>
              </w:rPr>
            </w:pPr>
            <w:r>
              <w:rPr>
                <w:rFonts w:cs="Arial"/>
                <w:b w:val="false"/>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Experience of working with babies, young children and families within early years, education, health or community settings.</w:t>
            </w:r>
          </w:p>
        </w:tc>
        <w:tc>
          <w:tcPr>
            <w:tcW w:w="3060"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Experience of supporting the implementation of a whole-setting approach to emotional health and wellbeing.</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Experience of supporting the social, emotional and mental wellbeing needs of young children.</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Experience of delivering emotional wellbeing interventions with children and families.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Experience of delivering training, workshops or group facilitation for practitioners, parents/carers or professionals.</w:t>
            </w:r>
          </w:p>
        </w:tc>
        <w:tc>
          <w:tcPr>
            <w:tcW w:w="3060" w:type="dxa"/>
            <w:tcBorders>
              <w:top w:val="single" w:sz="4" w:space="0" w:color="000000"/>
              <w:left w:val="single" w:sz="4" w:space="0" w:color="000000"/>
              <w:bottom w:val="single" w:sz="4" w:space="0" w:color="000000"/>
            </w:tcBorders>
            <w:shd w:fill="auto" w:val="clear"/>
            <w:vAlign w:val="center"/>
          </w:tcPr>
          <w:p>
            <w:pPr>
              <w:pStyle w:val="Normal"/>
              <w:rPr>
                <w:rFonts w:cs="Arial"/>
                <w:lang w:eastAsia="en-GB"/>
              </w:rPr>
            </w:pPr>
            <w:r>
              <w:rPr>
                <w:rFonts w:cs="Arial"/>
                <w:lang w:eastAsia="en-GB"/>
              </w:rPr>
              <w:t>Experience of supporting parental engagement and family participation programmes.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Experience of working collaboratively with a range of professionals and agencies.</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Experience of working across a range of early years settings including nurseries, maintained nursery schools, pre-schools and childminders.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Experience of working as part of a team and using own initiative.</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Experience of using outcome measures or evaluation tools to monitor impact.</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Experience of contributing to monitoring, evaluation and reporting.</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restart"/>
            <w:tcBorders>
              <w:top w:val="single" w:sz="4" w:space="0" w:color="000000"/>
              <w:left w:val="single" w:sz="4" w:space="0" w:color="000000"/>
              <w:bottom w:val="single" w:sz="4" w:space="0" w:color="000000"/>
            </w:tcBorders>
            <w:shd w:fill="00B3BE" w:val="clear"/>
          </w:tcPr>
          <w:p>
            <w:pPr>
              <w:pStyle w:val="Normal"/>
              <w:rPr>
                <w:rFonts w:cs="Arial"/>
                <w:b/>
                <w:b/>
                <w:bCs/>
                <w:sz w:val="22"/>
                <w:szCs w:val="22"/>
              </w:rPr>
            </w:pPr>
            <w:r>
              <w:rPr>
                <w:rFonts w:cs="Arial"/>
                <w:b/>
                <w:bCs/>
                <w:sz w:val="22"/>
                <w:szCs w:val="22"/>
              </w:rPr>
              <w:t xml:space="preserve">Skills &amp; Abilities </w:t>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work collaboratively with early years practitioners, setting leaders, parents/carers and partner agencies.</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Experience of coaching and mentoring practitioners to improve practice.</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use initiative to solve problems and respond to unexpected difficulties.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I/R</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respond to changing demands and work creatively and flexibly.</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I/R</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Excellent communication skills with the ability to communicate effectively in writing and orally with a wide range of audiences.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A/I/R</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manage own workload and work under pressure to meet deadlines.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I/R</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plan and deliver high-quality training and presentations.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build positive professional relationships and influence practice across settings.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restart"/>
            <w:tcBorders>
              <w:top w:val="single" w:sz="4" w:space="0" w:color="000000"/>
              <w:left w:val="single" w:sz="4" w:space="0" w:color="000000"/>
              <w:bottom w:val="single" w:sz="4" w:space="0" w:color="000000"/>
            </w:tcBorders>
            <w:shd w:fill="00B3BE" w:val="clear"/>
          </w:tcPr>
          <w:p>
            <w:pPr>
              <w:pStyle w:val="Normal"/>
              <w:rPr>
                <w:rFonts w:cs="Arial"/>
                <w:b/>
                <w:b/>
                <w:bCs/>
                <w:sz w:val="22"/>
                <w:szCs w:val="22"/>
              </w:rPr>
            </w:pPr>
            <w:r>
              <w:rPr>
                <w:rFonts w:cs="Arial"/>
                <w:b/>
                <w:bCs/>
                <w:sz w:val="22"/>
                <w:szCs w:val="22"/>
              </w:rPr>
              <w:t xml:space="preserve">Knowledge </w:t>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Knowledge of child development from birth to five years.</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Knowledge of Family Hubs and Start for Life initiatives.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Knowledge of emotional health and wellbeing needs in early childhood.</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Knowledge of trauma-informed practice and adverse childhood experiences.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Knowledge of the Early Years Foundation Stage (EYFS) and safeguarding requirements.</w:t>
            </w:r>
          </w:p>
        </w:tc>
        <w:tc>
          <w:tcPr>
            <w:tcW w:w="3060" w:type="dxa"/>
            <w:tcBorders>
              <w:top w:val="single" w:sz="4" w:space="0" w:color="000000"/>
              <w:left w:val="single" w:sz="4" w:space="0" w:color="000000"/>
              <w:bottom w:val="single" w:sz="4" w:space="0" w:color="000000"/>
            </w:tcBorders>
            <w:shd w:fill="auto" w:val="clear"/>
            <w:vAlign w:val="center"/>
          </w:tcPr>
          <w:p>
            <w:pPr>
              <w:pStyle w:val="Normal"/>
              <w:ind w:left="360" w:right="0" w:hanging="0"/>
              <w:rPr>
                <w:rFonts w:cs="Arial"/>
                <w:lang w:eastAsia="en-GB"/>
              </w:rPr>
            </w:pPr>
            <w:r>
              <w:rPr>
                <w:rFonts w:cs="Arial"/>
                <w:lang w:eastAsia="en-GB"/>
              </w:rPr>
              <w:t>Understanding of infant mental health frameworks and approaches.</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Knowledge of relevant legislation, guidance and policies relating to children, families, SEND and emotional wellbeing.</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Understanding of attachment, resilience and relationship-based approaches.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Understanding of graduated and early intervention approaches to supporting social, emotional and mental wellbeing.</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Understanding of a whole-setting approach to emotional health and wellbeing.</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restart"/>
            <w:tcBorders>
              <w:top w:val="single" w:sz="4" w:space="0" w:color="000000"/>
              <w:left w:val="single" w:sz="4" w:space="0" w:color="000000"/>
              <w:bottom w:val="single" w:sz="4" w:space="0" w:color="000000"/>
            </w:tcBorders>
            <w:shd w:fill="00B3BE" w:val="clear"/>
            <w:vAlign w:val="center"/>
          </w:tcPr>
          <w:p>
            <w:pPr>
              <w:pStyle w:val="Normal"/>
              <w:jc w:val="right"/>
              <w:rPr>
                <w:rFonts w:cs="Arial"/>
                <w:b/>
                <w:b/>
                <w:bCs/>
                <w:lang w:eastAsia="en-GB"/>
              </w:rPr>
            </w:pPr>
            <w:r>
              <w:rPr>
                <w:rFonts w:cs="Arial"/>
                <w:b/>
                <w:bCs/>
                <w:lang w:eastAsia="en-GB"/>
              </w:rPr>
              <w:t>Work Circumstances</w:t>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This post involves working across a range of early years settings within Oldham, including nurseries, maintained nursery schools, pre-schools, childminders, Family Hubs and community settings, supporting the implementation of a whole-setting approach to emotional health and wellbeing.</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r>
        <w:trPr/>
        <w:tc>
          <w:tcPr>
            <w:tcW w:w="1964" w:type="dxa"/>
            <w:vMerge w:val="continue"/>
            <w:tcBorders>
              <w:top w:val="single" w:sz="4" w:space="0" w:color="000000"/>
              <w:left w:val="single" w:sz="4" w:space="0" w:color="000000"/>
              <w:bottom w:val="single" w:sz="4" w:space="0" w:color="000000"/>
            </w:tcBorders>
            <w:shd w:fill="00B3BE" w:val="clear"/>
            <w:vAlign w:val="center"/>
          </w:tcPr>
          <w:p>
            <w:pPr>
              <w:pStyle w:val="Normal"/>
              <w:snapToGrid w:val="false"/>
              <w:jc w:val="right"/>
              <w:rPr>
                <w:rFonts w:cs="Arial"/>
                <w:b/>
                <w:b/>
                <w:bCs/>
                <w:lang w:eastAsia="en-GB"/>
              </w:rPr>
            </w:pPr>
            <w:r>
              <w:rPr>
                <w:rFonts w:cs="Arial"/>
                <w:b/>
                <w:bCs/>
                <w:lang w:eastAsia="en-GB"/>
              </w:rPr>
            </w:r>
          </w:p>
        </w:tc>
        <w:tc>
          <w:tcPr>
            <w:tcW w:w="3795" w:type="dxa"/>
            <w:tcBorders>
              <w:top w:val="single" w:sz="4" w:space="0" w:color="000000"/>
              <w:left w:val="single" w:sz="4" w:space="0" w:color="000000"/>
              <w:bottom w:val="single" w:sz="4" w:space="0" w:color="000000"/>
            </w:tcBorders>
            <w:shd w:fill="auto" w:val="clear"/>
            <w:vAlign w:val="center"/>
          </w:tcPr>
          <w:p>
            <w:pPr>
              <w:pStyle w:val="Normal"/>
              <w:overflowPunct w:val="true"/>
              <w:textAlignment w:val="baseline"/>
              <w:rPr>
                <w:rFonts w:cs="Arial"/>
                <w:lang w:eastAsia="en-GB"/>
              </w:rPr>
            </w:pPr>
            <w:r>
              <w:rPr>
                <w:rFonts w:cs="Arial"/>
                <w:lang w:eastAsia="en-GB"/>
              </w:rPr>
              <w:t>Ability to travel across Oldham to support settings and attend meetings, training and partnership events.</w:t>
            </w:r>
          </w:p>
        </w:tc>
        <w:tc>
          <w:tcPr>
            <w:tcW w:w="3060" w:type="dxa"/>
            <w:tcBorders>
              <w:top w:val="single" w:sz="4" w:space="0" w:color="000000"/>
              <w:left w:val="single" w:sz="4" w:space="0" w:color="000000"/>
              <w:bottom w:val="single" w:sz="4" w:space="0" w:color="000000"/>
            </w:tcBorders>
            <w:shd w:fill="auto" w:val="clear"/>
            <w:vAlign w:val="center"/>
          </w:tcPr>
          <w:p>
            <w:pPr>
              <w:pStyle w:val="Normal"/>
              <w:snapToGrid w:val="false"/>
              <w:ind w:left="360" w:right="0" w:hanging="0"/>
              <w:rPr>
                <w:rFonts w:cs="Arial"/>
                <w:lang w:eastAsia="en-GB"/>
              </w:rPr>
            </w:pPr>
            <w:r>
              <w:rPr>
                <w:rFonts w:cs="Arial"/>
                <w:lang w:eastAsia="en-GB"/>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60" w:right="0" w:hanging="0"/>
              <w:jc w:val="center"/>
              <w:rPr>
                <w:rFonts w:cs="Arial"/>
                <w:lang w:eastAsia="en-GB"/>
              </w:rPr>
            </w:pPr>
            <w:r>
              <w:rPr>
                <w:rFonts w:cs="Arial"/>
                <w:lang w:eastAsia="en-GB"/>
              </w:rPr>
              <w:t>A/I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ind w:left="1440" w:hanging="360"/>
      </w:pPr>
      <w:rPr>
        <w:rFonts w:ascii="Symbol" w:hAnsi="Symbol" w:cs="Symbol" w:hint="default"/>
        <w:rFonts w:cs="Symbol"/>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