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rPr/>
      </w:pPr>
      <w:r>
        <w:rPr/>
        <mc:AlternateContent>
          <mc:Choice Requires="wps">
            <w:drawing>
              <wp:anchor behindDoc="0" distT="0" distB="0" distL="114935" distR="114935" simplePos="0" locked="0" layoutInCell="1" allowOverlap="1" relativeHeight="2">
                <wp:simplePos x="0" y="0"/>
                <wp:positionH relativeFrom="column">
                  <wp:posOffset>5029200</wp:posOffset>
                </wp:positionH>
                <wp:positionV relativeFrom="paragraph">
                  <wp:posOffset>-114300</wp:posOffset>
                </wp:positionV>
                <wp:extent cx="1146810" cy="1187450"/>
                <wp:effectExtent l="0" t="0" r="0" b="0"/>
                <wp:wrapNone/>
                <wp:docPr id="1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6960" cy="118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Text Box 2" path="m0,0l-2147483645,0l-2147483645,-2147483646l0,-2147483646xe" fillcolor="white" stroked="f" o:allowincell="f" style="position:absolute;margin-left:396pt;margin-top:-9pt;width:90.25pt;height:93.45pt;mso-wrap-style:none;v-text-anchor:middl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72390" distB="72390" distL="0" distR="0" simplePos="0" locked="0" layoutInCell="1" allowOverlap="1" relativeHeight="4">
                <wp:simplePos x="0" y="0"/>
                <wp:positionH relativeFrom="column">
                  <wp:posOffset>5029200</wp:posOffset>
                </wp:positionH>
                <wp:positionV relativeFrom="paragraph">
                  <wp:posOffset>-114300</wp:posOffset>
                </wp:positionV>
                <wp:extent cx="1146810" cy="1187450"/>
                <wp:effectExtent l="0" t="0" r="0" b="0"/>
                <wp:wrapNone/>
                <wp:docPr id="2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6810" cy="118745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drawing>
                                <wp:inline distT="0" distB="0" distL="0" distR="0">
                                  <wp:extent cx="961390" cy="1094740"/>
                                  <wp:effectExtent l="0" t="0" r="0" b="0"/>
                                  <wp:docPr id="3" name="Image1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1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/>
                                          <a:srcRect l="-40" t="-35" r="-40" b="-3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1390" cy="10947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 lIns="92075" tIns="46355" rIns="92075" bIns="4635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90.3pt;height:93.5pt;mso-wrap-distance-left:0pt;mso-wrap-distance-right:0pt;mso-wrap-distance-top:5.7pt;mso-wrap-distance-bottom:5.7pt;margin-top:-9pt;mso-position-vertical-relative:text;margin-left:396pt;mso-position-horizontal-relative:text">
                <v:textbox inset="0.100694444444444in,0.0506944444444444in,0.100694444444444in,0.0506944444444444in">
                  <w:txbxContent>
                    <w:p>
                      <w:pPr>
                        <w:pStyle w:val="FrameContents"/>
                        <w:rPr/>
                      </w:pPr>
                      <w:r>
                        <w:rPr/>
                        <w:drawing>
                          <wp:inline distT="0" distB="0" distL="0" distR="0">
                            <wp:extent cx="961390" cy="1094740"/>
                            <wp:effectExtent l="0" t="0" r="0" b="0"/>
                            <wp:docPr id="4" name="Image1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1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/>
                                    <a:srcRect l="-40" t="-35" r="-40" b="-3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1390" cy="10947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Heading1"/>
        <w:spacing w:lineRule="auto" w:line="240"/>
        <w:ind w:hanging="0" w:lef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Cs/>
          <w:u w:val="single"/>
        </w:rPr>
      </w:pPr>
      <w:r>
        <w:rPr>
          <w:b/>
          <w:bCs/>
          <w:u w:val="single"/>
        </w:rPr>
        <w:t>OLDHAM COUNCIL</w:t>
      </w:r>
    </w:p>
    <w:p>
      <w:pPr>
        <w:pStyle w:val="Normal"/>
        <w:jc w:val="center"/>
        <w:rPr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Normal"/>
        <w:jc w:val="center"/>
        <w:rPr>
          <w:b/>
          <w:bCs/>
          <w:u w:val="single"/>
        </w:rPr>
      </w:pPr>
      <w:r>
        <w:rPr>
          <w:b/>
          <w:bCs/>
          <w:u w:val="single"/>
        </w:rPr>
        <w:t>JOB DESCRIPTION</w:t>
      </w:r>
    </w:p>
    <w:p>
      <w:pPr>
        <w:pStyle w:val="Normal"/>
        <w:jc w:val="center"/>
        <w:rPr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Normal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</w:r>
    </w:p>
    <w:tbl>
      <w:tblPr>
        <w:tblW w:w="10439" w:type="dxa"/>
        <w:jc w:val="left"/>
        <w:tblInd w:w="-5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2869"/>
        <w:gridCol w:w="2179"/>
        <w:gridCol w:w="3940"/>
      </w:tblGrid>
      <w:tr>
        <w:trPr>
          <w:cantSplit w:val="true"/>
        </w:trPr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 xml:space="preserve">Job Title: </w:t>
            </w:r>
          </w:p>
          <w:p>
            <w:pPr>
              <w:pStyle w:val="Normal"/>
              <w:rPr>
                <w:color w:val="FFFFFF"/>
                <w:sz w:val="22"/>
                <w:szCs w:val="22"/>
              </w:rPr>
            </w:pPr>
            <w:r>
              <w:rPr>
                <w:color w:val="FFFFFF"/>
                <w:sz w:val="22"/>
                <w:szCs w:val="22"/>
              </w:rPr>
            </w:r>
          </w:p>
        </w:tc>
        <w:tc>
          <w:tcPr>
            <w:tcW w:w="8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Endnote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Court Support Officer</w:t>
            </w:r>
          </w:p>
        </w:tc>
      </w:tr>
      <w:tr>
        <w:trPr>
          <w:cantSplit w:val="true"/>
        </w:trPr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rPr/>
            </w:pPr>
            <w:r>
              <w:rPr>
                <w:b/>
                <w:color w:val="FFFFFF"/>
                <w:sz w:val="22"/>
                <w:szCs w:val="22"/>
              </w:rPr>
              <w:t>Directorate:</w:t>
            </w:r>
            <w:r>
              <w:rPr>
                <w:color w:val="FFFFFF"/>
                <w:sz w:val="22"/>
                <w:szCs w:val="22"/>
              </w:rPr>
              <w:t xml:space="preserve"> 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Childrens Services</w:t>
            </w:r>
          </w:p>
        </w:tc>
        <w:tc>
          <w:tcPr>
            <w:tcW w:w="2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rPr/>
            </w:pPr>
            <w:r>
              <w:rPr>
                <w:b/>
                <w:color w:val="FFFFFF"/>
                <w:sz w:val="22"/>
                <w:szCs w:val="22"/>
              </w:rPr>
              <w:t>Division/Section:</w:t>
            </w:r>
            <w:r>
              <w:rPr>
                <w:color w:val="FFFFFF"/>
                <w:sz w:val="22"/>
                <w:szCs w:val="22"/>
              </w:rPr>
              <w:t xml:space="preserve"> </w:t>
            </w:r>
          </w:p>
          <w:p>
            <w:pPr>
              <w:pStyle w:val="Normal"/>
              <w:rPr>
                <w:color w:val="FFFFFF"/>
                <w:sz w:val="22"/>
                <w:szCs w:val="22"/>
              </w:rPr>
            </w:pPr>
            <w:r>
              <w:rPr>
                <w:color w:val="FFFFFF"/>
                <w:sz w:val="22"/>
                <w:szCs w:val="22"/>
              </w:rPr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Education and Early Years</w:t>
            </w:r>
          </w:p>
        </w:tc>
      </w:tr>
      <w:tr>
        <w:trPr>
          <w:cantSplit w:val="true"/>
        </w:trPr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 xml:space="preserve">Grade:  </w:t>
            </w:r>
          </w:p>
          <w:p>
            <w:pPr>
              <w:pStyle w:val="Normal"/>
              <w:rPr>
                <w:color w:val="FFFFFF"/>
                <w:sz w:val="22"/>
                <w:szCs w:val="22"/>
              </w:rPr>
            </w:pPr>
            <w:r>
              <w:rPr>
                <w:color w:val="FFFFFF"/>
                <w:sz w:val="22"/>
                <w:szCs w:val="22"/>
              </w:rPr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"/>
              <w:tabs>
                <w:tab w:val="clear" w:pos="4153"/>
                <w:tab w:val="clear" w:pos="8306"/>
              </w:tabs>
              <w:rPr>
                <w:szCs w:val="22"/>
              </w:rPr>
            </w:pPr>
            <w:r>
              <w:rPr>
                <w:szCs w:val="22"/>
              </w:rPr>
              <w:t>Grade 3</w:t>
            </w:r>
          </w:p>
        </w:tc>
        <w:tc>
          <w:tcPr>
            <w:tcW w:w="2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Header"/>
              <w:tabs>
                <w:tab w:val="clear" w:pos="4153"/>
                <w:tab w:val="clear" w:pos="8306"/>
              </w:tabs>
              <w:rPr>
                <w:b/>
                <w:color w:val="FFFFFF"/>
                <w:szCs w:val="22"/>
              </w:rPr>
            </w:pPr>
            <w:r>
              <w:rPr>
                <w:b/>
                <w:color w:val="FFFFFF"/>
                <w:szCs w:val="22"/>
              </w:rPr>
              <w:t>JE Reference: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"/>
              <w:tabs>
                <w:tab w:val="clear" w:pos="4153"/>
                <w:tab w:val="clear" w:pos="8306"/>
              </w:tabs>
              <w:rPr>
                <w:szCs w:val="22"/>
              </w:rPr>
            </w:pPr>
            <w:r>
              <w:rPr>
                <w:szCs w:val="22"/>
              </w:rPr>
              <w:t>9800</w:t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0440" w:type="dxa"/>
        <w:jc w:val="left"/>
        <w:tblInd w:w="-5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40"/>
      </w:tblGrid>
      <w:tr>
        <w:trPr/>
        <w:tc>
          <w:tcPr>
            <w:tcW w:w="10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Job Purpose:</w:t>
            </w:r>
          </w:p>
          <w:p>
            <w:pPr>
              <w:pStyle w:val="Normal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To provide effective and comprehensive higher level business support by working as part of a team, through the provision of more service-specific administration duties.</w:t>
            </w:r>
          </w:p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0439" w:type="dxa"/>
        <w:jc w:val="left"/>
        <w:tblInd w:w="-5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9900"/>
      </w:tblGrid>
      <w:tr>
        <w:trPr>
          <w:trHeight w:val="390" w:hRule="atLeast"/>
        </w:trPr>
        <w:tc>
          <w:tcPr>
            <w:tcW w:w="10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EndnoteText"/>
              <w:jc w:val="both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cs="Arial" w:ascii="Arial" w:hAnsi="Arial"/>
                <w:b/>
                <w:color w:val="FFFFFF"/>
                <w:sz w:val="22"/>
                <w:szCs w:val="22"/>
              </w:rPr>
              <w:t xml:space="preserve">Key Tasks:  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EndnoteText"/>
              <w:snapToGrid w:val="false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A.</w:t>
            </w:r>
          </w:p>
          <w:p>
            <w:pPr>
              <w:pStyle w:val="EndnoteText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  <w:p>
            <w:pPr>
              <w:pStyle w:val="EndnoteText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  <w:p>
            <w:pPr>
              <w:pStyle w:val="EndnoteText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B.</w:t>
            </w:r>
          </w:p>
          <w:p>
            <w:pPr>
              <w:pStyle w:val="EndnoteText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C.</w:t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D.</w:t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E.</w:t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F.</w:t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G.</w:t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H.</w:t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I.</w:t>
            </w:r>
          </w:p>
        </w:tc>
        <w:tc>
          <w:tcPr>
            <w:tcW w:w="9900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</w:r>
          </w:p>
          <w:p>
            <w:pPr>
              <w:pStyle w:val="Normal"/>
              <w:spacing w:lineRule="auto" w:line="256" w:before="0" w:after="160"/>
              <w:rPr/>
            </w:pPr>
            <w:r>
              <w:rPr>
                <w:rFonts w:eastAsia="Calibri"/>
                <w:sz w:val="22"/>
                <w:szCs w:val="22"/>
              </w:rPr>
              <w:t>Support</w:t>
            </w:r>
            <w:r>
              <w:rPr>
                <w:rFonts w:eastAsia="Calibri"/>
                <w:i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the Attendance &amp; Enforcement &amp; Attendance Officers in regards to the School Attendance Order process and liaise with the Inclusion &amp; CME Officer regarding allocation of the school place named in the order.</w:t>
            </w:r>
          </w:p>
          <w:p>
            <w:pPr>
              <w:pStyle w:val="Normal"/>
              <w:spacing w:lineRule="auto" w:line="256" w:before="0" w:after="16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Process 29 Day report for Proceed to court for unpaid penalty notices.</w:t>
            </w:r>
          </w:p>
          <w:p>
            <w:pPr>
              <w:pStyle w:val="Normal"/>
              <w:spacing w:lineRule="auto" w:line="256" w:before="0" w:after="16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Arrange court dates in liaison with the Enforcement &amp; Inclusion Officer/Manager, prepare Summons, Information’s, Records of Attendance and compose witness statements for the prosecution of Penalty Notices using Tribal software ensuring they are completed within the time limitations.).</w:t>
            </w:r>
          </w:p>
          <w:p>
            <w:pPr>
              <w:pStyle w:val="Normal"/>
              <w:spacing w:lineRule="auto" w:line="256" w:before="0" w:after="16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Monitor court dates to provide up to date Record of School Attendance before the upcoming court date(s).</w:t>
            </w:r>
          </w:p>
          <w:p>
            <w:pPr>
              <w:pStyle w:val="Normal"/>
              <w:spacing w:lineRule="auto" w:line="256" w:before="0" w:after="16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Liaise with schools, attendance officers, Magistrates Court and occasionally parents/carers to ensure court documents are collected, signed, collated, ready for Attendance &amp; Enforcement &amp; Inclusion Officer/Manager to sign and be posted maintaining a certificate of postage.</w:t>
            </w:r>
          </w:p>
          <w:p>
            <w:pPr>
              <w:pStyle w:val="Normal"/>
              <w:spacing w:lineRule="auto" w:line="256" w:before="0" w:after="16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Update database and spreadsheet of court outcomes ensure that court outcomes are shared with the team and when necessary send letters to parents of court outcomes </w:t>
            </w:r>
          </w:p>
          <w:p>
            <w:pPr>
              <w:pStyle w:val="Normal"/>
              <w:spacing w:lineRule="auto" w:line="256" w:before="0" w:after="160"/>
              <w:rPr/>
            </w:pPr>
            <w:r>
              <w:rPr>
                <w:rFonts w:eastAsia="Calibri"/>
                <w:sz w:val="22"/>
                <w:szCs w:val="22"/>
              </w:rPr>
              <w:t>Support in the Investigation of any anomalies / discrepancies around the payments of Penalty Notices, and discuss the next course of action with the Attendance &amp; Enforcement &amp; Inclusion Officer.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pStyle w:val="Normal"/>
              <w:spacing w:lineRule="auto" w:line="256" w:before="0" w:after="160"/>
              <w:rPr/>
            </w:pPr>
            <w:r>
              <w:rPr>
                <w:rFonts w:eastAsia="Calibri"/>
                <w:sz w:val="22"/>
                <w:szCs w:val="22"/>
              </w:rPr>
              <w:t xml:space="preserve">Monitor/Bank Penalty Notice payments and </w:t>
            </w:r>
            <w:r>
              <w:rPr>
                <w:sz w:val="22"/>
                <w:szCs w:val="22"/>
              </w:rPr>
              <w:t>I</w:t>
            </w:r>
            <w:r>
              <w:rPr>
                <w:rFonts w:eastAsia="Calibri"/>
                <w:sz w:val="22"/>
                <w:szCs w:val="22"/>
              </w:rPr>
              <w:t xml:space="preserve">mprest account on the financial Capita and Agresso systems specified and required by the Council.  Signature for the Imprest bank account. </w:t>
            </w:r>
          </w:p>
          <w:p>
            <w:pPr>
              <w:pStyle w:val="Normal"/>
              <w:spacing w:lineRule="auto" w:line="256" w:before="0" w:after="16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Support the Inclusion Team with service level agreements as necessary. </w:t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left w:val="single" w:sz="4" w:space="0" w:color="000000"/>
            </w:tcBorders>
          </w:tcPr>
          <w:p>
            <w:pPr>
              <w:pStyle w:val="EndnoteText"/>
              <w:snapToGrid w:val="false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  <w:tc>
          <w:tcPr>
            <w:tcW w:w="9900" w:type="dxa"/>
            <w:tcBorders>
              <w:right w:val="single" w:sz="4" w:space="0" w:color="000000"/>
            </w:tcBorders>
          </w:tcPr>
          <w:p>
            <w:pPr>
              <w:pStyle w:val="EndnoteText"/>
              <w:snapToGrid w:val="false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left w:val="single" w:sz="4" w:space="0" w:color="000000"/>
            </w:tcBorders>
          </w:tcPr>
          <w:p>
            <w:pPr>
              <w:pStyle w:val="EndnoteText"/>
              <w:snapToGrid w:val="false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  <w:tc>
          <w:tcPr>
            <w:tcW w:w="9900" w:type="dxa"/>
            <w:tcBorders>
              <w:right w:val="single" w:sz="4" w:space="0" w:color="000000"/>
            </w:tcBorders>
          </w:tcPr>
          <w:p>
            <w:pPr>
              <w:pStyle w:val="EndnoteText"/>
              <w:snapToGrid w:val="false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10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spacing w:before="0" w:after="0"/>
              <w:contextualSpacing/>
              <w:jc w:val="both"/>
              <w:rPr>
                <w:rFonts w:eastAsia="Calibri" w:cs="Arial"/>
                <w:b/>
                <w:color w:val="FFFFFF"/>
                <w:sz w:val="22"/>
                <w:szCs w:val="22"/>
              </w:rPr>
            </w:pPr>
            <w:r>
              <w:rPr>
                <w:rFonts w:eastAsia="Calibri" w:cs="Arial"/>
                <w:b/>
                <w:color w:val="FFFFFF"/>
                <w:sz w:val="22"/>
                <w:szCs w:val="22"/>
              </w:rPr>
              <w:t>General Tasks – Document &amp; Data Management</w:t>
            </w:r>
          </w:p>
          <w:p>
            <w:pPr>
              <w:pStyle w:val="Normal"/>
              <w:spacing w:before="0" w:after="0"/>
              <w:contextualSpacing/>
              <w:jc w:val="both"/>
              <w:rPr>
                <w:rFonts w:eastAsia="Calibri" w:cs="Arial"/>
                <w:b/>
                <w:color w:val="FFFFFF"/>
                <w:sz w:val="22"/>
                <w:szCs w:val="22"/>
              </w:rPr>
            </w:pPr>
            <w:r>
              <w:rPr>
                <w:rFonts w:eastAsia="Calibri" w:cs="Arial"/>
                <w:b/>
                <w:color w:val="FFFFFF"/>
                <w:sz w:val="22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EndnoteText"/>
              <w:snapToGrid w:val="false"/>
              <w:jc w:val="both"/>
              <w:rPr>
                <w:rFonts w:ascii="Arial" w:hAnsi="Arial" w:eastAsia="Calibri" w:cs="Arial"/>
                <w:b/>
                <w:color w:val="FFFFFF"/>
                <w:sz w:val="22"/>
                <w:szCs w:val="22"/>
              </w:rPr>
            </w:pPr>
            <w:r>
              <w:rPr>
                <w:rFonts w:eastAsia="Calibri" w:cs="Arial" w:ascii="Arial" w:hAnsi="Arial"/>
                <w:b/>
                <w:color w:val="FFFFFF"/>
                <w:sz w:val="22"/>
                <w:szCs w:val="22"/>
              </w:rPr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1.</w:t>
            </w:r>
          </w:p>
        </w:tc>
        <w:tc>
          <w:tcPr>
            <w:tcW w:w="9900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</w:r>
          </w:p>
          <w:p>
            <w:pPr>
              <w:pStyle w:val="Normal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Type and produce presentations and to format existing presentations (not authoring).</w:t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left w:val="single" w:sz="4" w:space="0" w:color="000000"/>
            </w:tcBorders>
          </w:tcPr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2.</w:t>
            </w:r>
          </w:p>
        </w:tc>
        <w:tc>
          <w:tcPr>
            <w:tcW w:w="9900" w:type="dxa"/>
            <w:tcBorders>
              <w:right w:val="single" w:sz="4" w:space="0" w:color="000000"/>
            </w:tcBorders>
          </w:tcPr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Produce a variety of information in different formats, including letters, reports, charts, maps and tables, and undertake mail-merges, using branded templates where applicable.</w:t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left w:val="single" w:sz="4" w:space="0" w:color="000000"/>
            </w:tcBorders>
          </w:tcPr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3.</w:t>
            </w:r>
          </w:p>
        </w:tc>
        <w:tc>
          <w:tcPr>
            <w:tcW w:w="9900" w:type="dxa"/>
            <w:tcBorders>
              <w:right w:val="single" w:sz="4" w:space="0" w:color="000000"/>
            </w:tcBorders>
          </w:tcPr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Update and retrieve information from a range of databases/spreadsheets, manipulate data, including using formulas, and create non-standard reports.</w:t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left w:val="single" w:sz="4" w:space="0" w:color="000000"/>
            </w:tcBorders>
          </w:tcPr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4.</w:t>
            </w:r>
          </w:p>
        </w:tc>
        <w:tc>
          <w:tcPr>
            <w:tcW w:w="9900" w:type="dxa"/>
            <w:tcBorders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Run data reports, and identify, analyse and correct errors as appropriate. </w:t>
            </w:r>
          </w:p>
          <w:p>
            <w:pPr>
              <w:pStyle w:val="Normal"/>
              <w:spacing w:before="0" w:after="0"/>
              <w:contextualSpacing/>
              <w:jc w:val="both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left w:val="single" w:sz="4" w:space="0" w:color="000000"/>
            </w:tcBorders>
          </w:tcPr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5.</w:t>
            </w:r>
          </w:p>
        </w:tc>
        <w:tc>
          <w:tcPr>
            <w:tcW w:w="9900" w:type="dxa"/>
            <w:tcBorders>
              <w:right w:val="single" w:sz="4" w:space="0" w:color="000000"/>
            </w:tcBorders>
          </w:tcPr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Analyse and validate service specific information, requesting additional details or clarification, or chasing progress on issues or outstanding information, as required.</w:t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left w:val="single" w:sz="4" w:space="0" w:color="000000"/>
            </w:tcBorders>
          </w:tcPr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6.</w:t>
            </w:r>
          </w:p>
        </w:tc>
        <w:tc>
          <w:tcPr>
            <w:tcW w:w="9900" w:type="dxa"/>
            <w:tcBorders>
              <w:right w:val="single" w:sz="4" w:space="0" w:color="000000"/>
            </w:tcBorders>
          </w:tcPr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Maintain effective and efficient office and information systems, including compliance with external requirements where necessary.</w:t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7.</w:t>
            </w:r>
          </w:p>
        </w:tc>
        <w:tc>
          <w:tcPr>
            <w:tcW w:w="990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Assist with the diary management for assigned Senior Managers in designated service.</w:t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10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EndnoteText"/>
              <w:jc w:val="both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cs="Arial" w:ascii="Arial" w:hAnsi="Arial"/>
                <w:b/>
                <w:color w:val="FFFFFF"/>
                <w:sz w:val="22"/>
                <w:szCs w:val="22"/>
              </w:rPr>
              <w:t>General Tasks – Financial Resources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8.</w:t>
            </w:r>
          </w:p>
        </w:tc>
        <w:tc>
          <w:tcPr>
            <w:tcW w:w="9900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Investigate anomalies/discrepancies, and propose a course of action to the budget holder.</w:t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left w:val="single" w:sz="4" w:space="0" w:color="000000"/>
            </w:tcBorders>
          </w:tcPr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9.</w:t>
            </w:r>
          </w:p>
        </w:tc>
        <w:tc>
          <w:tcPr>
            <w:tcW w:w="9900" w:type="dxa"/>
            <w:tcBorders>
              <w:right w:val="single" w:sz="4" w:space="0" w:color="000000"/>
            </w:tcBorders>
          </w:tcPr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Analyse statistical and financial information and provide information to others.</w:t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left w:val="single" w:sz="4" w:space="0" w:color="000000"/>
            </w:tcBorders>
          </w:tcPr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10.</w:t>
            </w:r>
          </w:p>
        </w:tc>
        <w:tc>
          <w:tcPr>
            <w:tcW w:w="9900" w:type="dxa"/>
            <w:tcBorders>
              <w:right w:val="single" w:sz="4" w:space="0" w:color="000000"/>
            </w:tcBorders>
          </w:tcPr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Order goods and services, raise purchase orders, cheques and invoices using the Council’s financial management system.</w:t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11.</w:t>
            </w:r>
          </w:p>
        </w:tc>
        <w:tc>
          <w:tcPr>
            <w:tcW w:w="990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Take and record payments and issue receipts, including the processing of online payments.  Balance and reconcile payments, and bank monies, as necessary. </w:t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10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EndnoteText"/>
              <w:jc w:val="both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cs="Arial" w:ascii="Arial" w:hAnsi="Arial"/>
                <w:b/>
                <w:color w:val="FFFFFF"/>
                <w:sz w:val="22"/>
                <w:szCs w:val="22"/>
              </w:rPr>
              <w:t>General Tasks – Customer Relations (Internal &amp; External )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EndnoteText"/>
              <w:snapToGrid w:val="false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12.</w:t>
            </w:r>
          </w:p>
        </w:tc>
        <w:tc>
          <w:tcPr>
            <w:tcW w:w="9900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EndnoteText"/>
              <w:snapToGrid w:val="false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Develop knowledge and understanding of service area to be able to respond to more complex queries.</w:t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left w:val="single" w:sz="4" w:space="0" w:color="000000"/>
            </w:tcBorders>
          </w:tcPr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13.</w:t>
            </w:r>
          </w:p>
        </w:tc>
        <w:tc>
          <w:tcPr>
            <w:tcW w:w="9900" w:type="dxa"/>
            <w:tcBorders>
              <w:right w:val="single" w:sz="4" w:space="0" w:color="000000"/>
            </w:tcBorders>
          </w:tcPr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Formulate routine responses and acknowledgements to correspondence and where appropriate take initiative on behalf of the service.</w:t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left w:val="single" w:sz="4" w:space="0" w:color="000000"/>
            </w:tcBorders>
          </w:tcPr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14.</w:t>
            </w:r>
          </w:p>
        </w:tc>
        <w:tc>
          <w:tcPr>
            <w:tcW w:w="9900" w:type="dxa"/>
            <w:tcBorders>
              <w:right w:val="single" w:sz="4" w:space="0" w:color="000000"/>
            </w:tcBorders>
          </w:tcPr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Carry out investigations into complaints in line with corporate procedure and escalate where appropriate.</w:t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15.</w:t>
            </w:r>
          </w:p>
        </w:tc>
        <w:tc>
          <w:tcPr>
            <w:tcW w:w="990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Proactively support quality assurance and highlight potential improvements to business processes to ensure accurate delivery of information, advice and guidance to customers.</w:t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10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EndnoteText"/>
              <w:jc w:val="both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cs="Arial" w:ascii="Arial" w:hAnsi="Arial"/>
                <w:b/>
                <w:color w:val="FFFFFF"/>
                <w:sz w:val="22"/>
                <w:szCs w:val="22"/>
              </w:rPr>
              <w:t>General Tasks – Meeting and Events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EndnoteText"/>
              <w:snapToGrid w:val="false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16.</w:t>
            </w:r>
          </w:p>
        </w:tc>
        <w:tc>
          <w:tcPr>
            <w:tcW w:w="9900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EndnoteText"/>
              <w:snapToGrid w:val="false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Support the co-ordination of large scale events.</w:t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left w:val="single" w:sz="4" w:space="0" w:color="000000"/>
            </w:tcBorders>
          </w:tcPr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17.</w:t>
            </w:r>
          </w:p>
        </w:tc>
        <w:tc>
          <w:tcPr>
            <w:tcW w:w="9900" w:type="dxa"/>
            <w:tcBorders>
              <w:right w:val="single" w:sz="4" w:space="0" w:color="000000"/>
            </w:tcBorders>
          </w:tcPr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Be responsible for co-ordinating meetings, using own initiative on dates after considering attendees availability, ordering refreshments in accordance with Council policy and booking venues.</w:t>
            </w:r>
          </w:p>
          <w:p>
            <w:pPr>
              <w:pStyle w:val="EndnoteText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 xml:space="preserve"> 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18.</w:t>
            </w:r>
          </w:p>
        </w:tc>
        <w:tc>
          <w:tcPr>
            <w:tcW w:w="990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Prepare agendas, request agenda items, take informal and formal minutes/action points and produce own set of minutes, chasing follow up actions where appropriate.</w:t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10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EndnoteText"/>
              <w:jc w:val="both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cs="Arial" w:ascii="Arial" w:hAnsi="Arial"/>
                <w:b/>
                <w:color w:val="FFFFFF"/>
                <w:sz w:val="22"/>
                <w:szCs w:val="22"/>
              </w:rPr>
              <w:t>General Tasks – General Clerical Duties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EndnoteText"/>
              <w:snapToGrid w:val="false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19.</w:t>
            </w:r>
          </w:p>
        </w:tc>
        <w:tc>
          <w:tcPr>
            <w:tcW w:w="9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EndnoteText"/>
              <w:snapToGrid w:val="false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Undertake a variety of administrative and clerical tasks, such as ordering goods and services, arranging for printing, mail-merges and supporting with bulk-mail outs, and photocopying and scanning documents.</w:t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10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EndnoteText"/>
              <w:jc w:val="both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cs="Arial" w:ascii="Arial" w:hAnsi="Arial"/>
                <w:b/>
                <w:color w:val="FFFFFF"/>
                <w:sz w:val="22"/>
                <w:szCs w:val="22"/>
              </w:rPr>
              <w:t>General Tasks – Demonstration of own duties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EndnoteText"/>
              <w:snapToGrid w:val="false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20.</w:t>
            </w:r>
          </w:p>
        </w:tc>
        <w:tc>
          <w:tcPr>
            <w:tcW w:w="9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EndnoteText"/>
              <w:snapToGrid w:val="false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Undertake demonstration of own duties to others (not formal training).</w:t>
            </w:r>
          </w:p>
          <w:p>
            <w:pPr>
              <w:pStyle w:val="Endnote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0439" w:type="dxa"/>
        <w:jc w:val="left"/>
        <w:tblInd w:w="-5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"/>
        <w:gridCol w:w="9917"/>
      </w:tblGrid>
      <w:tr>
        <w:trPr/>
        <w:tc>
          <w:tcPr>
            <w:tcW w:w="10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jc w:val="both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Standard Duties:</w:t>
            </w:r>
          </w:p>
          <w:p>
            <w:pPr>
              <w:pStyle w:val="Normal"/>
              <w:jc w:val="both"/>
              <w:rPr>
                <w:color w:val="FFFFFF"/>
                <w:sz w:val="22"/>
                <w:szCs w:val="22"/>
              </w:rPr>
            </w:pPr>
            <w:r>
              <w:rPr>
                <w:color w:val="FFFFFF"/>
                <w:sz w:val="22"/>
                <w:szCs w:val="22"/>
              </w:rPr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color w:val="FFFFFF"/>
                <w:sz w:val="22"/>
                <w:szCs w:val="22"/>
              </w:rPr>
            </w:pPr>
            <w:r>
              <w:rPr>
                <w:color w:val="FFFFFF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991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 actively promote the equalities and diversity agenda in the workplace and in service delivery.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lef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9917" w:type="dxa"/>
            <w:tcBorders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 uphold and implement policies and procedures of the Council; including customer care, data protection, finance, ICT, safeguarding and health &amp; safety policies.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lef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9917" w:type="dxa"/>
            <w:tcBorders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 actively engage with the behaviours and values of the Council to promote and support our Co-operative Agenda.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lef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9917" w:type="dxa"/>
            <w:tcBorders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 undertake continuous professional development and to be aware of new developments, legislation, initiatives, guidelines, policies and procedures as appropriate to the role. </w:t>
            </w:r>
          </w:p>
          <w:p>
            <w:pPr>
              <w:pStyle w:val="Normal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991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Undertake any additional duties commensurate with the level of the post.</w:t>
            </w:r>
          </w:p>
          <w:p>
            <w:pPr>
              <w:pStyle w:val="Normal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0440" w:type="dxa"/>
        <w:jc w:val="left"/>
        <w:tblInd w:w="-5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40"/>
      </w:tblGrid>
      <w:tr>
        <w:trPr/>
        <w:tc>
          <w:tcPr>
            <w:tcW w:w="10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Contacts:</w:t>
            </w:r>
          </w:p>
          <w:p>
            <w:pPr>
              <w:pStyle w:val="Normal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Colleagues with own team, and the rest of the Council, internal and external customers including the public, partner organisations, for example; the NHS or First Choice Homes Oldham.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0439" w:type="dxa"/>
        <w:jc w:val="left"/>
        <w:tblInd w:w="-5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6"/>
        <w:gridCol w:w="8333"/>
      </w:tblGrid>
      <w:tr>
        <w:trPr/>
        <w:tc>
          <w:tcPr>
            <w:tcW w:w="10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BodyText"/>
              <w:rPr>
                <w:color w:val="FFFFFF"/>
                <w:szCs w:val="22"/>
              </w:rPr>
            </w:pPr>
            <w:r>
              <w:rPr>
                <w:color w:val="FFFFFF"/>
                <w:szCs w:val="22"/>
              </w:rPr>
              <w:t>Relationship To Other Posts In The Department:</w:t>
            </w:r>
          </w:p>
          <w:p>
            <w:pPr>
              <w:pStyle w:val="Normal"/>
              <w:rPr>
                <w:color w:val="FFFFFF"/>
                <w:sz w:val="22"/>
                <w:szCs w:val="22"/>
              </w:rPr>
            </w:pPr>
            <w:r>
              <w:rPr>
                <w:color w:val="FFFFFF"/>
                <w:sz w:val="22"/>
                <w:szCs w:val="22"/>
              </w:rPr>
            </w:r>
          </w:p>
        </w:tc>
      </w:tr>
      <w:tr>
        <w:trPr>
          <w:trHeight w:val="518" w:hRule="atLeast"/>
        </w:trPr>
        <w:tc>
          <w:tcPr>
            <w:tcW w:w="2106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Responsible to: 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333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>
                <w:b w:val="false"/>
                <w:szCs w:val="22"/>
              </w:rPr>
            </w:pPr>
            <w:r>
              <w:rPr>
                <w:b w:val="false"/>
                <w:szCs w:val="22"/>
              </w:rPr>
              <w:t>Inclusion Manager</w:t>
            </w:r>
          </w:p>
        </w:tc>
      </w:tr>
      <w:tr>
        <w:trPr>
          <w:trHeight w:val="517" w:hRule="atLeast"/>
        </w:trPr>
        <w:tc>
          <w:tcPr>
            <w:tcW w:w="21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Responsible for:</w:t>
            </w:r>
          </w:p>
        </w:tc>
        <w:tc>
          <w:tcPr>
            <w:tcW w:w="833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Not applicable</w:t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0440" w:type="dxa"/>
        <w:jc w:val="left"/>
        <w:tblInd w:w="-5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40"/>
      </w:tblGrid>
      <w:tr>
        <w:trPr/>
        <w:tc>
          <w:tcPr>
            <w:tcW w:w="10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Special Conditions: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None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0440" w:type="dxa"/>
        <w:jc w:val="left"/>
        <w:tblInd w:w="-5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40"/>
      </w:tblGrid>
      <w:tr>
        <w:trPr/>
        <w:tc>
          <w:tcPr>
            <w:tcW w:w="10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Values and Behaviours:</w:t>
            </w:r>
          </w:p>
          <w:p>
            <w:pPr>
              <w:pStyle w:val="Normal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</w:r>
          </w:p>
        </w:tc>
      </w:tr>
      <w:tr>
        <w:trPr>
          <w:trHeight w:val="518" w:hRule="atLeast"/>
        </w:trPr>
        <w:tc>
          <w:tcPr>
            <w:tcW w:w="10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256" w:before="0" w:after="379"/>
              <w:jc w:val="both"/>
              <w:rPr/>
            </w:pPr>
            <w:r>
              <w:rPr>
                <w:rFonts w:eastAsia="Helvetica;Arial" w:cs="Helvetica;Arial" w:ascii="Helvetica;Arial" w:hAnsi="Helvetica;Arial"/>
                <w:lang w:val="en-US"/>
              </w:rPr>
              <w:t>B</w:t>
            </w:r>
            <w:r>
              <w:rPr>
                <w:rFonts w:eastAsia="Arial" w:cs="Arial"/>
                <w:sz w:val="22"/>
                <w:szCs w:val="22"/>
                <w:lang w:val="en-US"/>
              </w:rPr>
              <w:t>y living our Values and Behaviours we will deliver the change we need to meet our Corporate ambitions for Oldham.</w:t>
            </w:r>
          </w:p>
          <w:p>
            <w:pPr>
              <w:pStyle w:val="Normal"/>
              <w:spacing w:lineRule="auto" w:line="256" w:before="280" w:after="280"/>
              <w:jc w:val="both"/>
              <w:rPr>
                <w:rFonts w:eastAsia="Arial" w:cs="Arial"/>
                <w:b/>
                <w:bCs/>
                <w:sz w:val="22"/>
                <w:szCs w:val="22"/>
                <w:lang w:val="en-US" w:eastAsia="en-GB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val="en-US" w:eastAsia="en-GB"/>
              </w:rPr>
              <w:t>Our Values:</w:t>
            </w:r>
          </w:p>
          <w:p>
            <w:pPr>
              <w:pStyle w:val="Normal"/>
              <w:spacing w:lineRule="auto" w:line="256" w:before="280" w:after="280"/>
              <w:jc w:val="both"/>
              <w:rPr>
                <w:rFonts w:eastAsia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val="en-US"/>
              </w:rPr>
              <w:t>Proud</w:t>
            </w:r>
          </w:p>
          <w:p>
            <w:pPr>
              <w:pStyle w:val="Normal"/>
              <w:shd w:fill="FFFFFF" w:val="clear"/>
              <w:spacing w:before="0" w:after="379"/>
              <w:jc w:val="both"/>
              <w:rPr>
                <w:rFonts w:eastAsia="Arial" w:cs="Arial"/>
                <w:sz w:val="22"/>
                <w:szCs w:val="22"/>
                <w:lang w:val="en-US"/>
              </w:rPr>
            </w:pPr>
            <w:r>
              <w:rPr>
                <w:rFonts w:eastAsia="Arial" w:cs="Arial"/>
                <w:sz w:val="22"/>
                <w:szCs w:val="22"/>
                <w:lang w:val="en-US"/>
              </w:rPr>
              <w:t>We take pride not only in what we deliver for the residents of Oldham but also in how we deliver it.</w:t>
            </w:r>
          </w:p>
          <w:p>
            <w:pPr>
              <w:pStyle w:val="Normal"/>
              <w:spacing w:lineRule="auto" w:line="256" w:before="280" w:after="280"/>
              <w:jc w:val="both"/>
              <w:rPr>
                <w:rFonts w:eastAsia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val="en-US"/>
              </w:rPr>
              <w:t>Ambitious</w:t>
            </w:r>
          </w:p>
          <w:p>
            <w:pPr>
              <w:pStyle w:val="Normal"/>
              <w:shd w:fill="FFFFFF" w:val="clear"/>
              <w:spacing w:before="0" w:after="379"/>
              <w:jc w:val="both"/>
              <w:rPr>
                <w:rFonts w:eastAsia="Arial" w:cs="Arial"/>
                <w:sz w:val="22"/>
                <w:szCs w:val="22"/>
                <w:lang w:val="en-US"/>
              </w:rPr>
            </w:pPr>
            <w:r>
              <w:rPr>
                <w:rFonts w:eastAsia="Arial" w:cs="Arial"/>
                <w:sz w:val="22"/>
                <w:szCs w:val="22"/>
                <w:lang w:val="en-US"/>
              </w:rPr>
              <w:t>We recognise the challenges we face and are committed to setting high aspirations to overcome them, with determination and focus.</w:t>
            </w:r>
          </w:p>
          <w:p>
            <w:pPr>
              <w:pStyle w:val="Normal"/>
              <w:spacing w:lineRule="auto" w:line="256" w:before="280" w:after="280"/>
              <w:jc w:val="both"/>
              <w:rPr>
                <w:rFonts w:eastAsia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val="en-US"/>
              </w:rPr>
              <w:t>Together</w:t>
            </w:r>
          </w:p>
          <w:p>
            <w:pPr>
              <w:pStyle w:val="Normal"/>
              <w:spacing w:before="280" w:after="0"/>
              <w:jc w:val="both"/>
              <w:rPr>
                <w:rFonts w:eastAsia="Arial" w:cs="Arial"/>
                <w:sz w:val="22"/>
                <w:szCs w:val="22"/>
                <w:lang w:val="en-US"/>
              </w:rPr>
            </w:pPr>
            <w:r>
              <w:rPr>
                <w:rFonts w:eastAsia="Arial" w:cs="Arial"/>
                <w:sz w:val="22"/>
                <w:szCs w:val="22"/>
                <w:lang w:val="en-US"/>
              </w:rPr>
              <w:t>We believe in shared solutions, working across sectors and with our communities to achieve common goals and deliver the quality services Oldham deserves.</w:t>
            </w:r>
          </w:p>
        </w:tc>
      </w:tr>
      <w:tr>
        <w:trPr>
          <w:trHeight w:val="518" w:hRule="atLeast"/>
        </w:trPr>
        <w:tc>
          <w:tcPr>
            <w:tcW w:w="10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Arial" w:cs="Arial"/>
                <w:sz w:val="22"/>
                <w:szCs w:val="22"/>
                <w:lang w:val="en"/>
              </w:rPr>
              <w:t xml:space="preserve">We have </w:t>
            </w:r>
            <w:r>
              <w:rPr>
                <w:rFonts w:eastAsia="Arial" w:cs="Arial"/>
                <w:b/>
                <w:bCs/>
                <w:sz w:val="22"/>
                <w:szCs w:val="22"/>
                <w:lang w:val="en"/>
              </w:rPr>
              <w:t xml:space="preserve">five Behaviours </w:t>
            </w:r>
            <w:r>
              <w:rPr>
                <w:rFonts w:eastAsia="Arial" w:cs="Arial"/>
                <w:sz w:val="22"/>
                <w:szCs w:val="22"/>
                <w:lang w:val="en"/>
              </w:rPr>
              <w:t>which outline the priority areas of focus for staff at all levels:</w:t>
            </w:r>
          </w:p>
          <w:p>
            <w:pPr>
              <w:pStyle w:val="Normal"/>
              <w:rPr>
                <w:rFonts w:eastAsia="Arial" w:cs="Arial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</w:rPr>
            </w:r>
          </w:p>
          <w:p>
            <w:pPr>
              <w:pStyle w:val="ListParagraph"/>
              <w:numPr>
                <w:ilvl w:val="0"/>
                <w:numId w:val="2"/>
              </w:numPr>
              <w:rPr/>
            </w:pPr>
            <w:r>
              <w:rPr>
                <w:rFonts w:eastAsia="Arial" w:cs="Arial" w:ascii="Arial" w:hAnsi="Arial"/>
              </w:rPr>
              <w:t>Work with a Resident Focus</w:t>
            </w:r>
          </w:p>
          <w:p>
            <w:pPr>
              <w:pStyle w:val="ListParagraph"/>
              <w:numPr>
                <w:ilvl w:val="0"/>
                <w:numId w:val="2"/>
              </w:numPr>
              <w:rPr/>
            </w:pPr>
            <w:r>
              <w:rPr>
                <w:rFonts w:eastAsia="Arial" w:cs="Arial" w:ascii="Arial" w:hAnsi="Arial"/>
              </w:rPr>
              <w:t>Support Local Leaders</w:t>
            </w:r>
          </w:p>
          <w:p>
            <w:pPr>
              <w:pStyle w:val="ListParagraph"/>
              <w:numPr>
                <w:ilvl w:val="0"/>
                <w:numId w:val="2"/>
              </w:numPr>
              <w:rPr/>
            </w:pPr>
            <w:r>
              <w:rPr>
                <w:rFonts w:eastAsia="Arial" w:cs="Arial" w:ascii="Arial" w:hAnsi="Arial"/>
              </w:rPr>
              <w:t>Committed to the Borough</w:t>
            </w:r>
          </w:p>
          <w:p>
            <w:pPr>
              <w:pStyle w:val="ListParagraph"/>
              <w:numPr>
                <w:ilvl w:val="0"/>
                <w:numId w:val="2"/>
              </w:numPr>
              <w:rPr/>
            </w:pPr>
            <w:r>
              <w:rPr>
                <w:rFonts w:eastAsia="Arial" w:cs="Arial" w:ascii="Arial" w:hAnsi="Arial"/>
              </w:rPr>
              <w:t>Take Ownership and Drive Change</w:t>
            </w:r>
          </w:p>
          <w:p>
            <w:pPr>
              <w:pStyle w:val="ListParagraph"/>
              <w:numPr>
                <w:ilvl w:val="0"/>
                <w:numId w:val="2"/>
              </w:numPr>
              <w:rPr/>
            </w:pPr>
            <w:r>
              <w:rPr>
                <w:rFonts w:eastAsia="Arial" w:cs="Arial" w:ascii="Arial" w:hAnsi="Arial"/>
              </w:rPr>
              <w:t xml:space="preserve">Deliver High Performance </w:t>
            </w:r>
          </w:p>
          <w:p>
            <w:pPr>
              <w:pStyle w:val="Normal"/>
              <w:rPr>
                <w:rFonts w:eastAsia="Arial" w:cs="Arial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</w:rPr>
            </w:r>
          </w:p>
          <w:p>
            <w:pPr>
              <w:pStyle w:val="Normal"/>
              <w:rPr/>
            </w:pPr>
            <w:r>
              <w:rPr>
                <w:rFonts w:eastAsia="Arial" w:cs="Arial"/>
                <w:sz w:val="22"/>
                <w:szCs w:val="22"/>
              </w:rPr>
              <w:t xml:space="preserve">More information about our Corporate Plan and our Values and Behaviours can be found on our </w:t>
            </w:r>
            <w:r>
              <w:rPr>
                <w:rStyle w:val="Hyperlink"/>
                <w:rFonts w:eastAsia="Arial" w:cs="Arial"/>
                <w:sz w:val="22"/>
                <w:szCs w:val="22"/>
              </w:rPr>
              <w:t>Greater. Jobs pages</w:t>
            </w:r>
            <w:r>
              <w:rPr>
                <w:rFonts w:eastAsia="Arial" w:cs="Arial"/>
                <w:sz w:val="22"/>
                <w:szCs w:val="22"/>
              </w:rPr>
              <w:t xml:space="preserve"> together with information about the staff benefits we offer.</w:t>
            </w:r>
          </w:p>
          <w:p>
            <w:pPr>
              <w:pStyle w:val="Normal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0439" w:type="dxa"/>
        <w:jc w:val="left"/>
        <w:tblInd w:w="-5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800"/>
        <w:gridCol w:w="2160"/>
        <w:gridCol w:w="4859"/>
      </w:tblGrid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Header"/>
              <w:tabs>
                <w:tab w:val="clear" w:pos="4153"/>
                <w:tab w:val="clear" w:pos="8306"/>
              </w:tabs>
              <w:snapToGrid w:val="false"/>
              <w:spacing w:before="60" w:after="60"/>
              <w:rPr>
                <w:rFonts w:cs="Arial"/>
                <w:color w:val="FFFFFF"/>
                <w:szCs w:val="22"/>
              </w:rPr>
            </w:pPr>
            <w:r>
              <w:rPr>
                <w:rFonts w:cs="Arial"/>
                <w:color w:val="FFFFFF"/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spacing w:before="60" w:after="60"/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DATE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spacing w:before="60" w:after="60"/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NAME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spacing w:before="60" w:after="60"/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POST TITLE</w:t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Prepared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July 2012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 Nikolaou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Head of Business Support</w:t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Reviewed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January 2017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Corrina Sutton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Reward &amp; Recognition Strategy Lead</w:t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Reviewed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January 2018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 Clark / Donna Lewis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  <w:r>
        <w:br w:type="page"/>
      </w:r>
    </w:p>
    <w:p>
      <w:pPr>
        <w:pStyle w:val="Normal"/>
        <w:jc w:val="center"/>
        <w:rPr>
          <w:b/>
          <w:bCs/>
          <w:u w:val="single"/>
        </w:rPr>
      </w:pPr>
      <w:r>
        <w:rPr>
          <w:b/>
          <w:bCs/>
          <w:u w:val="single"/>
        </w:rPr>
        <w:t>OLDHAM COUNCIL</w:t>
      </w:r>
    </w:p>
    <w:p>
      <w:pPr>
        <w:pStyle w:val="Normal"/>
        <w:jc w:val="center"/>
        <w:rPr>
          <w:b/>
          <w:bCs/>
          <w:u w:val="single"/>
        </w:rPr>
      </w:pPr>
      <w:r>
        <w:rPr>
          <w:b/>
          <w:bCs/>
          <w:u w:val="single"/>
        </w:rPr>
        <mc:AlternateContent>
          <mc:Choice Requires="wps">
            <w:drawing>
              <wp:anchor behindDoc="0" distT="0" distB="0" distL="114935" distR="114300" simplePos="0" locked="0" layoutInCell="1" allowOverlap="1" relativeHeight="3">
                <wp:simplePos x="0" y="0"/>
                <wp:positionH relativeFrom="column">
                  <wp:posOffset>5143500</wp:posOffset>
                </wp:positionH>
                <wp:positionV relativeFrom="paragraph">
                  <wp:posOffset>-605790</wp:posOffset>
                </wp:positionV>
                <wp:extent cx="1148715" cy="1187450"/>
                <wp:effectExtent l="635" t="0" r="0" b="0"/>
                <wp:wrapNone/>
                <wp:docPr id="5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8760" cy="118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Text Box 3" path="m0,0l-2147483645,0l-2147483645,-2147483646l0,-2147483646xe" fillcolor="white" stroked="f" o:allowincell="f" style="position:absolute;margin-left:405pt;margin-top:-47.7pt;width:90.4pt;height:93.45pt;mso-wrap-style:none;v-text-anchor:middl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72390" distB="72390" distL="0" distR="3810" simplePos="0" locked="0" layoutInCell="1" allowOverlap="1" relativeHeight="6">
                <wp:simplePos x="0" y="0"/>
                <wp:positionH relativeFrom="column">
                  <wp:posOffset>5143500</wp:posOffset>
                </wp:positionH>
                <wp:positionV relativeFrom="paragraph">
                  <wp:posOffset>-605790</wp:posOffset>
                </wp:positionV>
                <wp:extent cx="1148715" cy="1187450"/>
                <wp:effectExtent l="0" t="0" r="0" b="0"/>
                <wp:wrapNone/>
                <wp:docPr id="6" name="Frame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8715" cy="118745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drawing>
                                <wp:inline distT="0" distB="0" distL="0" distR="0">
                                  <wp:extent cx="961390" cy="1094740"/>
                                  <wp:effectExtent l="0" t="0" r="0" b="0"/>
                                  <wp:docPr id="7" name="Image2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mage2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 l="-40" t="-35" r="-40" b="-3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1390" cy="10947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 lIns="92075" tIns="46355" rIns="92075" bIns="4635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90.45pt;height:93.5pt;mso-wrap-distance-left:0pt;mso-wrap-distance-right:0.3pt;mso-wrap-distance-top:5.7pt;mso-wrap-distance-bottom:5.7pt;margin-top:-47.7pt;mso-position-vertical-relative:text;margin-left:405pt;mso-position-horizontal-relative:text">
                <v:textbox inset="0.100694444444444in,0.0506944444444444in,0.100694444444444in,0.0506944444444444in">
                  <w:txbxContent>
                    <w:p>
                      <w:pPr>
                        <w:pStyle w:val="FrameContents"/>
                        <w:rPr/>
                      </w:pPr>
                      <w:r>
                        <w:rPr/>
                        <w:drawing>
                          <wp:inline distT="0" distB="0" distL="0" distR="0">
                            <wp:extent cx="961390" cy="1094740"/>
                            <wp:effectExtent l="0" t="0" r="0" b="0"/>
                            <wp:docPr id="8" name="Image2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2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 l="-40" t="-35" r="-40" b="-3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1390" cy="10947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jc w:val="center"/>
        <w:rPr>
          <w:b/>
          <w:bCs/>
          <w:u w:val="single"/>
        </w:rPr>
      </w:pPr>
      <w:r>
        <w:rPr>
          <w:b/>
          <w:bCs/>
          <w:u w:val="single"/>
        </w:rPr>
        <w:t>PERSON SPECIFICATION</w:t>
      </w:r>
    </w:p>
    <w:p>
      <w:pPr>
        <w:pStyle w:val="Normal"/>
        <w:rPr>
          <w:bCs/>
        </w:rPr>
      </w:pPr>
      <w:r>
        <w:rPr>
          <w:bCs/>
        </w:rPr>
      </w:r>
    </w:p>
    <w:p>
      <w:pPr>
        <w:pStyle w:val="Normal"/>
        <w:ind w:right="-514"/>
        <w:rPr/>
      </w:pPr>
      <w:r>
        <w:rPr>
          <w:b/>
          <w:bCs/>
          <w:sz w:val="22"/>
          <w:szCs w:val="22"/>
        </w:rPr>
        <w:t>Job Title:</w:t>
      </w:r>
      <w:r>
        <w:rPr>
          <w:bCs/>
          <w:sz w:val="22"/>
          <w:szCs w:val="22"/>
        </w:rPr>
        <w:t xml:space="preserve">  Court Support Officer</w:t>
      </w:r>
    </w:p>
    <w:p>
      <w:pPr>
        <w:pStyle w:val="Normal"/>
        <w:rPr/>
      </w:pPr>
      <w:r>
        <w:rPr/>
      </w:r>
    </w:p>
    <w:tbl>
      <w:tblPr>
        <w:tblW w:w="10439" w:type="dxa"/>
        <w:jc w:val="left"/>
        <w:tblInd w:w="-5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9"/>
        <w:gridCol w:w="3960"/>
        <w:gridCol w:w="3060"/>
        <w:gridCol w:w="1620"/>
      </w:tblGrid>
      <w:tr>
        <w:trPr>
          <w:trHeight w:val="1000" w:hRule="atLeast"/>
          <w:cantSplit w:val="true"/>
        </w:trPr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</w:r>
          </w:p>
          <w:p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Selection criteria </w:t>
            </w:r>
          </w:p>
          <w:p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(Essential)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</w:r>
          </w:p>
          <w:p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Selection criteria </w:t>
            </w:r>
          </w:p>
          <w:p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(Desirable)</w:t>
            </w:r>
          </w:p>
          <w:p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</w:r>
          </w:p>
          <w:p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How Assessed</w:t>
            </w:r>
          </w:p>
        </w:tc>
      </w:tr>
      <w:tr>
        <w:trPr/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</w:r>
          </w:p>
          <w:p>
            <w:pPr>
              <w:pStyle w:val="BodyText"/>
              <w:rPr>
                <w:bCs/>
                <w:color w:val="FFFFFF"/>
                <w:szCs w:val="22"/>
              </w:rPr>
            </w:pPr>
            <w:r>
              <w:rPr>
                <w:bCs/>
                <w:color w:val="FFFFFF"/>
                <w:szCs w:val="22"/>
              </w:rPr>
              <w:t>Education &amp; Qualifications</w:t>
            </w:r>
          </w:p>
          <w:p>
            <w:pPr>
              <w:pStyle w:val="Normal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"/>
              <w:tabs>
                <w:tab w:val="clear" w:pos="4153"/>
                <w:tab w:val="clear" w:pos="8306"/>
              </w:tabs>
              <w:snapToGrid w:val="false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</w:r>
          </w:p>
          <w:p>
            <w:pPr>
              <w:pStyle w:val="Header"/>
              <w:tabs>
                <w:tab w:val="clear" w:pos="4153"/>
                <w:tab w:val="clear" w:pos="8306"/>
              </w:tabs>
              <w:rPr>
                <w:szCs w:val="22"/>
              </w:rPr>
            </w:pPr>
            <w:r>
              <w:rPr>
                <w:szCs w:val="22"/>
              </w:rPr>
              <w:t>Sufficient literacy and numeracy to undertake the tasks and duties of the role</w:t>
            </w:r>
          </w:p>
          <w:p>
            <w:pPr>
              <w:pStyle w:val="Header"/>
              <w:tabs>
                <w:tab w:val="clear" w:pos="4153"/>
                <w:tab w:val="clear" w:pos="8306"/>
              </w:tabs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"/>
              <w:tabs>
                <w:tab w:val="clear" w:pos="4153"/>
                <w:tab w:val="clear" w:pos="8306"/>
              </w:tabs>
              <w:snapToGrid w:val="false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Header"/>
              <w:tabs>
                <w:tab w:val="clear" w:pos="4153"/>
                <w:tab w:val="clear" w:pos="8306"/>
              </w:tabs>
              <w:rPr>
                <w:szCs w:val="22"/>
              </w:rPr>
            </w:pPr>
            <w:r>
              <w:rPr>
                <w:szCs w:val="22"/>
              </w:rPr>
              <w:t>NVQ III in Business Administration or equivalent</w:t>
            </w:r>
          </w:p>
          <w:p>
            <w:pPr>
              <w:pStyle w:val="Header"/>
              <w:tabs>
                <w:tab w:val="clear" w:pos="4153"/>
                <w:tab w:val="clear" w:pos="8306"/>
              </w:tabs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"/>
              <w:tabs>
                <w:tab w:val="clear" w:pos="4153"/>
                <w:tab w:val="clear" w:pos="8306"/>
              </w:tabs>
              <w:snapToGrid w:val="false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AF / I / T</w:t>
            </w:r>
          </w:p>
          <w:p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(Certificate)</w:t>
            </w:r>
          </w:p>
          <w:p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</w:r>
          </w:p>
          <w:p>
            <w:pPr>
              <w:pStyle w:val="Normal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Experience</w:t>
            </w:r>
          </w:p>
          <w:p>
            <w:pPr>
              <w:pStyle w:val="Normal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Experience of using computer packages for word processing, spreadsheets and databases, plus using the internet and sending/receiving emails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Experience of undertaking a wide range of administration and business supporting tasks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Experience of using Windows Operating System and Microsoft Office Programs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 / I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 / I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</w:r>
          </w:p>
          <w:p>
            <w:pPr>
              <w:pStyle w:val="Normal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Skills &amp; Abilities</w:t>
            </w:r>
          </w:p>
          <w:p>
            <w:pPr>
              <w:pStyle w:val="Normal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Customer service skills to deliver polite, courteous and efficient service to colleagues, partners and service users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Organisational skills to complete tasks to deadlines, re-prioritising own work if necessary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Teamworking skills to work effectively with others to meet deadlines and complete work to the required standard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Initiative to respond to unexpected problems using recognised procedures and policies as a guide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Analytical skills to collate, investigate and interpret data and other information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Able to produce work to required standards without close supervision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Gautami" w:hAnsi="Gautami" w:cs="Gautami"/>
                <w:sz w:val="22"/>
                <w:szCs w:val="22"/>
              </w:rPr>
            </w:pPr>
            <w:r>
              <w:rPr>
                <w:rFonts w:cs="Gautami" w:ascii="Gautami" w:hAnsi="Gautami"/>
                <w:sz w:val="22"/>
                <w:szCs w:val="22"/>
              </w:rPr>
            </w:r>
          </w:p>
          <w:p>
            <w:pPr>
              <w:pStyle w:val="Normal"/>
              <w:rPr>
                <w:rFonts w:ascii="Gautami" w:hAnsi="Gautami" w:cs="Gautami"/>
                <w:sz w:val="22"/>
                <w:szCs w:val="22"/>
              </w:rPr>
            </w:pPr>
            <w:r>
              <w:rPr>
                <w:rFonts w:cs="Gautami" w:ascii="Gautami" w:hAnsi="Gautami"/>
                <w:sz w:val="22"/>
                <w:szCs w:val="22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 / I / T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 / I / T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 / I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 / I / T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 / I / T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 / I / T</w:t>
            </w:r>
          </w:p>
          <w:p>
            <w:pPr>
              <w:pStyle w:val="Normal"/>
              <w:rPr>
                <w:rFonts w:ascii="Gautami" w:hAnsi="Gautami" w:cs="Gautami"/>
                <w:sz w:val="22"/>
                <w:szCs w:val="22"/>
              </w:rPr>
            </w:pPr>
            <w:r>
              <w:rPr>
                <w:rFonts w:cs="Gautami" w:ascii="Gautami" w:hAnsi="Gautami"/>
                <w:sz w:val="22"/>
                <w:szCs w:val="22"/>
              </w:rPr>
            </w:r>
          </w:p>
        </w:tc>
      </w:tr>
      <w:tr>
        <w:trPr/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rPr>
                <w:rFonts w:ascii="Gautami" w:hAnsi="Gautami" w:cs="Gautami"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Gautami" w:ascii="Gautami" w:hAnsi="Gautami"/>
                <w:b/>
                <w:bCs/>
                <w:color w:val="FFFFFF"/>
                <w:sz w:val="22"/>
                <w:szCs w:val="22"/>
              </w:rPr>
            </w:r>
          </w:p>
          <w:p>
            <w:pPr>
              <w:pStyle w:val="Normal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Knowledge</w:t>
            </w:r>
          </w:p>
          <w:p>
            <w:pPr>
              <w:pStyle w:val="Normal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  <w:lang w:val="en-US"/>
              </w:rPr>
              <w:t>Knowledge and understanding of court procedures and polices in order</w:t>
            </w:r>
            <w:r>
              <w:rPr>
                <w:color w:val="FF0000"/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to support the service</w:t>
            </w:r>
          </w:p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</w:r>
          </w:p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Knowledge of data protection issues and the need to keep person data secure and confidential</w:t>
            </w:r>
          </w:p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Understanding why safeguarding is important when working with children, young people and vulnerable adults</w:t>
            </w:r>
          </w:p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rFonts w:cs="Arial"/>
                <w:sz w:val="22"/>
                <w:szCs w:val="22"/>
                <w:lang w:val="en-US"/>
              </w:rPr>
            </w:pPr>
            <w:r>
              <w:rPr>
                <w:rFonts w:cs="Arial"/>
                <w:sz w:val="22"/>
                <w:szCs w:val="22"/>
                <w:lang w:val="en-US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</w:r>
          </w:p>
          <w:p>
            <w:pPr>
              <w:pStyle w:val="BodyText"/>
              <w:rPr>
                <w:bCs/>
                <w:color w:val="FFFFFF"/>
                <w:szCs w:val="22"/>
              </w:rPr>
            </w:pPr>
            <w:r>
              <w:rPr>
                <w:bCs/>
                <w:color w:val="FFFFFF"/>
                <w:szCs w:val="22"/>
              </w:rPr>
              <w:t>Work Circumstances</w:t>
            </w:r>
          </w:p>
          <w:p>
            <w:pPr>
              <w:pStyle w:val="Normal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89" w:leader="none"/>
              </w:tabs>
              <w:overflowPunct w:val="true"/>
              <w:snapToGrid w:val="false"/>
              <w:textAlignment w:val="baseline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Able to work flexibly to meet the needs of the service including at different locations</w:t>
            </w:r>
          </w:p>
          <w:p>
            <w:pPr>
              <w:pStyle w:val="Normal"/>
              <w:rPr>
                <w:rFonts w:eastAsia="Arial" w:cs="Arial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Gautami" w:hAnsi="Gautami" w:cs="Gautami"/>
                <w:sz w:val="22"/>
                <w:szCs w:val="22"/>
              </w:rPr>
            </w:pPr>
            <w:r>
              <w:rPr>
                <w:rFonts w:cs="Gautami" w:ascii="Gautami" w:hAnsi="Gautami"/>
                <w:sz w:val="22"/>
                <w:szCs w:val="22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Gautami" w:hAnsi="Gautami" w:cs="Gautami"/>
                <w:sz w:val="22"/>
                <w:szCs w:val="22"/>
              </w:rPr>
            </w:pPr>
            <w:r>
              <w:rPr>
                <w:rFonts w:cs="Gautami" w:ascii="Gautami" w:hAnsi="Gautami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Interview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before="0" w:after="60"/>
        <w:jc w:val="both"/>
        <w:rPr/>
      </w:pPr>
      <w:r>
        <w:rPr>
          <w:rFonts w:cs="Arial"/>
          <w:i/>
          <w:sz w:val="22"/>
          <w:szCs w:val="22"/>
        </w:rPr>
        <w:t>Abbreviations:</w:t>
      </w:r>
      <w:r>
        <w:rPr>
          <w:rFonts w:cs="Arial"/>
          <w:sz w:val="22"/>
          <w:szCs w:val="22"/>
        </w:rPr>
        <w:t xml:space="preserve"> AF = Application Form; I = Interview; T = Test; R = References.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"/>
          <w:b/>
          <w:bCs/>
          <w:sz w:val="22"/>
          <w:szCs w:val="22"/>
        </w:rPr>
        <w:t xml:space="preserve">NB. - Any candidate that meets the criteria of our </w:t>
      </w:r>
      <w:r>
        <w:rPr>
          <w:rFonts w:cs="Arial"/>
          <w:b/>
          <w:bCs/>
          <w:color w:val="0563C1"/>
          <w:sz w:val="22"/>
          <w:szCs w:val="22"/>
          <w:u w:val="single"/>
        </w:rPr>
        <w:t>Guaranteed Assessment Scheme</w:t>
      </w:r>
      <w:r>
        <w:rPr>
          <w:rFonts w:cs="Arial"/>
          <w:b/>
          <w:bCs/>
          <w:sz w:val="22"/>
          <w:szCs w:val="22"/>
        </w:rPr>
        <w:t xml:space="preserve"> and meets the essential criteria of the role, will be guaranteed the first stage of assessment (whether that is an interview or another assessment, as appropriate).</w:t>
      </w:r>
    </w:p>
    <w:p>
      <w:pPr>
        <w:pStyle w:val="Normal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</w:r>
    </w:p>
    <w:p>
      <w:pPr>
        <w:pStyle w:val="Normal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Our Guaranteed Assessment Scheme supports candidates with disabilities, have previously been in or currently in care, those that are carers, and those who have served in the Armed Forces as a regular, reserve or cadet.</w:t>
      </w:r>
      <w:bookmarkStart w:id="0" w:name="_Hlk190765446"/>
      <w:bookmarkEnd w:id="0"/>
    </w:p>
    <w:p>
      <w:pPr>
        <w:pStyle w:val="Normal"/>
        <w:rPr/>
      </w:pPr>
      <w:r>
        <w:rPr/>
      </w:r>
    </w:p>
    <w:sectPr>
      <w:headerReference w:type="default" r:id="rId6"/>
      <w:headerReference w:type="first" r:id="rId7"/>
      <w:type w:val="nextPage"/>
      <w:pgSz w:w="11906" w:h="16838"/>
      <w:pgMar w:left="1440" w:right="1440" w:gutter="0" w:header="567" w:top="624" w:footer="0" w:bottom="144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1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/>
    <w:family w:val="swiss"/>
    <w:pitch w:val="variable"/>
  </w:font>
  <w:font w:name="Palatino">
    <w:charset w:val="00"/>
    <w:family w:val="roman"/>
    <w:pitch w:val="variable"/>
  </w:font>
  <w:font w:name="Calibri">
    <w:charset w:val="00"/>
    <w:family w:val="roman"/>
    <w:pitch w:val="variable"/>
  </w:font>
  <w:font w:name="Helvetica">
    <w:altName w:val="Arial"/>
    <w:charset w:val="00"/>
    <w:family w:val="swiss"/>
    <w:pitch w:val="variable"/>
  </w:font>
  <w:font w:name="Gautami">
    <w:charset w:val="00"/>
    <w:family w:val="roman"/>
    <w:pitch w:val="variable"/>
  </w:font>
  <w:font w:name="Courier New">
    <w:charset w:val="01"/>
    <w:family w:val="modern"/>
    <w:pitch w:val="fixed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64"/>
      <w:rPr/>
    </w:pPr>
    <w:r>
      <w:rPr/>
    </w:r>
  </w:p>
  <w:p>
    <w:pPr>
      <w:pStyle w:val="Header"/>
      <w:tabs>
        <w:tab w:val="clear" w:pos="4153"/>
        <w:tab w:val="clear" w:pos="8306"/>
        <w:tab w:val="left" w:pos="8565" w:leader="none"/>
      </w:tabs>
      <w:rPr/>
    </w:pPr>
    <w:r>
      <w:rPr/>
      <w:tab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264"/>
      <w:outlineLvl w:val="0"/>
    </w:pPr>
    <w:rPr>
      <w:b/>
      <w:bCs/>
      <w:sz w:val="22"/>
      <w:szCs w:val="20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DefaultParagraphFont">
    <w:name w:val="Default Paragraph Font"/>
    <w:qFormat/>
    <w:rPr/>
  </w:style>
  <w:style w:type="character" w:styleId="Hyperlink">
    <w:name w:val="Hyperlink"/>
    <w:rPr>
      <w:color w:val="0563C1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BodyText">
    <w:name w:val="Body Text"/>
    <w:basedOn w:val="Normal"/>
    <w:pPr/>
    <w:rPr>
      <w:b/>
      <w:sz w:val="22"/>
      <w:szCs w:val="20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EndnoteText">
    <w:name w:val="Endnote Text"/>
    <w:basedOn w:val="Normal"/>
    <w:pPr>
      <w:overflowPunct w:val="true"/>
      <w:textAlignment w:val="baseline"/>
    </w:pPr>
    <w:rPr>
      <w:rFonts w:ascii="Palatino" w:hAnsi="Palatino" w:cs="Palatino"/>
      <w:szCs w:val="20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153" w:leader="none"/>
        <w:tab w:val="right" w:pos="8306" w:leader="none"/>
      </w:tabs>
    </w:pPr>
    <w:rPr>
      <w:sz w:val="22"/>
      <w:szCs w:val="20"/>
    </w:rPr>
  </w:style>
  <w:style w:type="paragraph" w:styleId="BodyTextIndent">
    <w:name w:val="Body Text Indent"/>
    <w:basedOn w:val="Normal"/>
    <w:pPr>
      <w:spacing w:before="0" w:after="120"/>
      <w:ind w:hanging="0" w:left="283" w:right="0"/>
    </w:pPr>
    <w:rPr/>
  </w:style>
  <w:style w:type="paragraph" w:styleId="ListParagraph">
    <w:name w:val="List Paragraph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eastAsia="Calibri" w:cs="Calibri"/>
      <w:sz w:val="22"/>
      <w:szCs w:val="22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1.wmf"/><Relationship Id="rId4" Type="http://schemas.openxmlformats.org/officeDocument/2006/relationships/image" Target="media/image1.wmf"/><Relationship Id="rId5" Type="http://schemas.openxmlformats.org/officeDocument/2006/relationships/image" Target="media/image1.wmf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LibreOffice/24.2.4.2$Windows_X86_64 LibreOffice_project/51a6219feb6075d9a4c46691dcfe0cd9c4fff3c2</Application>
  <AppVersion>15.0000</AppVersion>
  <Company>OMBC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2026-08-05T12:49:00Z</dcterms:created>
  <dc:creator>OMBC</dc:creator>
  <dc:description/>
  <dc:language>en-US</dc:language>
  <cp:lastModifiedBy>Ian Robinson (HR)</cp:lastModifiedBy>
  <cp:lastPrinted>1995-11-21T17:41:00Z</cp:lastPrinted>
  <dcterms:modified xsi:type="dcterms:W3CDTF">2026-08-05T12:49:00Z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